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80" w:hanging="7280" w:hangingChars="2600"/>
        <w:rPr>
          <w:rFonts w:ascii="宋体" w:cs="宋体"/>
          <w:b/>
          <w:color w:val="auto"/>
          <w:sz w:val="36"/>
          <w:highlight w:val="none"/>
        </w:rPr>
      </w:pPr>
      <w:bookmarkStart w:id="0" w:name="_Toc528836789"/>
      <w:bookmarkStart w:id="1" w:name="_Toc528836790"/>
      <w:bookmarkStart w:id="2" w:name="_Toc528836795"/>
      <w:r>
        <w:rPr>
          <w:rFonts w:ascii="宋体" w:hAnsi="宋体" w:cs="宋体"/>
          <w:color w:val="auto"/>
          <w:sz w:val="28"/>
          <w:highlight w:val="none"/>
        </w:rPr>
        <w:drawing>
          <wp:inline distT="0" distB="0" distL="0" distR="0">
            <wp:extent cx="990600" cy="809625"/>
            <wp:effectExtent l="19050" t="0" r="0" b="0"/>
            <wp:docPr id="1"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
                    <pic:cNvPicPr>
                      <a:picLocks noChangeAspect="1" noChangeArrowheads="1"/>
                    </pic:cNvPicPr>
                  </pic:nvPicPr>
                  <pic:blipFill>
                    <a:blip r:embed="rId6"/>
                    <a:srcRect/>
                    <a:stretch>
                      <a:fillRect/>
                    </a:stretch>
                  </pic:blipFill>
                  <pic:spPr>
                    <a:xfrm>
                      <a:off x="0" y="0"/>
                      <a:ext cx="990600" cy="809625"/>
                    </a:xfrm>
                    <a:prstGeom prst="rect">
                      <a:avLst/>
                    </a:prstGeom>
                    <a:noFill/>
                    <a:ln w="9525">
                      <a:noFill/>
                      <a:miter lim="800000"/>
                      <a:headEnd/>
                      <a:tailEnd/>
                    </a:ln>
                  </pic:spPr>
                </pic:pic>
              </a:graphicData>
            </a:graphic>
          </wp:inline>
        </w:drawing>
      </w:r>
      <w:r>
        <w:rPr>
          <w:rFonts w:ascii="宋体" w:hAnsi="宋体" w:cs="宋体"/>
          <w:b/>
          <w:color w:val="auto"/>
          <w:sz w:val="36"/>
          <w:highlight w:val="none"/>
        </w:rPr>
        <w:t xml:space="preserve">                             JSHCZB-2022</w:t>
      </w:r>
      <w:r>
        <w:rPr>
          <w:rFonts w:hint="eastAsia" w:ascii="宋体" w:hAnsi="宋体" w:cs="宋体"/>
          <w:b/>
          <w:color w:val="auto"/>
          <w:sz w:val="36"/>
          <w:highlight w:val="none"/>
        </w:rPr>
        <w:t>538</w:t>
      </w:r>
    </w:p>
    <w:p>
      <w:pPr>
        <w:pStyle w:val="35"/>
        <w:ind w:firstLine="420"/>
        <w:rPr>
          <w:rFonts w:cs="宋体"/>
          <w:color w:val="auto"/>
          <w:highlight w:val="none"/>
        </w:rPr>
      </w:pPr>
    </w:p>
    <w:p>
      <w:pPr>
        <w:jc w:val="center"/>
        <w:rPr>
          <w:rFonts w:ascii="宋体" w:cs="宋体"/>
          <w:b/>
          <w:color w:val="auto"/>
          <w:sz w:val="36"/>
          <w:highlight w:val="none"/>
        </w:rPr>
      </w:pPr>
      <w:r>
        <w:rPr>
          <w:rFonts w:hint="eastAsia" w:ascii="宋体" w:hAnsi="宋体" w:cs="宋体"/>
          <w:b/>
          <w:color w:val="auto"/>
          <w:sz w:val="36"/>
          <w:highlight w:val="none"/>
        </w:rPr>
        <w:t>西峰玖墅北侧环境提升工程监理</w:t>
      </w:r>
    </w:p>
    <w:p>
      <w:pPr>
        <w:jc w:val="center"/>
        <w:rPr>
          <w:rFonts w:ascii="宋体" w:cs="宋体"/>
          <w:b/>
          <w:color w:val="auto"/>
          <w:sz w:val="36"/>
          <w:highlight w:val="none"/>
        </w:rPr>
      </w:pPr>
      <w:r>
        <w:rPr>
          <w:rFonts w:hint="eastAsia" w:ascii="宋体" w:hAnsi="宋体" w:cs="宋体"/>
          <w:b/>
          <w:color w:val="auto"/>
          <w:sz w:val="36"/>
          <w:highlight w:val="none"/>
        </w:rPr>
        <w:t>竞争性磋商文件</w:t>
      </w:r>
    </w:p>
    <w:p>
      <w:pPr>
        <w:jc w:val="center"/>
        <w:rPr>
          <w:rFonts w:ascii="宋体" w:cs="宋体"/>
          <w:b/>
          <w:color w:val="auto"/>
          <w:sz w:val="36"/>
          <w:highlight w:val="none"/>
        </w:rPr>
      </w:pPr>
    </w:p>
    <w:p>
      <w:pPr>
        <w:jc w:val="center"/>
        <w:rPr>
          <w:rFonts w:ascii="宋体" w:cs="宋体"/>
          <w:b/>
          <w:color w:val="auto"/>
          <w:sz w:val="36"/>
          <w:highlight w:val="none"/>
        </w:rPr>
      </w:pPr>
      <w:r>
        <w:rPr>
          <w:rFonts w:ascii="宋体" w:cs="宋体"/>
          <w:color w:val="auto"/>
          <w:sz w:val="36"/>
          <w:highlight w:val="none"/>
        </w:rPr>
        <w:drawing>
          <wp:inline distT="0" distB="0" distL="0" distR="0">
            <wp:extent cx="5486400" cy="3819525"/>
            <wp:effectExtent l="19050" t="0" r="0" b="0"/>
            <wp:docPr id="2" name="图片 2" descr="微信图片_2018090515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905155510"/>
                    <pic:cNvPicPr>
                      <a:picLocks noChangeAspect="1" noChangeArrowheads="1"/>
                    </pic:cNvPicPr>
                  </pic:nvPicPr>
                  <pic:blipFill>
                    <a:blip r:embed="rId7"/>
                    <a:srcRect/>
                    <a:stretch>
                      <a:fillRect/>
                    </a:stretch>
                  </pic:blipFill>
                  <pic:spPr>
                    <a:xfrm>
                      <a:off x="0" y="0"/>
                      <a:ext cx="5486400" cy="3819525"/>
                    </a:xfrm>
                    <a:prstGeom prst="rect">
                      <a:avLst/>
                    </a:prstGeom>
                    <a:noFill/>
                    <a:ln w="9525">
                      <a:noFill/>
                      <a:miter lim="800000"/>
                      <a:headEnd/>
                      <a:tailEnd/>
                    </a:ln>
                  </pic:spPr>
                </pic:pic>
              </a:graphicData>
            </a:graphic>
          </wp:inline>
        </w:drawing>
      </w:r>
    </w:p>
    <w:p>
      <w:pPr>
        <w:jc w:val="center"/>
        <w:rPr>
          <w:rFonts w:ascii="宋体" w:cs="宋体"/>
          <w:color w:val="auto"/>
          <w:sz w:val="36"/>
          <w:highlight w:val="none"/>
        </w:rPr>
      </w:pPr>
    </w:p>
    <w:p>
      <w:pPr>
        <w:ind w:firstLine="1012" w:firstLineChars="350"/>
        <w:jc w:val="left"/>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采</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购</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人：</w:t>
      </w:r>
      <w:r>
        <w:rPr>
          <w:rFonts w:hint="eastAsia" w:ascii="宋体" w:hAnsi="宋体" w:cs="宋体"/>
          <w:b/>
          <w:bCs/>
          <w:color w:val="auto"/>
          <w:w w:val="90"/>
          <w:sz w:val="32"/>
          <w:szCs w:val="32"/>
          <w:highlight w:val="none"/>
        </w:rPr>
        <w:t>扬州锦汇置业投资有限公司</w:t>
      </w:r>
    </w:p>
    <w:p>
      <w:pPr>
        <w:ind w:firstLine="1012" w:firstLineChars="350"/>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采购代理机构</w:t>
      </w:r>
      <w:r>
        <w:rPr>
          <w:rFonts w:ascii="宋体" w:hAnsi="宋体" w:cs="宋体"/>
          <w:b/>
          <w:bCs/>
          <w:color w:val="auto"/>
          <w:w w:val="90"/>
          <w:kern w:val="0"/>
          <w:sz w:val="32"/>
          <w:szCs w:val="32"/>
          <w:highlight w:val="none"/>
        </w:rPr>
        <w:t>(</w:t>
      </w:r>
      <w:r>
        <w:rPr>
          <w:rFonts w:hint="eastAsia" w:ascii="宋体" w:hAnsi="宋体" w:cs="宋体"/>
          <w:b/>
          <w:bCs/>
          <w:color w:val="auto"/>
          <w:w w:val="90"/>
          <w:kern w:val="0"/>
          <w:sz w:val="32"/>
          <w:szCs w:val="32"/>
          <w:highlight w:val="none"/>
        </w:rPr>
        <w:t>章</w:t>
      </w:r>
      <w:r>
        <w:rPr>
          <w:rFonts w:ascii="宋体" w:hAnsi="宋体" w:cs="宋体"/>
          <w:b/>
          <w:bCs/>
          <w:color w:val="auto"/>
          <w:w w:val="90"/>
          <w:kern w:val="0"/>
          <w:sz w:val="32"/>
          <w:szCs w:val="32"/>
          <w:highlight w:val="none"/>
        </w:rPr>
        <w:t>)</w:t>
      </w:r>
      <w:r>
        <w:rPr>
          <w:rFonts w:hint="eastAsia" w:ascii="宋体" w:hAnsi="宋体" w:cs="宋体"/>
          <w:b/>
          <w:bCs/>
          <w:color w:val="auto"/>
          <w:w w:val="90"/>
          <w:kern w:val="0"/>
          <w:sz w:val="32"/>
          <w:szCs w:val="32"/>
          <w:highlight w:val="none"/>
        </w:rPr>
        <w:t>：江苏汇诚投资咨询管理有限公司</w:t>
      </w:r>
    </w:p>
    <w:p>
      <w:pPr>
        <w:ind w:firstLine="1012" w:firstLineChars="350"/>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发</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放</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日</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期：</w:t>
      </w:r>
      <w:bookmarkStart w:id="3" w:name="EB59c3faf64f2a4bd092a206fb1d0c3c03"/>
      <w:r>
        <w:rPr>
          <w:rFonts w:ascii="宋体" w:hAnsi="宋体" w:cs="宋体"/>
          <w:b/>
          <w:bCs/>
          <w:color w:val="auto"/>
          <w:w w:val="90"/>
          <w:kern w:val="0"/>
          <w:sz w:val="32"/>
          <w:szCs w:val="32"/>
          <w:highlight w:val="none"/>
        </w:rPr>
        <w:t>2022</w:t>
      </w:r>
      <w:r>
        <w:rPr>
          <w:rFonts w:hint="eastAsia" w:ascii="宋体" w:hAnsi="宋体" w:cs="宋体"/>
          <w:b/>
          <w:bCs/>
          <w:color w:val="auto"/>
          <w:w w:val="90"/>
          <w:kern w:val="0"/>
          <w:sz w:val="32"/>
          <w:szCs w:val="32"/>
          <w:highlight w:val="none"/>
        </w:rPr>
        <w:t>年</w:t>
      </w:r>
      <w:r>
        <w:rPr>
          <w:rFonts w:hint="eastAsia" w:ascii="宋体" w:hAnsi="宋体" w:cs="宋体"/>
          <w:b/>
          <w:bCs/>
          <w:color w:val="auto"/>
          <w:w w:val="90"/>
          <w:kern w:val="0"/>
          <w:sz w:val="32"/>
          <w:szCs w:val="32"/>
          <w:highlight w:val="none"/>
          <w:lang w:val="en-US" w:eastAsia="zh-CN"/>
        </w:rPr>
        <w:t>8</w:t>
      </w:r>
      <w:r>
        <w:rPr>
          <w:rFonts w:hint="eastAsia" w:ascii="宋体" w:hAnsi="宋体" w:cs="宋体"/>
          <w:b/>
          <w:bCs/>
          <w:color w:val="auto"/>
          <w:w w:val="90"/>
          <w:kern w:val="0"/>
          <w:sz w:val="32"/>
          <w:szCs w:val="32"/>
          <w:highlight w:val="none"/>
        </w:rPr>
        <w:t>月</w:t>
      </w:r>
      <w:r>
        <w:rPr>
          <w:rFonts w:hint="eastAsia" w:ascii="宋体" w:hAnsi="宋体" w:cs="宋体"/>
          <w:b/>
          <w:bCs/>
          <w:color w:val="auto"/>
          <w:w w:val="90"/>
          <w:kern w:val="0"/>
          <w:sz w:val="32"/>
          <w:szCs w:val="32"/>
          <w:highlight w:val="none"/>
          <w:lang w:val="en-US" w:eastAsia="zh-CN"/>
        </w:rPr>
        <w:t>5</w:t>
      </w:r>
      <w:r>
        <w:rPr>
          <w:rFonts w:hint="eastAsia" w:ascii="宋体" w:hAnsi="宋体" w:cs="宋体"/>
          <w:b/>
          <w:bCs/>
          <w:color w:val="auto"/>
          <w:w w:val="90"/>
          <w:kern w:val="0"/>
          <w:sz w:val="32"/>
          <w:szCs w:val="32"/>
          <w:highlight w:val="none"/>
        </w:rPr>
        <w:t>日</w:t>
      </w:r>
      <w:bookmarkEnd w:id="3"/>
    </w:p>
    <w:p>
      <w:pPr>
        <w:jc w:val="center"/>
        <w:rPr>
          <w:rFonts w:ascii="宋体" w:cs="宋体"/>
          <w:color w:val="auto"/>
          <w:sz w:val="36"/>
          <w:highlight w:val="none"/>
        </w:rPr>
      </w:pPr>
    </w:p>
    <w:p>
      <w:pPr>
        <w:jc w:val="center"/>
        <w:rPr>
          <w:rFonts w:ascii="宋体" w:cs="宋体"/>
          <w:color w:val="auto"/>
          <w:highlight w:val="none"/>
        </w:rPr>
      </w:pPr>
      <w:r>
        <w:rPr>
          <w:rFonts w:ascii="宋体" w:cs="宋体"/>
          <w:color w:val="auto"/>
          <w:sz w:val="36"/>
          <w:highlight w:val="none"/>
        </w:rPr>
        <w:br w:type="page"/>
      </w:r>
    </w:p>
    <w:p>
      <w:pPr>
        <w:jc w:val="center"/>
        <w:rPr>
          <w:rFonts w:ascii="宋体" w:cs="宋体"/>
          <w:b/>
          <w:color w:val="auto"/>
          <w:sz w:val="32"/>
          <w:highlight w:val="none"/>
        </w:rPr>
      </w:pPr>
    </w:p>
    <w:p>
      <w:pPr>
        <w:jc w:val="center"/>
        <w:rPr>
          <w:rFonts w:ascii="宋体" w:cs="宋体"/>
          <w:b/>
          <w:color w:val="auto"/>
          <w:sz w:val="32"/>
          <w:highlight w:val="none"/>
        </w:rPr>
      </w:pPr>
    </w:p>
    <w:p>
      <w:pPr>
        <w:jc w:val="center"/>
        <w:rPr>
          <w:rFonts w:ascii="宋体" w:cs="宋体"/>
          <w:b/>
          <w:color w:val="auto"/>
          <w:sz w:val="32"/>
          <w:highlight w:val="none"/>
        </w:rPr>
      </w:pPr>
      <w:r>
        <w:rPr>
          <w:rFonts w:hint="eastAsia" w:ascii="宋体" w:hAnsi="宋体" w:cs="宋体"/>
          <w:b/>
          <w:color w:val="auto"/>
          <w:sz w:val="32"/>
          <w:highlight w:val="none"/>
        </w:rPr>
        <w:t>目</w:t>
      </w:r>
      <w:r>
        <w:rPr>
          <w:rFonts w:ascii="宋体" w:hAnsi="宋体" w:cs="宋体"/>
          <w:b/>
          <w:color w:val="auto"/>
          <w:sz w:val="32"/>
          <w:highlight w:val="none"/>
        </w:rPr>
        <w:t xml:space="preserve">   </w:t>
      </w:r>
      <w:r>
        <w:rPr>
          <w:rFonts w:hint="eastAsia" w:ascii="宋体" w:hAnsi="宋体" w:cs="宋体"/>
          <w:b/>
          <w:color w:val="auto"/>
          <w:sz w:val="32"/>
          <w:highlight w:val="none"/>
        </w:rPr>
        <w:t>录</w:t>
      </w:r>
    </w:p>
    <w:p>
      <w:pPr>
        <w:jc w:val="center"/>
        <w:rPr>
          <w:rFonts w:ascii="宋体" w:cs="宋体"/>
          <w:b/>
          <w:color w:val="auto"/>
          <w:sz w:val="32"/>
          <w:highlight w:val="none"/>
        </w:rPr>
      </w:pPr>
    </w:p>
    <w:p>
      <w:pPr>
        <w:pStyle w:val="18"/>
        <w:tabs>
          <w:tab w:val="right" w:leader="dot" w:pos="8296"/>
        </w:tabs>
        <w:rPr>
          <w:rFonts w:ascii="宋体" w:cs="宋体"/>
          <w:b/>
          <w:color w:val="auto"/>
          <w:sz w:val="28"/>
          <w:szCs w:val="28"/>
          <w:highlight w:val="none"/>
        </w:rPr>
      </w:pP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TOC \o "1-3" \f </w:instrText>
      </w:r>
      <w:r>
        <w:rPr>
          <w:rFonts w:ascii="宋体" w:hAnsi="宋体" w:cs="宋体"/>
          <w:b/>
          <w:color w:val="auto"/>
          <w:sz w:val="28"/>
          <w:szCs w:val="28"/>
          <w:highlight w:val="none"/>
        </w:rPr>
        <w:fldChar w:fldCharType="separate"/>
      </w:r>
      <w:r>
        <w:rPr>
          <w:rFonts w:hint="eastAsia" w:ascii="宋体" w:hAnsi="宋体" w:cs="宋体"/>
          <w:b/>
          <w:color w:val="auto"/>
          <w:sz w:val="28"/>
          <w:szCs w:val="28"/>
          <w:highlight w:val="none"/>
        </w:rPr>
        <w:t>第一章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竞争性磋商公告</w:t>
      </w:r>
      <w:r>
        <w:rPr>
          <w:rFonts w:ascii="宋体" w:cs="宋体"/>
          <w:b/>
          <w:color w:val="auto"/>
          <w:sz w:val="28"/>
          <w:szCs w:val="28"/>
          <w:highlight w:val="none"/>
        </w:rPr>
        <w:tab/>
      </w:r>
      <w:r>
        <w:rPr>
          <w:rFonts w:ascii="宋体" w:hAnsi="宋体" w:cs="宋体"/>
          <w:b/>
          <w:color w:val="auto"/>
          <w:sz w:val="28"/>
          <w:szCs w:val="28"/>
          <w:highlight w:val="none"/>
        </w:rPr>
        <w:t>3</w:t>
      </w:r>
    </w:p>
    <w:p>
      <w:pPr>
        <w:pStyle w:val="18"/>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第二章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磋商须知</w:t>
      </w:r>
      <w:r>
        <w:rPr>
          <w:rFonts w:ascii="宋体" w:cs="宋体"/>
          <w:b/>
          <w:color w:val="auto"/>
          <w:sz w:val="28"/>
          <w:szCs w:val="28"/>
          <w:highlight w:val="none"/>
        </w:rPr>
        <w:tab/>
      </w:r>
      <w:r>
        <w:rPr>
          <w:rFonts w:hint="eastAsia" w:ascii="宋体" w:hAnsi="宋体" w:cs="宋体"/>
          <w:b/>
          <w:color w:val="auto"/>
          <w:sz w:val="28"/>
          <w:szCs w:val="28"/>
          <w:highlight w:val="none"/>
        </w:rPr>
        <w:t>6</w:t>
      </w:r>
    </w:p>
    <w:p>
      <w:pPr>
        <w:pStyle w:val="18"/>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第三章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合同条款及格式</w:t>
      </w:r>
      <w:r>
        <w:rPr>
          <w:rFonts w:ascii="宋体" w:cs="宋体"/>
          <w:b/>
          <w:color w:val="auto"/>
          <w:sz w:val="28"/>
          <w:szCs w:val="28"/>
          <w:highlight w:val="none"/>
        </w:rPr>
        <w:tab/>
      </w:r>
      <w:r>
        <w:rPr>
          <w:rFonts w:ascii="宋体" w:hAnsi="宋体" w:cs="宋体"/>
          <w:b/>
          <w:color w:val="auto"/>
          <w:sz w:val="28"/>
          <w:szCs w:val="28"/>
          <w:highlight w:val="none"/>
        </w:rPr>
        <w:t>1</w:t>
      </w:r>
      <w:r>
        <w:rPr>
          <w:rFonts w:hint="eastAsia" w:ascii="宋体" w:hAnsi="宋体" w:cs="宋体"/>
          <w:b/>
          <w:color w:val="auto"/>
          <w:sz w:val="28"/>
          <w:szCs w:val="28"/>
          <w:highlight w:val="none"/>
        </w:rPr>
        <w:t>4</w:t>
      </w:r>
    </w:p>
    <w:p>
      <w:pPr>
        <w:pStyle w:val="18"/>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第四章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项目需求</w:t>
      </w:r>
      <w:r>
        <w:rPr>
          <w:rFonts w:ascii="宋体" w:cs="宋体"/>
          <w:b/>
          <w:color w:val="auto"/>
          <w:sz w:val="28"/>
          <w:szCs w:val="28"/>
          <w:highlight w:val="none"/>
        </w:rPr>
        <w:tab/>
      </w:r>
      <w:r>
        <w:rPr>
          <w:rFonts w:hint="eastAsia" w:ascii="宋体" w:hAnsi="宋体" w:cs="宋体"/>
          <w:b/>
          <w:color w:val="auto"/>
          <w:sz w:val="28"/>
          <w:szCs w:val="28"/>
          <w:highlight w:val="none"/>
        </w:rPr>
        <w:t>38</w:t>
      </w:r>
    </w:p>
    <w:p>
      <w:pPr>
        <w:pStyle w:val="18"/>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第五章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评审方法和评审标准</w:t>
      </w:r>
      <w:r>
        <w:rPr>
          <w:rFonts w:ascii="宋体" w:cs="宋体"/>
          <w:b/>
          <w:color w:val="auto"/>
          <w:sz w:val="28"/>
          <w:szCs w:val="28"/>
          <w:highlight w:val="none"/>
        </w:rPr>
        <w:tab/>
      </w:r>
      <w:r>
        <w:rPr>
          <w:rFonts w:hint="eastAsia" w:ascii="宋体" w:hAnsi="宋体" w:cs="宋体"/>
          <w:b/>
          <w:color w:val="auto"/>
          <w:sz w:val="28"/>
          <w:szCs w:val="28"/>
          <w:highlight w:val="none"/>
        </w:rPr>
        <w:t>42</w:t>
      </w:r>
    </w:p>
    <w:p>
      <w:pPr>
        <w:pStyle w:val="18"/>
        <w:tabs>
          <w:tab w:val="right" w:leader="dot" w:pos="8296"/>
        </w:tabs>
        <w:rPr>
          <w:rFonts w:ascii="宋体" w:cs="宋体"/>
          <w:b/>
          <w:color w:val="auto"/>
          <w:sz w:val="28"/>
          <w:szCs w:val="28"/>
          <w:highlight w:val="none"/>
        </w:rPr>
      </w:pPr>
      <w:r>
        <w:rPr>
          <w:rFonts w:hint="eastAsia" w:ascii="宋体" w:hAnsi="宋体" w:cs="宋体"/>
          <w:b/>
          <w:color w:val="auto"/>
          <w:sz w:val="28"/>
          <w:szCs w:val="28"/>
          <w:highlight w:val="none"/>
        </w:rPr>
        <w:t>第六章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竞争性磋商响应文件格式</w:t>
      </w:r>
      <w:r>
        <w:rPr>
          <w:rFonts w:ascii="宋体" w:cs="宋体"/>
          <w:b/>
          <w:color w:val="auto"/>
          <w:sz w:val="28"/>
          <w:szCs w:val="28"/>
          <w:highlight w:val="none"/>
        </w:rPr>
        <w:tab/>
      </w:r>
      <w:r>
        <w:rPr>
          <w:rFonts w:hint="eastAsia" w:ascii="宋体" w:hAnsi="宋体" w:cs="宋体"/>
          <w:b/>
          <w:color w:val="auto"/>
          <w:sz w:val="28"/>
          <w:szCs w:val="28"/>
          <w:highlight w:val="none"/>
        </w:rPr>
        <w:t>46</w:t>
      </w:r>
    </w:p>
    <w:p>
      <w:pPr>
        <w:rPr>
          <w:rFonts w:ascii="宋体" w:cs="宋体"/>
          <w:color w:val="auto"/>
          <w:sz w:val="28"/>
          <w:szCs w:val="28"/>
          <w:highlight w:val="none"/>
        </w:rPr>
      </w:pPr>
      <w:r>
        <w:rPr>
          <w:rFonts w:ascii="宋体" w:hAnsi="宋体" w:cs="宋体"/>
          <w:b/>
          <w:color w:val="auto"/>
          <w:sz w:val="28"/>
          <w:szCs w:val="28"/>
          <w:highlight w:val="none"/>
        </w:rPr>
        <w:fldChar w:fldCharType="end"/>
      </w:r>
    </w:p>
    <w:p>
      <w:pPr>
        <w:jc w:val="center"/>
        <w:rPr>
          <w:rFonts w:ascii="宋体" w:cs="宋体"/>
          <w:b/>
          <w:color w:val="auto"/>
          <w:sz w:val="36"/>
          <w:highlight w:val="none"/>
        </w:rPr>
      </w:pPr>
      <w:r>
        <w:rPr>
          <w:rFonts w:ascii="宋体" w:cs="宋体"/>
          <w:color w:val="auto"/>
          <w:sz w:val="28"/>
          <w:highlight w:val="none"/>
        </w:rPr>
        <w:br w:type="page"/>
      </w:r>
      <w:r>
        <w:rPr>
          <w:rFonts w:hint="eastAsia" w:ascii="宋体" w:hAnsi="宋体" w:cs="宋体"/>
          <w:b/>
          <w:color w:val="auto"/>
          <w:sz w:val="36"/>
          <w:highlight w:val="none"/>
        </w:rPr>
        <w:t>第一章</w:t>
      </w:r>
      <w:r>
        <w:rPr>
          <w:rFonts w:ascii="宋体" w:hAnsi="宋体" w:cs="宋体"/>
          <w:b/>
          <w:color w:val="auto"/>
          <w:sz w:val="36"/>
          <w:highlight w:val="none"/>
        </w:rPr>
        <w:t xml:space="preserve"> </w:t>
      </w:r>
      <w:r>
        <w:rPr>
          <w:rFonts w:hint="eastAsia" w:ascii="宋体" w:hAnsi="宋体" w:cs="宋体"/>
          <w:b/>
          <w:color w:val="auto"/>
          <w:sz w:val="36"/>
          <w:highlight w:val="none"/>
        </w:rPr>
        <w:t>竞争性磋商</w:t>
      </w:r>
      <w:bookmarkEnd w:id="0"/>
      <w:r>
        <w:rPr>
          <w:rFonts w:hint="eastAsia" w:ascii="宋体" w:hAnsi="宋体" w:cs="宋体"/>
          <w:b/>
          <w:color w:val="auto"/>
          <w:sz w:val="36"/>
          <w:highlight w:val="none"/>
        </w:rPr>
        <w:t>公告</w:t>
      </w:r>
    </w:p>
    <w:p>
      <w:pPr>
        <w:spacing w:line="370" w:lineRule="exact"/>
        <w:ind w:firstLine="420" w:firstLineChars="200"/>
        <w:outlineLvl w:val="0"/>
        <w:rPr>
          <w:rFonts w:ascii="宋体" w:cs="宋体"/>
          <w:b/>
          <w:color w:val="auto"/>
          <w:szCs w:val="21"/>
          <w:highlight w:val="none"/>
        </w:rPr>
      </w:pPr>
      <w:r>
        <w:rPr>
          <w:rFonts w:hint="eastAsia" w:ascii="宋体" w:hAnsi="宋体" w:cs="宋体"/>
          <w:color w:val="auto"/>
          <w:szCs w:val="21"/>
          <w:highlight w:val="none"/>
        </w:rPr>
        <w:t>受</w:t>
      </w:r>
      <w:r>
        <w:rPr>
          <w:rFonts w:hint="eastAsia" w:ascii="宋体" w:hAnsi="宋体" w:cs="宋体"/>
          <w:color w:val="auto"/>
          <w:szCs w:val="21"/>
          <w:highlight w:val="none"/>
        </w:rPr>
        <w:t>扬州锦汇置业投资有限公司</w:t>
      </w:r>
      <w:r>
        <w:rPr>
          <w:rFonts w:hint="eastAsia" w:ascii="宋体" w:hAnsi="宋体" w:cs="宋体"/>
          <w:color w:val="auto"/>
          <w:szCs w:val="21"/>
          <w:highlight w:val="none"/>
        </w:rPr>
        <w:t>的委托，江苏汇诚投资咨询管理有限公司就其西峰玖墅北侧环境提升工程监理（</w:t>
      </w:r>
      <w:r>
        <w:rPr>
          <w:rFonts w:ascii="宋体" w:hAnsi="宋体" w:cs="宋体"/>
          <w:color w:val="auto"/>
          <w:szCs w:val="21"/>
          <w:highlight w:val="none"/>
          <w:lang w:val="zh-CN"/>
        </w:rPr>
        <w:t>JSHCZ</w:t>
      </w:r>
      <w:r>
        <w:rPr>
          <w:rFonts w:hint="eastAsia" w:ascii="宋体" w:hAnsi="宋体" w:cs="宋体"/>
          <w:color w:val="auto"/>
          <w:szCs w:val="21"/>
          <w:highlight w:val="none"/>
        </w:rPr>
        <w:t>B</w:t>
      </w:r>
      <w:r>
        <w:rPr>
          <w:rFonts w:ascii="宋体" w:hAnsi="宋体" w:cs="宋体"/>
          <w:color w:val="auto"/>
          <w:szCs w:val="21"/>
          <w:highlight w:val="none"/>
          <w:lang w:val="zh-CN"/>
        </w:rPr>
        <w:t>-202</w:t>
      </w:r>
      <w:r>
        <w:rPr>
          <w:rFonts w:ascii="宋体" w:hAnsi="宋体" w:cs="宋体"/>
          <w:color w:val="auto"/>
          <w:szCs w:val="21"/>
          <w:highlight w:val="none"/>
        </w:rPr>
        <w:t>2</w:t>
      </w:r>
      <w:r>
        <w:rPr>
          <w:rFonts w:hint="eastAsia" w:ascii="宋体" w:hAnsi="宋体" w:cs="宋体"/>
          <w:color w:val="auto"/>
          <w:szCs w:val="21"/>
          <w:highlight w:val="none"/>
        </w:rPr>
        <w:t>538）</w:t>
      </w:r>
      <w:r>
        <w:rPr>
          <w:rFonts w:hint="eastAsia" w:ascii="宋体" w:hAnsi="宋体" w:cs="宋体"/>
          <w:color w:val="auto"/>
          <w:szCs w:val="21"/>
          <w:highlight w:val="none"/>
        </w:rPr>
        <w:t>进行竞争性磋商采购，现欢迎符合相关条件的供应商参加磋商。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62" w:type="dxa"/>
          </w:tcPr>
          <w:p>
            <w:pPr>
              <w:pBdr>
                <w:top w:val="single" w:color="auto" w:sz="4" w:space="1"/>
                <w:left w:val="single" w:color="auto" w:sz="4" w:space="4"/>
                <w:bottom w:val="single" w:color="auto" w:sz="4" w:space="1"/>
                <w:right w:val="single" w:color="auto" w:sz="4" w:space="4"/>
              </w:pBdr>
              <w:spacing w:line="370" w:lineRule="exact"/>
              <w:ind w:firstLine="420" w:firstLineChars="200"/>
              <w:rPr>
                <w:rFonts w:asci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70" w:lineRule="exact"/>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西峰玖墅北侧环境提升工程监理</w:t>
            </w:r>
            <w:r>
              <w:rPr>
                <w:rFonts w:hint="eastAsia" w:ascii="宋体" w:hAnsi="宋体" w:cs="宋体"/>
                <w:color w:val="auto"/>
                <w:szCs w:val="21"/>
                <w:highlight w:val="none"/>
              </w:rPr>
              <w:t>采购的潜在供应商可在</w:t>
            </w:r>
            <w:r>
              <w:rPr>
                <w:rFonts w:hint="eastAsia" w:ascii="宋体" w:hAnsi="宋体" w:cs="宋体"/>
                <w:color w:val="auto"/>
                <w:szCs w:val="21"/>
                <w:highlight w:val="none"/>
                <w:u w:val="single"/>
              </w:rPr>
              <w:t>“扬州维扬发展投资有限公司网站”</w:t>
            </w:r>
            <w:r>
              <w:rPr>
                <w:rFonts w:hint="eastAsia" w:ascii="宋体" w:hAnsi="宋体" w:cs="宋体"/>
                <w:color w:val="auto"/>
                <w:szCs w:val="21"/>
                <w:highlight w:val="none"/>
              </w:rPr>
              <w:t>下载采购文件，并于</w:t>
            </w:r>
            <w:r>
              <w:rPr>
                <w:rFonts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16</w:t>
            </w:r>
            <w:r>
              <w:rPr>
                <w:rFonts w:hint="eastAsia" w:ascii="宋体" w:hAnsi="宋体" w:cs="宋体"/>
                <w:bCs/>
                <w:color w:val="auto"/>
                <w:szCs w:val="21"/>
                <w:highlight w:val="none"/>
                <w:u w:val="single"/>
              </w:rPr>
              <w:t>日</w:t>
            </w:r>
            <w:r>
              <w:rPr>
                <w:rFonts w:ascii="宋体" w:hAnsi="宋体" w:cs="宋体"/>
                <w:bCs/>
                <w:color w:val="auto"/>
                <w:szCs w:val="21"/>
                <w:highlight w:val="none"/>
                <w:u w:val="single"/>
              </w:rPr>
              <w:t>15</w:t>
            </w:r>
            <w:r>
              <w:rPr>
                <w:rFonts w:hint="eastAsia" w:ascii="宋体" w:hAnsi="宋体" w:cs="宋体"/>
                <w:bCs/>
                <w:color w:val="auto"/>
                <w:szCs w:val="21"/>
                <w:highlight w:val="none"/>
                <w:u w:val="single"/>
              </w:rPr>
              <w:t>点</w:t>
            </w:r>
            <w:r>
              <w:rPr>
                <w:rFonts w:ascii="宋体" w:cs="宋体"/>
                <w:bCs/>
                <w:color w:val="auto"/>
                <w:szCs w:val="21"/>
                <w:highlight w:val="none"/>
                <w:u w:val="single"/>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tc>
      </w:tr>
    </w:tbl>
    <w:p>
      <w:pPr>
        <w:tabs>
          <w:tab w:val="left" w:pos="900"/>
        </w:tabs>
        <w:spacing w:line="370" w:lineRule="exact"/>
        <w:rPr>
          <w:rFonts w:ascii="宋体" w:cs="宋体"/>
          <w:b/>
          <w:bCs/>
          <w:color w:val="auto"/>
          <w:szCs w:val="21"/>
          <w:highlight w:val="none"/>
        </w:rPr>
      </w:pPr>
      <w:r>
        <w:rPr>
          <w:rFonts w:hint="eastAsia" w:ascii="宋体" w:hAnsi="宋体" w:cs="宋体"/>
          <w:b/>
          <w:bCs/>
          <w:color w:val="auto"/>
          <w:szCs w:val="21"/>
          <w:highlight w:val="none"/>
        </w:rPr>
        <w:t>一、项目基本情况</w:t>
      </w:r>
    </w:p>
    <w:p>
      <w:pPr>
        <w:spacing w:line="370" w:lineRule="exact"/>
        <w:ind w:firstLine="420" w:firstLineChars="200"/>
        <w:outlineLvl w:val="0"/>
        <w:rPr>
          <w:rFonts w:ascii="宋体" w:cs="宋体"/>
          <w:color w:val="auto"/>
          <w:szCs w:val="21"/>
          <w:highlight w:val="none"/>
        </w:rPr>
      </w:pPr>
      <w:r>
        <w:rPr>
          <w:rFonts w:ascii="宋体" w:hAnsi="宋体" w:cs="宋体"/>
          <w:color w:val="auto"/>
          <w:szCs w:val="21"/>
          <w:highlight w:val="none"/>
          <w:lang w:val="zh-CN"/>
        </w:rPr>
        <w:t>1</w:t>
      </w:r>
      <w:r>
        <w:rPr>
          <w:rFonts w:hint="eastAsia" w:ascii="宋体" w:hAnsi="宋体" w:cs="宋体"/>
          <w:color w:val="auto"/>
          <w:szCs w:val="21"/>
          <w:highlight w:val="none"/>
          <w:lang w:val="zh-CN"/>
        </w:rPr>
        <w:t>、项目编号：</w:t>
      </w:r>
      <w:r>
        <w:rPr>
          <w:rFonts w:ascii="宋体" w:hAnsi="宋体" w:cs="宋体"/>
          <w:color w:val="auto"/>
          <w:szCs w:val="21"/>
          <w:highlight w:val="none"/>
          <w:lang w:val="zh-CN"/>
        </w:rPr>
        <w:t>JSHCZ</w:t>
      </w:r>
      <w:r>
        <w:rPr>
          <w:rFonts w:hint="eastAsia" w:ascii="宋体" w:hAnsi="宋体" w:cs="宋体"/>
          <w:color w:val="auto"/>
          <w:szCs w:val="21"/>
          <w:highlight w:val="none"/>
        </w:rPr>
        <w:t>B</w:t>
      </w:r>
      <w:r>
        <w:rPr>
          <w:rFonts w:ascii="宋体" w:hAnsi="宋体" w:cs="宋体"/>
          <w:color w:val="auto"/>
          <w:szCs w:val="21"/>
          <w:highlight w:val="none"/>
          <w:lang w:val="zh-CN"/>
        </w:rPr>
        <w:t>-202</w:t>
      </w:r>
      <w:r>
        <w:rPr>
          <w:rFonts w:ascii="宋体" w:hAnsi="宋体" w:cs="宋体"/>
          <w:color w:val="auto"/>
          <w:szCs w:val="21"/>
          <w:highlight w:val="none"/>
        </w:rPr>
        <w:t>2</w:t>
      </w:r>
      <w:r>
        <w:rPr>
          <w:rFonts w:hint="eastAsia" w:ascii="宋体" w:hAnsi="宋体" w:cs="宋体"/>
          <w:color w:val="auto"/>
          <w:szCs w:val="21"/>
          <w:highlight w:val="none"/>
        </w:rPr>
        <w:t>538</w:t>
      </w:r>
    </w:p>
    <w:p>
      <w:pPr>
        <w:spacing w:line="370" w:lineRule="exact"/>
        <w:ind w:firstLine="420" w:firstLineChars="200"/>
        <w:outlineLvl w:val="0"/>
        <w:rPr>
          <w:rFonts w:ascii="宋体" w:cs="宋体"/>
          <w:color w:val="auto"/>
          <w:szCs w:val="21"/>
          <w:highlight w:val="none"/>
          <w:lang w:val="zh-CN"/>
        </w:rPr>
      </w:pPr>
      <w:r>
        <w:rPr>
          <w:rFonts w:ascii="宋体" w:hAnsi="宋体" w:cs="宋体"/>
          <w:color w:val="auto"/>
          <w:szCs w:val="21"/>
          <w:highlight w:val="none"/>
        </w:rPr>
        <w:t>2</w:t>
      </w:r>
      <w:r>
        <w:rPr>
          <w:rFonts w:hint="eastAsia" w:ascii="宋体" w:hAnsi="宋体" w:cs="宋体"/>
          <w:color w:val="auto"/>
          <w:szCs w:val="21"/>
          <w:highlight w:val="none"/>
        </w:rPr>
        <w:t>、项目名称：</w:t>
      </w:r>
      <w:r>
        <w:rPr>
          <w:rFonts w:hint="eastAsia" w:ascii="宋体" w:hAnsi="宋体" w:cs="宋体"/>
          <w:color w:val="auto"/>
          <w:szCs w:val="21"/>
          <w:highlight w:val="none"/>
        </w:rPr>
        <w:t>西峰玖墅北侧环境提升工程监理</w:t>
      </w:r>
    </w:p>
    <w:p>
      <w:pPr>
        <w:spacing w:line="37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、采购方式：竞争性磋商</w:t>
      </w:r>
      <w:r>
        <w:rPr>
          <w:rFonts w:ascii="宋体" w:hAnsi="宋体" w:cs="宋体"/>
          <w:color w:val="auto"/>
          <w:szCs w:val="21"/>
          <w:highlight w:val="none"/>
        </w:rPr>
        <w:t xml:space="preserve">    </w:t>
      </w:r>
    </w:p>
    <w:p>
      <w:pPr>
        <w:spacing w:line="37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、预算金额：</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20.65</w:t>
      </w:r>
      <w:r>
        <w:rPr>
          <w:rFonts w:hint="eastAsia" w:ascii="宋体" w:hAnsi="宋体" w:cs="宋体"/>
          <w:color w:val="auto"/>
          <w:szCs w:val="21"/>
          <w:highlight w:val="none"/>
        </w:rPr>
        <w:t>万元</w:t>
      </w:r>
    </w:p>
    <w:p>
      <w:pPr>
        <w:spacing w:line="370" w:lineRule="exact"/>
        <w:ind w:firstLine="404" w:firstLineChars="200"/>
        <w:rPr>
          <w:rFonts w:hint="eastAsia" w:ascii="宋体" w:hAnsi="宋体" w:cs="宋体"/>
          <w:color w:val="auto"/>
          <w:spacing w:val="-4"/>
          <w:szCs w:val="21"/>
          <w:highlight w:val="none"/>
        </w:rPr>
      </w:pPr>
      <w:r>
        <w:rPr>
          <w:rFonts w:ascii="宋体" w:hAnsi="宋体" w:cs="宋体"/>
          <w:color w:val="auto"/>
          <w:spacing w:val="-4"/>
          <w:szCs w:val="21"/>
          <w:highlight w:val="none"/>
          <w:lang w:val="zh-CN"/>
        </w:rPr>
        <w:t>5</w:t>
      </w:r>
      <w:r>
        <w:rPr>
          <w:rFonts w:hint="eastAsia" w:ascii="宋体" w:hAnsi="宋体" w:cs="宋体"/>
          <w:color w:val="auto"/>
          <w:spacing w:val="-4"/>
          <w:szCs w:val="21"/>
          <w:highlight w:val="none"/>
          <w:lang w:val="zh-CN"/>
        </w:rPr>
        <w:t>、本项目</w:t>
      </w:r>
      <w:r>
        <w:rPr>
          <w:rFonts w:hint="eastAsia" w:ascii="宋体" w:hAnsi="宋体" w:cs="宋体"/>
          <w:color w:val="auto"/>
          <w:spacing w:val="-4"/>
          <w:szCs w:val="21"/>
          <w:highlight w:val="none"/>
          <w:u w:val="single"/>
          <w:lang w:val="zh-CN"/>
        </w:rPr>
        <w:t>设定</w:t>
      </w:r>
      <w:r>
        <w:rPr>
          <w:rFonts w:hint="eastAsia" w:ascii="宋体" w:hAnsi="宋体" w:cs="宋体"/>
          <w:color w:val="auto"/>
          <w:spacing w:val="-4"/>
          <w:szCs w:val="21"/>
          <w:highlight w:val="none"/>
          <w:lang w:val="zh-CN"/>
        </w:rPr>
        <w:t>最高限价，</w:t>
      </w: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20.65</w:t>
      </w:r>
      <w:r>
        <w:rPr>
          <w:rFonts w:hint="eastAsia" w:ascii="宋体" w:hAnsi="宋体" w:cs="宋体"/>
          <w:color w:val="auto"/>
          <w:szCs w:val="21"/>
          <w:highlight w:val="none"/>
        </w:rPr>
        <w:t>万元</w:t>
      </w:r>
      <w:r>
        <w:rPr>
          <w:rFonts w:hint="eastAsia" w:ascii="宋体" w:hAnsi="宋体" w:cs="宋体"/>
          <w:color w:val="auto"/>
          <w:szCs w:val="21"/>
          <w:highlight w:val="none"/>
        </w:rPr>
        <w:t>，</w:t>
      </w:r>
      <w:r>
        <w:rPr>
          <w:rFonts w:hint="eastAsia" w:ascii="宋体" w:hAnsi="宋体" w:cs="宋体"/>
          <w:color w:val="auto"/>
          <w:spacing w:val="-4"/>
          <w:szCs w:val="21"/>
          <w:highlight w:val="none"/>
        </w:rPr>
        <w:t>报价超过最高限价的为无效报价，按照无效响应处理。</w:t>
      </w:r>
    </w:p>
    <w:p>
      <w:pPr>
        <w:spacing w:line="370" w:lineRule="exact"/>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、采购需求：</w:t>
      </w:r>
      <w:r>
        <w:rPr>
          <w:rFonts w:hint="eastAsia" w:ascii="宋体" w:hAnsi="宋体" w:cs="宋体"/>
          <w:color w:val="auto"/>
          <w:szCs w:val="21"/>
          <w:highlight w:val="none"/>
        </w:rPr>
        <w:t>具体详见磋商文件第四章</w:t>
      </w:r>
    </w:p>
    <w:p>
      <w:pPr>
        <w:spacing w:line="370" w:lineRule="exact"/>
        <w:ind w:firstLine="396" w:firstLineChars="200"/>
        <w:rPr>
          <w:rFonts w:ascii="宋体" w:cs="宋体"/>
          <w:bCs/>
          <w:color w:val="auto"/>
          <w:spacing w:val="-6"/>
          <w:szCs w:val="21"/>
          <w:highlight w:val="none"/>
        </w:rPr>
      </w:pPr>
      <w:r>
        <w:rPr>
          <w:rFonts w:ascii="宋体" w:hAnsi="宋体" w:cs="宋体"/>
          <w:color w:val="auto"/>
          <w:spacing w:val="-6"/>
          <w:szCs w:val="21"/>
          <w:highlight w:val="none"/>
        </w:rPr>
        <w:t>7</w:t>
      </w:r>
      <w:r>
        <w:rPr>
          <w:rFonts w:hint="eastAsia" w:ascii="宋体" w:hAnsi="宋体" w:cs="宋体"/>
          <w:color w:val="auto"/>
          <w:spacing w:val="-6"/>
          <w:szCs w:val="21"/>
          <w:highlight w:val="none"/>
        </w:rPr>
        <w:t>、合同履行期限：</w:t>
      </w:r>
      <w:r>
        <w:rPr>
          <w:rFonts w:hint="eastAsia" w:ascii="宋体" w:hAnsi="宋体"/>
          <w:color w:val="auto"/>
          <w:szCs w:val="21"/>
          <w:highlight w:val="none"/>
        </w:rPr>
        <w:t>同施工工期及缺陷服务期，其中施工工期为100日历天。</w:t>
      </w:r>
    </w:p>
    <w:p>
      <w:pPr>
        <w:widowControl/>
        <w:snapToGrid w:val="0"/>
        <w:spacing w:line="360" w:lineRule="auto"/>
        <w:ind w:firstLine="420"/>
        <w:jc w:val="left"/>
        <w:rPr>
          <w:rFonts w:ascii="宋体" w:hAnsi="宋体" w:cs="宋体"/>
          <w:color w:val="auto"/>
          <w:szCs w:val="21"/>
          <w:highlight w:val="none"/>
        </w:rPr>
      </w:pPr>
      <w:bookmarkStart w:id="4" w:name="_Toc35393622"/>
      <w:bookmarkStart w:id="5" w:name="_Toc28359003"/>
      <w:bookmarkStart w:id="6" w:name="_Toc28359080"/>
      <w:bookmarkStart w:id="7" w:name="_Toc38985264"/>
      <w:r>
        <w:rPr>
          <w:rFonts w:ascii="宋体" w:hAnsi="宋体" w:cs="宋体"/>
          <w:color w:val="auto"/>
          <w:szCs w:val="21"/>
          <w:highlight w:val="none"/>
        </w:rPr>
        <w:t>8</w:t>
      </w: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联合体参加磋商。</w:t>
      </w:r>
    </w:p>
    <w:bookmarkEnd w:id="4"/>
    <w:bookmarkEnd w:id="5"/>
    <w:bookmarkEnd w:id="6"/>
    <w:bookmarkEnd w:id="7"/>
    <w:p>
      <w:pPr>
        <w:tabs>
          <w:tab w:val="left" w:pos="900"/>
        </w:tabs>
        <w:spacing w:line="370" w:lineRule="exact"/>
        <w:rPr>
          <w:rFonts w:ascii="宋体" w:cs="宋体"/>
          <w:b/>
          <w:bCs/>
          <w:color w:val="auto"/>
          <w:szCs w:val="21"/>
          <w:highlight w:val="none"/>
        </w:rPr>
      </w:pPr>
      <w:r>
        <w:rPr>
          <w:rFonts w:hint="eastAsia" w:ascii="宋体" w:hAnsi="宋体" w:cs="宋体"/>
          <w:b/>
          <w:bCs/>
          <w:color w:val="auto"/>
          <w:szCs w:val="21"/>
          <w:highlight w:val="none"/>
        </w:rPr>
        <w:t>二、申请人的资格要求：</w:t>
      </w:r>
    </w:p>
    <w:p>
      <w:pPr>
        <w:spacing w:line="37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、满足以下规定，并提供下列材料：</w:t>
      </w:r>
    </w:p>
    <w:p>
      <w:pPr>
        <w:spacing w:line="37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1.1</w:t>
      </w:r>
      <w:r>
        <w:rPr>
          <w:rFonts w:hint="eastAsia" w:ascii="宋体" w:hAnsi="宋体" w:cs="宋体"/>
          <w:i/>
          <w:color w:val="auto"/>
          <w:szCs w:val="21"/>
          <w:highlight w:val="none"/>
          <w:u w:val="single"/>
        </w:rPr>
        <w:t>磋商响应函</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7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1.2</w:t>
      </w:r>
      <w:r>
        <w:rPr>
          <w:rFonts w:hint="eastAsia" w:ascii="宋体" w:hAnsi="宋体" w:cs="宋体"/>
          <w:i/>
          <w:color w:val="auto"/>
          <w:szCs w:val="21"/>
          <w:highlight w:val="none"/>
          <w:u w:val="single"/>
        </w:rPr>
        <w:t>资格声明</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7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1.3</w:t>
      </w:r>
      <w:r>
        <w:rPr>
          <w:rFonts w:hint="eastAsia" w:ascii="宋体" w:hAnsi="宋体" w:cs="宋体"/>
          <w:i/>
          <w:color w:val="auto"/>
          <w:szCs w:val="21"/>
          <w:highlight w:val="none"/>
          <w:u w:val="single"/>
        </w:rPr>
        <w:t>若法定代表人参加磋商的，须提供本人身份证复印件</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r>
        <w:rPr>
          <w:rFonts w:hint="eastAsia" w:ascii="宋体" w:hAnsi="宋体" w:cs="宋体"/>
          <w:i/>
          <w:color w:val="auto"/>
          <w:szCs w:val="21"/>
          <w:highlight w:val="none"/>
          <w:u w:val="single"/>
        </w:rPr>
        <w:t>；若授权代表参加磋商的，须提供《法人授权书》</w:t>
      </w:r>
      <w:r>
        <w:rPr>
          <w:rFonts w:hint="eastAsia" w:ascii="宋体" w:hAnsi="宋体" w:cs="宋体"/>
          <w:b/>
          <w:i/>
          <w:color w:val="auto"/>
          <w:szCs w:val="21"/>
          <w:highlight w:val="none"/>
          <w:u w:val="single"/>
        </w:rPr>
        <w:t>原件</w:t>
      </w:r>
      <w:r>
        <w:rPr>
          <w:rFonts w:hint="eastAsia" w:ascii="宋体" w:hAnsi="宋体" w:cs="宋体"/>
          <w:i/>
          <w:color w:val="auto"/>
          <w:szCs w:val="21"/>
          <w:highlight w:val="none"/>
          <w:u w:val="single"/>
        </w:rPr>
        <w:t>和授权代表身份证复印件</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p>
    <w:p>
      <w:pPr>
        <w:spacing w:line="37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1.4</w:t>
      </w:r>
      <w:r>
        <w:rPr>
          <w:rFonts w:hint="eastAsia" w:ascii="宋体" w:hAnsi="宋体" w:cs="宋体"/>
          <w:i/>
          <w:color w:val="auto"/>
          <w:szCs w:val="21"/>
          <w:highlight w:val="none"/>
          <w:u w:val="single"/>
        </w:rPr>
        <w:t>营业执照副本</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70" w:lineRule="exact"/>
        <w:ind w:firstLine="420" w:firstLineChars="200"/>
        <w:rPr>
          <w:rFonts w:ascii="宋体" w:cs="宋体"/>
          <w:i/>
          <w:color w:val="auto"/>
          <w:szCs w:val="21"/>
          <w:highlight w:val="none"/>
        </w:rPr>
      </w:pPr>
      <w:r>
        <w:rPr>
          <w:rFonts w:ascii="宋体" w:hAnsi="宋体" w:cs="宋体"/>
          <w:i/>
          <w:color w:val="auto"/>
          <w:szCs w:val="21"/>
          <w:highlight w:val="none"/>
          <w:u w:val="single"/>
        </w:rPr>
        <w:t>1.5</w:t>
      </w:r>
      <w:r>
        <w:rPr>
          <w:rFonts w:hint="eastAsia" w:ascii="宋体" w:hAnsi="宋体" w:cs="宋体"/>
          <w:i/>
          <w:color w:val="auto"/>
          <w:szCs w:val="21"/>
          <w:highlight w:val="none"/>
          <w:u w:val="single"/>
        </w:rPr>
        <w:t>依法缴纳职工社会保障资金的证明材料</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r>
        <w:rPr>
          <w:rFonts w:ascii="宋体" w:hAnsi="宋体" w:cs="宋体"/>
          <w:i/>
          <w:color w:val="auto"/>
          <w:szCs w:val="21"/>
          <w:highlight w:val="none"/>
          <w:u w:val="single"/>
        </w:rPr>
        <w:t>(</w:t>
      </w:r>
      <w:r>
        <w:rPr>
          <w:rFonts w:hint="eastAsia" w:ascii="宋体" w:hAnsi="宋体" w:cs="宋体"/>
          <w:i/>
          <w:color w:val="auto"/>
          <w:szCs w:val="21"/>
          <w:highlight w:val="none"/>
          <w:u w:val="single"/>
        </w:rPr>
        <w:t>税务、银行或社会保险基金管理部门出具的</w:t>
      </w:r>
      <w:r>
        <w:rPr>
          <w:rFonts w:ascii="宋体" w:hAnsi="宋体" w:cs="宋体"/>
          <w:i/>
          <w:color w:val="auto"/>
          <w:szCs w:val="21"/>
          <w:highlight w:val="none"/>
          <w:u w:val="single"/>
        </w:rPr>
        <w:t>202</w:t>
      </w:r>
      <w:r>
        <w:rPr>
          <w:rFonts w:hint="eastAsia" w:ascii="宋体" w:hAnsi="宋体" w:cs="宋体"/>
          <w:i/>
          <w:color w:val="auto"/>
          <w:szCs w:val="21"/>
          <w:highlight w:val="none"/>
          <w:u w:val="single"/>
        </w:rPr>
        <w:t>2年</w:t>
      </w:r>
      <w:r>
        <w:rPr>
          <w:rFonts w:hint="eastAsia" w:ascii="宋体" w:hAnsi="宋体" w:cs="宋体"/>
          <w:i/>
          <w:color w:val="auto"/>
          <w:szCs w:val="21"/>
          <w:highlight w:val="none"/>
          <w:u w:val="single"/>
          <w:lang w:val="en-US" w:eastAsia="zh-CN"/>
        </w:rPr>
        <w:t>5</w:t>
      </w:r>
      <w:r>
        <w:rPr>
          <w:rFonts w:hint="eastAsia" w:ascii="宋体" w:hAnsi="宋体" w:cs="宋体"/>
          <w:i/>
          <w:color w:val="auto"/>
          <w:szCs w:val="21"/>
          <w:highlight w:val="none"/>
          <w:u w:val="single"/>
        </w:rPr>
        <w:t>月</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hint="eastAsia" w:ascii="宋体" w:hAnsi="宋体" w:cs="宋体"/>
          <w:i/>
          <w:color w:val="auto"/>
          <w:szCs w:val="21"/>
          <w:highlight w:val="none"/>
          <w:u w:val="single"/>
          <w:lang w:val="en-US" w:eastAsia="zh-CN"/>
        </w:rPr>
        <w:t>7</w:t>
      </w:r>
      <w:r>
        <w:rPr>
          <w:rFonts w:hint="eastAsia" w:ascii="宋体" w:hAnsi="宋体" w:cs="宋体"/>
          <w:i/>
          <w:color w:val="auto"/>
          <w:szCs w:val="21"/>
          <w:highlight w:val="none"/>
          <w:u w:val="single"/>
        </w:rPr>
        <w:t>月三个月内任意一个月缴纳职工社会保障资金的缴款凭证或缴款证明</w:t>
      </w:r>
      <w:r>
        <w:rPr>
          <w:rFonts w:ascii="宋体" w:hAnsi="宋体" w:cs="宋体"/>
          <w:i/>
          <w:color w:val="auto"/>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70" w:lineRule="exact"/>
        <w:ind w:firstLine="396" w:firstLineChars="200"/>
        <w:rPr>
          <w:rFonts w:ascii="宋体" w:cs="宋体"/>
          <w:i/>
          <w:color w:val="auto"/>
          <w:spacing w:val="-6"/>
          <w:szCs w:val="21"/>
          <w:highlight w:val="none"/>
        </w:rPr>
      </w:pPr>
      <w:r>
        <w:rPr>
          <w:rFonts w:ascii="宋体" w:hAnsi="宋体" w:cs="宋体"/>
          <w:i/>
          <w:color w:val="auto"/>
          <w:spacing w:val="-6"/>
          <w:szCs w:val="21"/>
          <w:highlight w:val="none"/>
          <w:u w:val="single"/>
        </w:rPr>
        <w:t>1.6</w:t>
      </w:r>
      <w:r>
        <w:rPr>
          <w:rFonts w:hint="eastAsia" w:ascii="宋体" w:hAnsi="宋体" w:cs="宋体"/>
          <w:i/>
          <w:color w:val="auto"/>
          <w:spacing w:val="-6"/>
          <w:szCs w:val="21"/>
          <w:highlight w:val="none"/>
          <w:u w:val="single"/>
        </w:rPr>
        <w:t>供应商提供</w:t>
      </w:r>
      <w:r>
        <w:rPr>
          <w:rFonts w:ascii="宋体" w:hAnsi="宋体" w:cs="宋体"/>
          <w:i/>
          <w:color w:val="auto"/>
          <w:spacing w:val="-6"/>
          <w:szCs w:val="21"/>
          <w:highlight w:val="none"/>
          <w:u w:val="single"/>
        </w:rPr>
        <w:t>202</w:t>
      </w:r>
      <w:r>
        <w:rPr>
          <w:rFonts w:hint="eastAsia" w:ascii="宋体" w:hAnsi="宋体" w:cs="宋体"/>
          <w:i/>
          <w:color w:val="auto"/>
          <w:spacing w:val="-6"/>
          <w:szCs w:val="21"/>
          <w:highlight w:val="none"/>
          <w:u w:val="single"/>
        </w:rPr>
        <w:t>2年</w:t>
      </w:r>
      <w:r>
        <w:rPr>
          <w:rFonts w:hint="eastAsia" w:ascii="宋体" w:hAnsi="宋体" w:cs="宋体"/>
          <w:i/>
          <w:color w:val="auto"/>
          <w:spacing w:val="-6"/>
          <w:szCs w:val="21"/>
          <w:highlight w:val="none"/>
          <w:u w:val="single"/>
          <w:lang w:val="en-US" w:eastAsia="zh-CN"/>
        </w:rPr>
        <w:t>5</w:t>
      </w:r>
      <w:r>
        <w:rPr>
          <w:rFonts w:hint="eastAsia" w:ascii="宋体" w:hAnsi="宋体" w:cs="宋体"/>
          <w:i/>
          <w:color w:val="auto"/>
          <w:spacing w:val="-6"/>
          <w:szCs w:val="21"/>
          <w:highlight w:val="none"/>
          <w:u w:val="single"/>
        </w:rPr>
        <w:t>月</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hint="eastAsia" w:ascii="宋体" w:hAnsi="宋体" w:cs="宋体"/>
          <w:i/>
          <w:color w:val="auto"/>
          <w:spacing w:val="-6"/>
          <w:szCs w:val="21"/>
          <w:highlight w:val="none"/>
          <w:u w:val="single"/>
          <w:lang w:val="en-US" w:eastAsia="zh-CN"/>
        </w:rPr>
        <w:t>7</w:t>
      </w:r>
      <w:r>
        <w:rPr>
          <w:rFonts w:hint="eastAsia" w:ascii="宋体" w:hAnsi="宋体" w:cs="宋体"/>
          <w:i/>
          <w:color w:val="auto"/>
          <w:spacing w:val="-6"/>
          <w:szCs w:val="21"/>
          <w:highlight w:val="none"/>
          <w:u w:val="single"/>
        </w:rPr>
        <w:t>月三个月内任意一份依法纳税的缴款凭证</w:t>
      </w:r>
      <w:r>
        <w:rPr>
          <w:rFonts w:ascii="宋体" w:hAnsi="宋体" w:cs="宋体"/>
          <w:b/>
          <w:i/>
          <w:color w:val="auto"/>
          <w:spacing w:val="-6"/>
          <w:szCs w:val="21"/>
          <w:highlight w:val="none"/>
          <w:u w:val="single"/>
        </w:rPr>
        <w:t>(</w:t>
      </w:r>
      <w:r>
        <w:rPr>
          <w:rFonts w:hint="eastAsia" w:ascii="宋体" w:hAnsi="宋体" w:cs="宋体"/>
          <w:b/>
          <w:i/>
          <w:color w:val="auto"/>
          <w:spacing w:val="-6"/>
          <w:szCs w:val="21"/>
          <w:highlight w:val="none"/>
          <w:u w:val="single"/>
        </w:rPr>
        <w:t>复印件加盖供应商公章</w:t>
      </w:r>
      <w:r>
        <w:rPr>
          <w:rFonts w:ascii="宋体" w:hAnsi="宋体" w:cs="宋体"/>
          <w:b/>
          <w:i/>
          <w:color w:val="auto"/>
          <w:spacing w:val="-6"/>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70" w:lineRule="exact"/>
        <w:ind w:firstLine="420" w:firstLineChars="200"/>
        <w:rPr>
          <w:rFonts w:ascii="宋体" w:cs="宋体"/>
          <w:b/>
          <w:i/>
          <w:color w:val="auto"/>
          <w:szCs w:val="21"/>
          <w:highlight w:val="none"/>
          <w:u w:val="single"/>
        </w:rPr>
      </w:pPr>
      <w:r>
        <w:rPr>
          <w:rFonts w:ascii="宋体" w:hAnsi="宋体" w:cs="宋体"/>
          <w:i/>
          <w:color w:val="auto"/>
          <w:szCs w:val="21"/>
          <w:highlight w:val="none"/>
          <w:u w:val="single"/>
        </w:rPr>
        <w:t>1.7</w:t>
      </w:r>
      <w:r>
        <w:rPr>
          <w:rFonts w:hint="eastAsia" w:ascii="宋体" w:hAnsi="宋体" w:cs="宋体"/>
          <w:i/>
          <w:color w:val="auto"/>
          <w:spacing w:val="-6"/>
          <w:szCs w:val="21"/>
          <w:highlight w:val="none"/>
          <w:u w:val="single"/>
        </w:rPr>
        <w:t>上一年度的</w:t>
      </w:r>
      <w:r>
        <w:rPr>
          <w:rFonts w:hint="eastAsia" w:ascii="宋体" w:hAnsi="宋体" w:cs="宋体"/>
          <w:i/>
          <w:color w:val="auto"/>
          <w:szCs w:val="21"/>
          <w:highlight w:val="none"/>
          <w:u w:val="single"/>
        </w:rPr>
        <w:t>财务报告情况</w:t>
      </w:r>
      <w:r>
        <w:rPr>
          <w:rFonts w:hint="eastAsia" w:ascii="宋体" w:hAnsi="宋体" w:cs="宋体"/>
          <w:b/>
          <w:bCs/>
          <w:i/>
          <w:color w:val="auto"/>
          <w:szCs w:val="21"/>
          <w:highlight w:val="none"/>
          <w:u w:val="single"/>
        </w:rPr>
        <w:t>（成立不满一年不需提供）</w:t>
      </w:r>
      <w:r>
        <w:rPr>
          <w:rFonts w:ascii="宋体" w:hAnsi="宋体" w:cs="宋体"/>
          <w:b/>
          <w:i/>
          <w:color w:val="auto"/>
          <w:szCs w:val="21"/>
          <w:highlight w:val="none"/>
          <w:u w:val="single"/>
        </w:rPr>
        <w:t xml:space="preserve"> (</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70" w:lineRule="exact"/>
        <w:ind w:firstLine="525" w:firstLineChars="250"/>
        <w:rPr>
          <w:rFonts w:ascii="宋体" w:cs="宋体"/>
          <w:i/>
          <w:color w:val="auto"/>
          <w:szCs w:val="21"/>
          <w:highlight w:val="none"/>
          <w:u w:val="single"/>
        </w:rPr>
      </w:pPr>
      <w:r>
        <w:rPr>
          <w:rFonts w:ascii="宋体" w:hAnsi="宋体" w:cs="宋体"/>
          <w:i/>
          <w:color w:val="auto"/>
          <w:szCs w:val="21"/>
          <w:highlight w:val="none"/>
          <w:u w:val="single"/>
        </w:rPr>
        <w:t>1.8</w:t>
      </w:r>
      <w:r>
        <w:rPr>
          <w:rFonts w:hint="eastAsia" w:ascii="宋体" w:hAnsi="宋体" w:cs="宋体"/>
          <w:i/>
          <w:color w:val="auto"/>
          <w:szCs w:val="21"/>
          <w:highlight w:val="none"/>
          <w:u w:val="single"/>
        </w:rPr>
        <w:t>具备履行合同所必需的设备和专业技术能力的证明材料</w:t>
      </w:r>
      <w:r>
        <w:rPr>
          <w:rFonts w:hint="eastAsia" w:ascii="宋体" w:hAnsi="宋体" w:cs="宋体"/>
          <w:b/>
          <w:i/>
          <w:color w:val="auto"/>
          <w:szCs w:val="21"/>
          <w:highlight w:val="none"/>
          <w:u w:val="single"/>
        </w:rPr>
        <w:t>（原件）</w:t>
      </w:r>
    </w:p>
    <w:p>
      <w:pPr>
        <w:spacing w:line="370" w:lineRule="exact"/>
        <w:ind w:firstLine="420" w:firstLineChars="200"/>
        <w:outlineLvl w:val="0"/>
        <w:rPr>
          <w:rFonts w:ascii="宋体" w:cs="宋体"/>
          <w:b/>
          <w:i/>
          <w:color w:val="auto"/>
          <w:szCs w:val="21"/>
          <w:highlight w:val="none"/>
          <w:u w:val="single"/>
        </w:rPr>
      </w:pPr>
      <w:r>
        <w:rPr>
          <w:rFonts w:ascii="宋体" w:hAnsi="宋体" w:cs="宋体"/>
          <w:i/>
          <w:color w:val="auto"/>
          <w:szCs w:val="21"/>
          <w:highlight w:val="none"/>
          <w:u w:val="single"/>
        </w:rPr>
        <w:t>1.9</w:t>
      </w:r>
      <w:r>
        <w:rPr>
          <w:rFonts w:hint="eastAsia" w:ascii="宋体" w:hAnsi="宋体" w:cs="宋体"/>
          <w:i/>
          <w:color w:val="auto"/>
          <w:szCs w:val="21"/>
          <w:highlight w:val="none"/>
          <w:u w:val="single"/>
        </w:rPr>
        <w:t>供应商参加本次采购活动前</w:t>
      </w:r>
      <w:r>
        <w:rPr>
          <w:rFonts w:ascii="宋体" w:hAnsi="宋体" w:cs="宋体"/>
          <w:i/>
          <w:color w:val="auto"/>
          <w:szCs w:val="21"/>
          <w:highlight w:val="none"/>
          <w:u w:val="single"/>
        </w:rPr>
        <w:t>3</w:t>
      </w:r>
      <w:r>
        <w:rPr>
          <w:rFonts w:hint="eastAsia" w:ascii="宋体" w:hAnsi="宋体" w:cs="宋体"/>
          <w:i/>
          <w:color w:val="auto"/>
          <w:szCs w:val="21"/>
          <w:highlight w:val="none"/>
          <w:u w:val="single"/>
        </w:rPr>
        <w:t>年内在经营活动中没有重大违法记录的书面声明</w:t>
      </w:r>
      <w:r>
        <w:rPr>
          <w:rFonts w:hint="eastAsia" w:ascii="宋体" w:hAnsi="宋体" w:cs="宋体"/>
          <w:b/>
          <w:i/>
          <w:color w:val="auto"/>
          <w:szCs w:val="21"/>
          <w:highlight w:val="none"/>
          <w:u w:val="single"/>
        </w:rPr>
        <w:t>（原件）</w:t>
      </w:r>
    </w:p>
    <w:p>
      <w:pPr>
        <w:spacing w:line="370" w:lineRule="exact"/>
        <w:ind w:firstLine="420" w:firstLineChars="200"/>
        <w:outlineLvl w:val="0"/>
        <w:rPr>
          <w:rFonts w:ascii="宋体" w:cs="宋体"/>
          <w:b/>
          <w:bCs/>
          <w:i/>
          <w:color w:val="auto"/>
          <w:szCs w:val="21"/>
          <w:highlight w:val="none"/>
          <w:u w:val="single"/>
        </w:rPr>
      </w:pPr>
      <w:r>
        <w:rPr>
          <w:rFonts w:ascii="宋体" w:hAnsi="宋体" w:cs="宋体"/>
          <w:bCs/>
          <w:i/>
          <w:color w:val="auto"/>
          <w:szCs w:val="21"/>
          <w:highlight w:val="none"/>
          <w:u w:val="single"/>
        </w:rPr>
        <w:t>1.</w:t>
      </w:r>
      <w:bookmarkStart w:id="8" w:name="_Toc28359014"/>
      <w:r>
        <w:rPr>
          <w:rFonts w:ascii="宋体" w:hAnsi="宋体" w:cs="宋体"/>
          <w:bCs/>
          <w:i/>
          <w:color w:val="auto"/>
          <w:szCs w:val="21"/>
          <w:highlight w:val="none"/>
          <w:u w:val="single"/>
        </w:rPr>
        <w:t>10</w:t>
      </w:r>
      <w:r>
        <w:rPr>
          <w:rFonts w:hint="eastAsia" w:ascii="宋体" w:hAnsi="宋体" w:cs="宋体"/>
          <w:bCs/>
          <w:i/>
          <w:color w:val="auto"/>
          <w:szCs w:val="21"/>
          <w:highlight w:val="none"/>
          <w:u w:val="single"/>
        </w:rPr>
        <w:t>未</w:t>
      </w:r>
      <w:r>
        <w:rPr>
          <w:rFonts w:hint="eastAsia" w:ascii="宋体" w:hAnsi="宋体" w:cs="宋体"/>
          <w:i/>
          <w:color w:val="auto"/>
          <w:szCs w:val="21"/>
          <w:highlight w:val="none"/>
          <w:u w:val="single"/>
        </w:rPr>
        <w:t>被“信用中国”网站（</w:t>
      </w:r>
      <w:r>
        <w:rPr>
          <w:rFonts w:ascii="宋体" w:hAnsi="宋体" w:cs="宋体"/>
          <w:i/>
          <w:color w:val="auto"/>
          <w:szCs w:val="21"/>
          <w:highlight w:val="none"/>
          <w:u w:val="single"/>
        </w:rPr>
        <w:t>www.creditchina.gov.cn</w:t>
      </w:r>
      <w:r>
        <w:rPr>
          <w:rFonts w:hint="eastAsia" w:ascii="宋体" w:hAnsi="宋体" w:cs="宋体"/>
          <w:i/>
          <w:color w:val="auto"/>
          <w:szCs w:val="21"/>
          <w:highlight w:val="none"/>
          <w:u w:val="single"/>
        </w:rPr>
        <w:t>）、“中国政府采购网</w:t>
      </w:r>
      <w:r>
        <w:rPr>
          <w:rFonts w:ascii="宋体" w:hAnsi="宋体" w:cs="宋体"/>
          <w:i/>
          <w:color w:val="auto"/>
          <w:szCs w:val="21"/>
          <w:highlight w:val="none"/>
          <w:u w:val="single"/>
        </w:rPr>
        <w:t>"(www.ccgp.gov.cn)</w:t>
      </w:r>
      <w:r>
        <w:rPr>
          <w:rFonts w:hint="eastAsia" w:ascii="宋体" w:hAnsi="宋体" w:cs="宋体"/>
          <w:i/>
          <w:color w:val="auto"/>
          <w:szCs w:val="21"/>
          <w:highlight w:val="none"/>
          <w:u w:val="single"/>
        </w:rPr>
        <w:t>列入失信被执行人、重大税收违法案件当事人名单、政府采购严重违法失信行为记录名单</w:t>
      </w:r>
      <w:r>
        <w:rPr>
          <w:rFonts w:hint="eastAsia" w:ascii="宋体" w:hAnsi="宋体" w:cs="宋体"/>
          <w:b/>
          <w:bCs/>
          <w:i/>
          <w:color w:val="auto"/>
          <w:szCs w:val="21"/>
          <w:highlight w:val="none"/>
          <w:u w:val="single"/>
        </w:rPr>
        <w:t>（提供网页截图加盖供应商公章）</w:t>
      </w:r>
      <w:bookmarkEnd w:id="8"/>
    </w:p>
    <w:p>
      <w:pPr>
        <w:spacing w:line="370" w:lineRule="exact"/>
        <w:ind w:firstLine="420" w:firstLineChars="200"/>
        <w:outlineLvl w:val="0"/>
        <w:rPr>
          <w:rFonts w:ascii="宋体" w:cs="宋体"/>
          <w:b/>
          <w:bCs/>
          <w:i/>
          <w:color w:val="auto"/>
          <w:szCs w:val="21"/>
          <w:highlight w:val="none"/>
          <w:u w:val="single"/>
        </w:rPr>
      </w:pPr>
      <w:r>
        <w:rPr>
          <w:rFonts w:ascii="宋体" w:hAnsi="宋体" w:cs="宋体"/>
          <w:i/>
          <w:color w:val="auto"/>
          <w:szCs w:val="21"/>
          <w:highlight w:val="none"/>
          <w:u w:val="single"/>
        </w:rPr>
        <w:t>1.1</w:t>
      </w:r>
      <w:bookmarkStart w:id="9" w:name="_Toc55204177"/>
      <w:r>
        <w:rPr>
          <w:rFonts w:ascii="宋体" w:hAnsi="宋体" w:cs="宋体"/>
          <w:i/>
          <w:color w:val="auto"/>
          <w:szCs w:val="21"/>
          <w:highlight w:val="none"/>
          <w:u w:val="single"/>
        </w:rPr>
        <w:t>1</w:t>
      </w:r>
      <w:r>
        <w:rPr>
          <w:rFonts w:hint="eastAsia" w:ascii="宋体" w:hAnsi="宋体" w:cs="宋体"/>
          <w:i/>
          <w:color w:val="auto"/>
          <w:szCs w:val="21"/>
          <w:highlight w:val="none"/>
          <w:u w:val="single"/>
        </w:rPr>
        <w:t>供应商信用承诺函</w:t>
      </w:r>
      <w:bookmarkEnd w:id="9"/>
      <w:r>
        <w:rPr>
          <w:rFonts w:hint="eastAsia" w:ascii="宋体" w:hAnsi="宋体" w:cs="宋体"/>
          <w:b/>
          <w:bCs/>
          <w:i/>
          <w:color w:val="auto"/>
          <w:szCs w:val="21"/>
          <w:highlight w:val="none"/>
          <w:u w:val="single"/>
        </w:rPr>
        <w:t>（原件）</w:t>
      </w:r>
    </w:p>
    <w:p>
      <w:pPr>
        <w:snapToGrid w:val="0"/>
        <w:spacing w:line="37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：如参加本项目的供应商为个体工商户、自然人或事业法人等非企业法人，响应文件中</w:t>
      </w:r>
      <w:r>
        <w:rPr>
          <w:rFonts w:ascii="宋体" w:hAnsi="宋体" w:cs="宋体"/>
          <w:color w:val="auto"/>
          <w:szCs w:val="21"/>
          <w:highlight w:val="none"/>
        </w:rPr>
        <w:t>1.5-1.7</w:t>
      </w:r>
      <w:r>
        <w:rPr>
          <w:rFonts w:hint="eastAsia" w:ascii="宋体" w:hAnsi="宋体" w:cs="宋体"/>
          <w:color w:val="auto"/>
          <w:szCs w:val="21"/>
          <w:highlight w:val="none"/>
        </w:rPr>
        <w:t>项中证明材料需用相应文件证明替代。</w:t>
      </w:r>
    </w:p>
    <w:p>
      <w:pPr>
        <w:snapToGrid w:val="0"/>
        <w:spacing w:line="37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2</w:t>
      </w:r>
      <w:r>
        <w:rPr>
          <w:rFonts w:hint="eastAsia" w:ascii="宋体" w:hAnsi="宋体" w:cs="宋体"/>
          <w:color w:val="auto"/>
          <w:szCs w:val="21"/>
          <w:highlight w:val="none"/>
        </w:rPr>
        <w:t>：响应文件的正本和副本中均须提供上述资格证明文件。资格证明文件须清晰可辨，若有缺失或不清晰，将导致投标被拒绝且不允许在开标后补正。</w:t>
      </w:r>
    </w:p>
    <w:p>
      <w:pPr>
        <w:snapToGrid w:val="0"/>
        <w:spacing w:line="370" w:lineRule="exact"/>
        <w:ind w:firstLine="420" w:firstLineChars="200"/>
        <w:rPr>
          <w:rFonts w:ascii="宋体" w:cs="宋体"/>
          <w:color w:val="auto"/>
          <w:szCs w:val="21"/>
          <w:highlight w:val="none"/>
        </w:rPr>
      </w:pPr>
      <w:bookmarkStart w:id="10" w:name="_Toc28359001"/>
      <w:bookmarkStart w:id="11" w:name="_Toc38985262"/>
      <w:r>
        <w:rPr>
          <w:rFonts w:ascii="宋体" w:hAnsi="宋体" w:cs="宋体"/>
          <w:color w:val="auto"/>
          <w:szCs w:val="21"/>
          <w:highlight w:val="none"/>
        </w:rPr>
        <w:t>2</w:t>
      </w:r>
      <w:r>
        <w:rPr>
          <w:rFonts w:hint="eastAsia" w:ascii="宋体" w:hAnsi="宋体" w:cs="宋体"/>
          <w:color w:val="auto"/>
          <w:szCs w:val="21"/>
          <w:highlight w:val="none"/>
        </w:rPr>
        <w:t>、落实采购政策需满足的资格要求：无</w:t>
      </w:r>
    </w:p>
    <w:p>
      <w:pPr>
        <w:snapToGrid w:val="0"/>
        <w:spacing w:line="370" w:lineRule="exact"/>
        <w:ind w:firstLine="420" w:firstLineChars="200"/>
        <w:rPr>
          <w:rFonts w:ascii="宋体" w:cs="宋体"/>
          <w:color w:val="auto"/>
          <w:szCs w:val="21"/>
          <w:highlight w:val="none"/>
        </w:rPr>
      </w:pPr>
      <w:r>
        <w:rPr>
          <w:rFonts w:ascii="宋体" w:hAnsi="宋体" w:cs="宋体"/>
          <w:color w:val="auto"/>
          <w:szCs w:val="21"/>
          <w:highlight w:val="none"/>
        </w:rPr>
        <w:t>3</w:t>
      </w:r>
      <w:bookmarkEnd w:id="10"/>
      <w:r>
        <w:rPr>
          <w:rFonts w:hint="eastAsia" w:ascii="宋体" w:hAnsi="宋体" w:cs="宋体"/>
          <w:color w:val="auto"/>
          <w:szCs w:val="21"/>
          <w:highlight w:val="none"/>
        </w:rPr>
        <w:t>、本项目的特定资格要求：</w:t>
      </w:r>
      <w:bookmarkEnd w:id="11"/>
    </w:p>
    <w:p>
      <w:pPr>
        <w:spacing w:line="370" w:lineRule="exact"/>
        <w:ind w:firstLine="525" w:firstLineChars="250"/>
        <w:rPr>
          <w:rFonts w:ascii="宋体" w:hAnsi="宋体"/>
          <w:b/>
          <w:i/>
          <w:color w:val="auto"/>
          <w:highlight w:val="none"/>
          <w:u w:val="single"/>
        </w:rPr>
      </w:pPr>
      <w:r>
        <w:rPr>
          <w:rFonts w:hint="eastAsia" w:ascii="宋体" w:hAnsi="宋体"/>
          <w:i/>
          <w:iCs/>
          <w:color w:val="auto"/>
          <w:highlight w:val="none"/>
          <w:u w:val="single"/>
        </w:rPr>
        <w:t>3.1供应商具备工程监理综合资质或市政公用工程监理乙级及以上资质</w:t>
      </w:r>
      <w:r>
        <w:rPr>
          <w:rFonts w:hint="eastAsia" w:ascii="宋体" w:hAnsi="宋体"/>
          <w:b/>
          <w:i/>
          <w:color w:val="auto"/>
          <w:highlight w:val="none"/>
          <w:u w:val="single"/>
        </w:rPr>
        <w:t>(复印件加盖供应商公章)</w:t>
      </w:r>
    </w:p>
    <w:p>
      <w:pPr>
        <w:spacing w:line="370" w:lineRule="exact"/>
        <w:ind w:firstLine="396" w:firstLineChars="200"/>
        <w:rPr>
          <w:rFonts w:ascii="宋体" w:hAnsi="宋体"/>
          <w:b/>
          <w:i/>
          <w:color w:val="auto"/>
          <w:szCs w:val="21"/>
          <w:highlight w:val="none"/>
          <w:u w:val="single"/>
        </w:rPr>
      </w:pPr>
      <w:r>
        <w:rPr>
          <w:rFonts w:hint="eastAsia" w:ascii="宋体" w:hAnsi="宋体" w:cs="Arial"/>
          <w:bCs/>
          <w:i/>
          <w:iCs/>
          <w:color w:val="auto"/>
          <w:spacing w:val="-6"/>
          <w:szCs w:val="21"/>
          <w:highlight w:val="none"/>
          <w:u w:val="single"/>
        </w:rPr>
        <w:t>3.2</w:t>
      </w:r>
      <w:r>
        <w:rPr>
          <w:rFonts w:hint="eastAsia" w:ascii="宋体" w:hAnsi="宋体"/>
          <w:i/>
          <w:color w:val="auto"/>
          <w:szCs w:val="21"/>
          <w:highlight w:val="none"/>
          <w:u w:val="single"/>
        </w:rPr>
        <w:t>拟派项目总监为本公司正式员工，正常缴纳社会保险，具备</w:t>
      </w:r>
      <w:r>
        <w:rPr>
          <w:rFonts w:hint="eastAsia" w:ascii="宋体" w:hAnsi="宋体" w:cs="Arial"/>
          <w:i/>
          <w:iCs/>
          <w:color w:val="auto"/>
          <w:spacing w:val="-6"/>
          <w:szCs w:val="21"/>
          <w:highlight w:val="none"/>
          <w:u w:val="single"/>
        </w:rPr>
        <w:t>市政公用工程国家注册监理工程师资格</w:t>
      </w:r>
      <w:r>
        <w:rPr>
          <w:rFonts w:hint="eastAsia" w:ascii="宋体" w:hAnsi="宋体"/>
          <w:i/>
          <w:color w:val="auto"/>
          <w:szCs w:val="21"/>
          <w:highlight w:val="none"/>
          <w:u w:val="single"/>
        </w:rPr>
        <w:t xml:space="preserve"> (提供拟派项目总监</w:t>
      </w:r>
      <w:r>
        <w:rPr>
          <w:rFonts w:hint="eastAsia" w:ascii="宋体" w:hAnsi="宋体" w:cs="Arial"/>
          <w:i/>
          <w:iCs/>
          <w:color w:val="auto"/>
          <w:spacing w:val="-6"/>
          <w:szCs w:val="21"/>
          <w:highlight w:val="none"/>
          <w:u w:val="single"/>
        </w:rPr>
        <w:t>市政公用工程国家注册监理工程师</w:t>
      </w:r>
      <w:r>
        <w:rPr>
          <w:rFonts w:hint="eastAsia" w:ascii="宋体" w:hAnsi="宋体"/>
          <w:i/>
          <w:color w:val="auto"/>
          <w:szCs w:val="21"/>
          <w:highlight w:val="none"/>
          <w:u w:val="single"/>
        </w:rPr>
        <w:t>证书和供应商为其缴纳的2022年</w:t>
      </w:r>
      <w:r>
        <w:rPr>
          <w:rFonts w:hint="eastAsia" w:ascii="宋体" w:hAnsi="宋体"/>
          <w:i/>
          <w:color w:val="auto"/>
          <w:szCs w:val="21"/>
          <w:highlight w:val="none"/>
          <w:u w:val="single"/>
          <w:lang w:val="en-US" w:eastAsia="zh-CN"/>
        </w:rPr>
        <w:t>5</w:t>
      </w:r>
      <w:r>
        <w:rPr>
          <w:rFonts w:hint="eastAsia" w:ascii="宋体" w:hAnsi="宋体"/>
          <w:i/>
          <w:color w:val="auto"/>
          <w:szCs w:val="21"/>
          <w:highlight w:val="none"/>
          <w:u w:val="single"/>
        </w:rPr>
        <w:t>至2022年</w:t>
      </w:r>
      <w:r>
        <w:rPr>
          <w:rFonts w:hint="eastAsia" w:ascii="宋体" w:hAnsi="宋体"/>
          <w:i/>
          <w:color w:val="auto"/>
          <w:szCs w:val="21"/>
          <w:highlight w:val="none"/>
          <w:u w:val="single"/>
          <w:lang w:val="en-US" w:eastAsia="zh-CN"/>
        </w:rPr>
        <w:t>7</w:t>
      </w:r>
      <w:r>
        <w:rPr>
          <w:rFonts w:hint="eastAsia" w:ascii="宋体" w:hAnsi="宋体"/>
          <w:i/>
          <w:color w:val="auto"/>
          <w:szCs w:val="21"/>
          <w:highlight w:val="none"/>
          <w:u w:val="single"/>
        </w:rPr>
        <w:t>月连续三个月的社保证明)</w:t>
      </w:r>
      <w:r>
        <w:rPr>
          <w:rFonts w:hint="eastAsia" w:ascii="宋体" w:hAnsi="宋体"/>
          <w:b/>
          <w:i/>
          <w:color w:val="auto"/>
          <w:szCs w:val="21"/>
          <w:highlight w:val="none"/>
          <w:u w:val="single"/>
        </w:rPr>
        <w:t>（复印件加盖供应商公章，原件备查)</w:t>
      </w:r>
    </w:p>
    <w:p>
      <w:pPr>
        <w:spacing w:line="370" w:lineRule="exact"/>
        <w:ind w:firstLine="420" w:firstLineChars="200"/>
        <w:rPr>
          <w:rFonts w:ascii="宋体" w:hAnsi="宋体" w:cs="Arial"/>
          <w:b/>
          <w:bCs/>
          <w:i/>
          <w:iCs/>
          <w:color w:val="auto"/>
          <w:spacing w:val="-6"/>
          <w:szCs w:val="21"/>
          <w:highlight w:val="none"/>
          <w:u w:val="single"/>
        </w:rPr>
      </w:pPr>
      <w:r>
        <w:rPr>
          <w:rFonts w:hint="eastAsia" w:ascii="宋体" w:hAnsi="宋体"/>
          <w:i/>
          <w:color w:val="auto"/>
          <w:szCs w:val="21"/>
          <w:highlight w:val="none"/>
          <w:u w:val="single"/>
        </w:rPr>
        <w:t>3.3 拟派项目总监无在手工程或项目总监在手工程符合扬建工（2014）8号文件的规定；项目总监不得同时在两个或者两个以上单</w:t>
      </w:r>
      <w:r>
        <w:rPr>
          <w:rFonts w:hint="eastAsia" w:ascii="宋体" w:hAnsi="宋体" w:cs="Arial"/>
          <w:i/>
          <w:iCs/>
          <w:color w:val="auto"/>
          <w:spacing w:val="-6"/>
          <w:szCs w:val="21"/>
          <w:highlight w:val="none"/>
          <w:u w:val="single"/>
        </w:rPr>
        <w:t>位受聘或者执业：（1）同时在两个及以上单位签订劳动合同或交纳社会保险；（2）将本人执（职）业资格证书同时注册在两个及以上单位（</w:t>
      </w:r>
      <w:r>
        <w:rPr>
          <w:rFonts w:hint="eastAsia" w:ascii="宋体" w:hAnsi="宋体"/>
          <w:b/>
          <w:bCs/>
          <w:i/>
          <w:color w:val="auto"/>
          <w:szCs w:val="21"/>
          <w:highlight w:val="none"/>
          <w:u w:val="single"/>
        </w:rPr>
        <w:t>拟</w:t>
      </w:r>
      <w:r>
        <w:rPr>
          <w:rFonts w:hint="eastAsia"/>
          <w:b/>
          <w:bCs/>
          <w:i/>
          <w:color w:val="auto"/>
          <w:szCs w:val="21"/>
          <w:highlight w:val="none"/>
          <w:u w:val="single"/>
        </w:rPr>
        <w:t>派</w:t>
      </w:r>
      <w:r>
        <w:rPr>
          <w:rFonts w:hint="eastAsia" w:ascii="宋体" w:hAnsi="宋体"/>
          <w:b/>
          <w:bCs/>
          <w:i/>
          <w:color w:val="auto"/>
          <w:szCs w:val="21"/>
          <w:highlight w:val="none"/>
          <w:u w:val="single"/>
        </w:rPr>
        <w:t>项目总监无在手工程或在手工程情况符合扬建工（2014）8号文件规定的承诺原件</w:t>
      </w:r>
      <w:r>
        <w:rPr>
          <w:rFonts w:hint="eastAsia" w:ascii="宋体" w:hAnsi="宋体" w:cs="Arial"/>
          <w:b/>
          <w:bCs/>
          <w:i/>
          <w:iCs/>
          <w:color w:val="auto"/>
          <w:spacing w:val="-6"/>
          <w:szCs w:val="21"/>
          <w:highlight w:val="none"/>
          <w:u w:val="single"/>
        </w:rPr>
        <w:t>）</w:t>
      </w:r>
    </w:p>
    <w:p>
      <w:pPr>
        <w:spacing w:line="370" w:lineRule="exact"/>
        <w:ind w:firstLine="396" w:firstLineChars="200"/>
        <w:rPr>
          <w:rFonts w:ascii="宋体" w:hAnsi="宋体" w:cs="Arial"/>
          <w:b/>
          <w:i/>
          <w:iCs/>
          <w:color w:val="auto"/>
          <w:spacing w:val="-6"/>
          <w:szCs w:val="21"/>
          <w:highlight w:val="none"/>
          <w:u w:val="single"/>
        </w:rPr>
      </w:pPr>
      <w:r>
        <w:rPr>
          <w:rFonts w:hint="eastAsia" w:ascii="宋体" w:hAnsi="宋体" w:cs="Arial"/>
          <w:i/>
          <w:iCs/>
          <w:color w:val="auto"/>
          <w:spacing w:val="-6"/>
          <w:szCs w:val="21"/>
          <w:highlight w:val="none"/>
          <w:u w:val="single"/>
        </w:rPr>
        <w:t>3.4供应商为本项目授权委托人缴纳的2022年</w:t>
      </w:r>
      <w:r>
        <w:rPr>
          <w:rFonts w:hint="eastAsia" w:ascii="宋体" w:hAnsi="宋体" w:cs="Arial"/>
          <w:i/>
          <w:iCs/>
          <w:color w:val="auto"/>
          <w:spacing w:val="-6"/>
          <w:szCs w:val="21"/>
          <w:highlight w:val="none"/>
          <w:u w:val="single"/>
          <w:lang w:val="en-US" w:eastAsia="zh-CN"/>
        </w:rPr>
        <w:t>5</w:t>
      </w:r>
      <w:r>
        <w:rPr>
          <w:rFonts w:hint="eastAsia" w:ascii="宋体" w:hAnsi="宋体" w:cs="Arial"/>
          <w:i/>
          <w:iCs/>
          <w:color w:val="auto"/>
          <w:spacing w:val="-6"/>
          <w:szCs w:val="21"/>
          <w:highlight w:val="none"/>
          <w:u w:val="single"/>
        </w:rPr>
        <w:t>月至 2022年</w:t>
      </w:r>
      <w:r>
        <w:rPr>
          <w:rFonts w:hint="eastAsia" w:ascii="宋体" w:hAnsi="宋体" w:cs="Arial"/>
          <w:i/>
          <w:iCs/>
          <w:color w:val="auto"/>
          <w:spacing w:val="-6"/>
          <w:szCs w:val="21"/>
          <w:highlight w:val="none"/>
          <w:u w:val="single"/>
          <w:lang w:val="en-US" w:eastAsia="zh-CN"/>
        </w:rPr>
        <w:t>7</w:t>
      </w:r>
      <w:r>
        <w:rPr>
          <w:rFonts w:hint="eastAsia" w:ascii="宋体" w:hAnsi="宋体" w:cs="Arial"/>
          <w:i/>
          <w:iCs/>
          <w:color w:val="auto"/>
          <w:spacing w:val="-6"/>
          <w:szCs w:val="21"/>
          <w:highlight w:val="none"/>
          <w:u w:val="single"/>
        </w:rPr>
        <w:t>月连续三个月的社保证明</w:t>
      </w:r>
      <w:r>
        <w:rPr>
          <w:rFonts w:hint="eastAsia" w:ascii="宋体" w:hAnsi="宋体" w:cs="Arial"/>
          <w:b/>
          <w:i/>
          <w:iCs/>
          <w:color w:val="auto"/>
          <w:spacing w:val="-6"/>
          <w:szCs w:val="21"/>
          <w:highlight w:val="none"/>
          <w:u w:val="single"/>
        </w:rPr>
        <w:t>(复印件加盖供应商公章)</w:t>
      </w:r>
    </w:p>
    <w:p>
      <w:pPr>
        <w:snapToGrid w:val="0"/>
        <w:spacing w:line="37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、拒绝下述供应商参加本次采购活动：</w:t>
      </w:r>
    </w:p>
    <w:p>
      <w:pPr>
        <w:spacing w:line="370" w:lineRule="exact"/>
        <w:ind w:firstLine="420" w:firstLineChars="200"/>
        <w:outlineLvl w:val="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）供应商单位负责人为同一人或者存在直接控股、管理关系的不同供应商，不得参加同一合同项下的采购活动。</w:t>
      </w:r>
    </w:p>
    <w:p>
      <w:pPr>
        <w:spacing w:line="37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）供应商被“信用中国”网站（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列入失信被执行人、重大税收违法案件当事人名单、采购严重违法失信行为记录名单。</w:t>
      </w:r>
    </w:p>
    <w:p>
      <w:pPr>
        <w:tabs>
          <w:tab w:val="left" w:pos="900"/>
        </w:tabs>
        <w:spacing w:line="370" w:lineRule="exact"/>
        <w:rPr>
          <w:rFonts w:ascii="宋体" w:cs="宋体"/>
          <w:b/>
          <w:bCs/>
          <w:color w:val="auto"/>
          <w:szCs w:val="21"/>
          <w:highlight w:val="none"/>
        </w:rPr>
      </w:pPr>
      <w:bookmarkStart w:id="12" w:name="_Toc35393800"/>
      <w:bookmarkStart w:id="13" w:name="_Toc35393631"/>
      <w:r>
        <w:rPr>
          <w:rFonts w:hint="eastAsia" w:ascii="宋体" w:hAnsi="宋体" w:cs="宋体"/>
          <w:b/>
          <w:bCs/>
          <w:color w:val="auto"/>
          <w:szCs w:val="21"/>
          <w:highlight w:val="none"/>
        </w:rPr>
        <w:t>三、获取采购文件</w:t>
      </w:r>
      <w:bookmarkEnd w:id="12"/>
      <w:bookmarkEnd w:id="13"/>
    </w:p>
    <w:p>
      <w:pPr>
        <w:spacing w:line="370" w:lineRule="exact"/>
        <w:ind w:firstLine="54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、时间：</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日至</w:t>
      </w:r>
      <w:r>
        <w:rPr>
          <w:rFonts w:ascii="宋体" w:hAnsi="宋体" w:cs="宋体"/>
          <w:color w:val="auto"/>
          <w:szCs w:val="21"/>
          <w:highlight w:val="none"/>
          <w:u w:val="single"/>
        </w:rPr>
        <w:t xml:space="preserve"> 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日（北京时间）</w:t>
      </w:r>
      <w:r>
        <w:rPr>
          <w:rFonts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spacing w:line="370" w:lineRule="exact"/>
        <w:ind w:firstLine="540"/>
        <w:rPr>
          <w:rFonts w:ascii="宋体" w:cs="宋体"/>
          <w:iCs/>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zCs w:val="21"/>
          <w:highlight w:val="none"/>
          <w:u w:val="single"/>
        </w:rPr>
        <w:t>“扬州维扬发展投资有限公司网站”</w:t>
      </w:r>
      <w:r>
        <w:rPr>
          <w:rFonts w:ascii="宋体" w:hAnsi="宋体" w:cs="宋体"/>
          <w:color w:val="auto"/>
          <w:szCs w:val="21"/>
          <w:highlight w:val="none"/>
          <w:u w:val="single"/>
        </w:rPr>
        <w:t xml:space="preserve">   </w:t>
      </w:r>
    </w:p>
    <w:p>
      <w:pPr>
        <w:spacing w:line="370" w:lineRule="exact"/>
        <w:ind w:firstLine="525" w:firstLineChars="250"/>
        <w:rPr>
          <w:rFonts w:ascii="宋体" w:cs="宋体"/>
          <w:color w:val="auto"/>
          <w:szCs w:val="21"/>
          <w:highlight w:val="none"/>
          <w:u w:val="single"/>
        </w:rPr>
      </w:pPr>
      <w:r>
        <w:rPr>
          <w:rFonts w:ascii="宋体" w:hAnsi="宋体" w:cs="宋体"/>
          <w:color w:val="auto"/>
          <w:szCs w:val="21"/>
          <w:highlight w:val="none"/>
        </w:rPr>
        <w:t>3</w:t>
      </w:r>
      <w:r>
        <w:rPr>
          <w:rFonts w:hint="eastAsia" w:ascii="宋体" w:hAnsi="宋体" w:cs="宋体"/>
          <w:color w:val="auto"/>
          <w:szCs w:val="21"/>
          <w:highlight w:val="none"/>
        </w:rPr>
        <w:t>、方式：</w:t>
      </w:r>
      <w:bookmarkStart w:id="14" w:name="_Toc28359005"/>
      <w:bookmarkStart w:id="15" w:name="_Toc38985266"/>
      <w:r>
        <w:rPr>
          <w:rFonts w:hint="eastAsia" w:ascii="宋体" w:hAnsi="宋体" w:cs="宋体"/>
          <w:color w:val="auto"/>
          <w:szCs w:val="21"/>
          <w:highlight w:val="none"/>
          <w:u w:val="single"/>
        </w:rPr>
        <w:t>自行下载磋商文件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供应商如确定参加磋商，请如实填写《供应商参加磋商确认函》，并加盖供应商公章，拍照或扫描发送至邮箱（电子邮箱：</w:t>
      </w:r>
      <w:r>
        <w:rPr>
          <w:color w:val="auto"/>
          <w:highlight w:val="none"/>
        </w:rPr>
        <w:fldChar w:fldCharType="begin"/>
      </w:r>
      <w:r>
        <w:rPr>
          <w:color w:val="auto"/>
          <w:highlight w:val="none"/>
        </w:rPr>
        <w:instrText xml:space="preserve"> HYPERLINK "mailto:1024493245@qq.com" </w:instrText>
      </w:r>
      <w:r>
        <w:rPr>
          <w:color w:val="auto"/>
          <w:highlight w:val="none"/>
        </w:rPr>
        <w:fldChar w:fldCharType="separate"/>
      </w:r>
      <w:r>
        <w:rPr>
          <w:rStyle w:val="29"/>
          <w:rFonts w:ascii="宋体" w:hAnsi="宋体" w:cs="宋体"/>
          <w:color w:val="auto"/>
          <w:szCs w:val="21"/>
          <w:highlight w:val="none"/>
          <w:u w:val="single"/>
        </w:rPr>
        <w:t>1024493245@qq.com</w:t>
      </w:r>
      <w:r>
        <w:rPr>
          <w:rStyle w:val="29"/>
          <w:rFonts w:ascii="宋体" w:hAnsi="宋体" w:cs="宋体"/>
          <w:color w:val="auto"/>
          <w:szCs w:val="21"/>
          <w:highlight w:val="none"/>
          <w:u w:val="single"/>
        </w:rPr>
        <w:fldChar w:fldCharType="end"/>
      </w:r>
      <w:r>
        <w:rPr>
          <w:rFonts w:hint="eastAsia" w:ascii="宋体" w:hAnsi="宋体" w:cs="宋体"/>
          <w:color w:val="auto"/>
          <w:szCs w:val="21"/>
          <w:highlight w:val="none"/>
          <w:u w:val="single"/>
        </w:rPr>
        <w:t>，邮件标题请备注公司全称</w:t>
      </w:r>
      <w:r>
        <w:rPr>
          <w:rFonts w:ascii="宋体" w:hAnsi="宋体" w:cs="宋体"/>
          <w:color w:val="auto"/>
          <w:szCs w:val="21"/>
          <w:highlight w:val="none"/>
          <w:u w:val="single"/>
        </w:rPr>
        <w:t>+</w:t>
      </w:r>
      <w:r>
        <w:rPr>
          <w:rFonts w:hint="eastAsia" w:ascii="宋体" w:hAnsi="宋体" w:cs="宋体"/>
          <w:color w:val="auto"/>
          <w:szCs w:val="21"/>
          <w:highlight w:val="none"/>
          <w:u w:val="single"/>
        </w:rPr>
        <w:t>项目名称，联系电话：</w:t>
      </w:r>
      <w:r>
        <w:rPr>
          <w:rFonts w:ascii="宋体" w:hAnsi="宋体" w:cs="宋体"/>
          <w:color w:val="auto"/>
          <w:szCs w:val="21"/>
          <w:highlight w:val="none"/>
          <w:u w:val="single"/>
        </w:rPr>
        <w:t>13952573302</w:t>
      </w:r>
      <w:r>
        <w:rPr>
          <w:rFonts w:hint="eastAsia" w:ascii="宋体" w:hAnsi="宋体" w:cs="宋体"/>
          <w:color w:val="auto"/>
          <w:szCs w:val="21"/>
          <w:highlight w:val="none"/>
          <w:u w:val="single"/>
        </w:rPr>
        <w:t>，</w:t>
      </w:r>
      <w:r>
        <w:rPr>
          <w:rFonts w:ascii="宋体" w:hAnsi="宋体" w:cs="宋体"/>
          <w:color w:val="auto"/>
          <w:szCs w:val="21"/>
          <w:highlight w:val="none"/>
          <w:u w:val="single"/>
        </w:rPr>
        <w:t>0514-80827735</w:t>
      </w:r>
      <w:r>
        <w:rPr>
          <w:rFonts w:hint="eastAsia" w:ascii="宋体" w:hAnsi="宋体" w:cs="宋体"/>
          <w:color w:val="auto"/>
          <w:szCs w:val="21"/>
          <w:highlight w:val="none"/>
          <w:u w:val="single"/>
        </w:rPr>
        <w:t>），同时需与采购代理机构经办人确认是否收到《供应商参加磋商确认函》，确认函接收截止时间：</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ascii="宋体" w:hAnsi="宋体" w:cs="宋体"/>
          <w:color w:val="auto"/>
          <w:szCs w:val="21"/>
          <w:highlight w:val="none"/>
          <w:u w:val="single"/>
        </w:rPr>
        <w:t>18:00</w:t>
      </w:r>
      <w:r>
        <w:rPr>
          <w:rFonts w:hint="eastAsia" w:ascii="宋体" w:hAnsi="宋体" w:cs="宋体"/>
          <w:color w:val="auto"/>
          <w:szCs w:val="21"/>
          <w:highlight w:val="none"/>
          <w:u w:val="single"/>
        </w:rPr>
        <w:t>，投标当日将确认函原件交代理机构。如供应商未按上述要求去做，将自行承担所产生的风险。有关本次谈判的事项若存在变动或修改，敬请及时关注“扬州维扬发展投资有限公司网”发布的信息或更正公告。</w:t>
      </w:r>
    </w:p>
    <w:bookmarkEnd w:id="14"/>
    <w:bookmarkEnd w:id="15"/>
    <w:p>
      <w:pPr>
        <w:pStyle w:val="5"/>
        <w:spacing w:before="0" w:after="0" w:line="370" w:lineRule="exact"/>
        <w:rPr>
          <w:rFonts w:ascii="宋体" w:cs="宋体"/>
          <w:color w:val="auto"/>
          <w:sz w:val="21"/>
          <w:szCs w:val="21"/>
          <w:highlight w:val="none"/>
        </w:rPr>
      </w:pPr>
      <w:bookmarkStart w:id="16" w:name="_Toc35393801"/>
      <w:bookmarkStart w:id="17" w:name="_Toc28359015"/>
      <w:bookmarkStart w:id="18" w:name="_Toc28359092"/>
      <w:bookmarkStart w:id="19" w:name="_Toc35393632"/>
      <w:r>
        <w:rPr>
          <w:rFonts w:hint="eastAsia" w:ascii="宋体" w:hAnsi="宋体" w:cs="宋体"/>
          <w:color w:val="auto"/>
          <w:sz w:val="21"/>
          <w:szCs w:val="21"/>
          <w:highlight w:val="none"/>
        </w:rPr>
        <w:t>四、响应文件提交</w:t>
      </w:r>
      <w:bookmarkEnd w:id="16"/>
      <w:bookmarkEnd w:id="17"/>
      <w:bookmarkEnd w:id="18"/>
      <w:bookmarkEnd w:id="19"/>
    </w:p>
    <w:p>
      <w:pPr>
        <w:spacing w:line="370" w:lineRule="exact"/>
        <w:ind w:firstLine="420" w:firstLineChars="200"/>
        <w:rPr>
          <w:rFonts w:ascii="宋体" w:cs="宋体"/>
          <w:i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、截止时间：</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日</w:t>
      </w:r>
      <w:r>
        <w:rPr>
          <w:rFonts w:ascii="宋体" w:hAnsi="宋体" w:cs="宋体"/>
          <w:color w:val="auto"/>
          <w:szCs w:val="21"/>
          <w:highlight w:val="none"/>
          <w:u w:val="single"/>
        </w:rPr>
        <w:t>14</w:t>
      </w:r>
      <w:r>
        <w:rPr>
          <w:rFonts w:hint="eastAsia" w:ascii="宋体" w:hAnsi="宋体" w:cs="宋体"/>
          <w:color w:val="auto"/>
          <w:szCs w:val="21"/>
          <w:highlight w:val="none"/>
          <w:u w:val="single"/>
        </w:rPr>
        <w:t>点</w:t>
      </w:r>
      <w:r>
        <w:rPr>
          <w:rFonts w:ascii="宋体" w:hAnsi="宋体" w:cs="宋体"/>
          <w:color w:val="auto"/>
          <w:szCs w:val="21"/>
          <w:highlight w:val="none"/>
          <w:u w:val="single"/>
        </w:rPr>
        <w:t>30</w:t>
      </w:r>
      <w:r>
        <w:rPr>
          <w:rFonts w:hint="eastAsia" w:ascii="宋体" w:hAnsi="宋体" w:cs="宋体"/>
          <w:color w:val="auto"/>
          <w:szCs w:val="21"/>
          <w:highlight w:val="none"/>
          <w:u w:val="single"/>
        </w:rPr>
        <w:t>分至</w:t>
      </w:r>
      <w:r>
        <w:rPr>
          <w:rFonts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16</w:t>
      </w:r>
      <w:r>
        <w:rPr>
          <w:rFonts w:hint="eastAsia" w:ascii="宋体" w:hAnsi="宋体" w:cs="宋体"/>
          <w:bCs/>
          <w:color w:val="auto"/>
          <w:szCs w:val="21"/>
          <w:highlight w:val="none"/>
          <w:u w:val="single"/>
        </w:rPr>
        <w:t>日</w:t>
      </w:r>
      <w:r>
        <w:rPr>
          <w:rFonts w:ascii="宋体" w:hAnsi="宋体" w:cs="宋体"/>
          <w:bCs/>
          <w:color w:val="auto"/>
          <w:szCs w:val="21"/>
          <w:highlight w:val="none"/>
          <w:u w:val="single"/>
        </w:rPr>
        <w:t>15</w:t>
      </w:r>
      <w:r>
        <w:rPr>
          <w:rFonts w:hint="eastAsia" w:ascii="宋体" w:hAnsi="宋体" w:cs="宋体"/>
          <w:bCs/>
          <w:color w:val="auto"/>
          <w:szCs w:val="21"/>
          <w:highlight w:val="none"/>
          <w:u w:val="single"/>
        </w:rPr>
        <w:t>点</w:t>
      </w:r>
      <w:r>
        <w:rPr>
          <w:rFonts w:ascii="宋体" w:hAnsi="宋体" w:cs="宋体"/>
          <w:bCs/>
          <w:color w:val="auto"/>
          <w:szCs w:val="21"/>
          <w:highlight w:val="none"/>
          <w:u w:val="single"/>
        </w:rPr>
        <w:t xml:space="preserve"> 00</w:t>
      </w:r>
      <w:r>
        <w:rPr>
          <w:rFonts w:hint="eastAsia" w:ascii="宋体" w:hAnsi="宋体" w:cs="宋体"/>
          <w:bCs/>
          <w:color w:val="auto"/>
          <w:szCs w:val="21"/>
          <w:highlight w:val="none"/>
          <w:u w:val="single"/>
        </w:rPr>
        <w:t>分（北京时间）</w:t>
      </w:r>
    </w:p>
    <w:p>
      <w:pPr>
        <w:spacing w:line="370" w:lineRule="exact"/>
        <w:ind w:firstLine="420" w:firstLineChars="200"/>
        <w:rPr>
          <w:rFonts w:ascii="宋体" w:cs="宋体"/>
          <w:bCs/>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pacing w:val="-6"/>
          <w:szCs w:val="21"/>
          <w:highlight w:val="none"/>
          <w:u w:val="single"/>
        </w:rPr>
        <w:t>江苏汇诚投资咨询管理有限公司开标室（扬州市邗江北路</w:t>
      </w:r>
      <w:r>
        <w:rPr>
          <w:rFonts w:ascii="宋体" w:hAnsi="宋体" w:cs="宋体"/>
          <w:color w:val="auto"/>
          <w:spacing w:val="-6"/>
          <w:szCs w:val="21"/>
          <w:highlight w:val="none"/>
          <w:u w:val="single"/>
        </w:rPr>
        <w:t>68</w:t>
      </w:r>
      <w:r>
        <w:rPr>
          <w:rFonts w:hint="eastAsia" w:ascii="宋体" w:hAnsi="宋体" w:cs="宋体"/>
          <w:color w:val="auto"/>
          <w:spacing w:val="-6"/>
          <w:szCs w:val="21"/>
          <w:highlight w:val="none"/>
          <w:u w:val="single"/>
        </w:rPr>
        <w:t>号</w:t>
      </w:r>
      <w:r>
        <w:rPr>
          <w:rFonts w:ascii="宋体" w:hAnsi="宋体" w:cs="宋体"/>
          <w:color w:val="auto"/>
          <w:spacing w:val="-6"/>
          <w:szCs w:val="21"/>
          <w:highlight w:val="none"/>
          <w:u w:val="single"/>
        </w:rPr>
        <w:t>3</w:t>
      </w:r>
      <w:r>
        <w:rPr>
          <w:rFonts w:hint="eastAsia" w:ascii="宋体" w:hAnsi="宋体" w:cs="宋体"/>
          <w:color w:val="auto"/>
          <w:spacing w:val="-6"/>
          <w:szCs w:val="21"/>
          <w:highlight w:val="none"/>
          <w:u w:val="single"/>
        </w:rPr>
        <w:t>楼西入口）</w:t>
      </w:r>
    </w:p>
    <w:p>
      <w:pPr>
        <w:pStyle w:val="5"/>
        <w:spacing w:before="0" w:after="0" w:line="370" w:lineRule="exact"/>
        <w:rPr>
          <w:rFonts w:ascii="宋体" w:cs="宋体"/>
          <w:color w:val="auto"/>
          <w:sz w:val="21"/>
          <w:szCs w:val="21"/>
          <w:highlight w:val="none"/>
        </w:rPr>
      </w:pPr>
      <w:bookmarkStart w:id="20" w:name="_Toc28359093"/>
      <w:bookmarkStart w:id="21" w:name="_Toc28359016"/>
      <w:bookmarkStart w:id="22" w:name="_Toc35393802"/>
      <w:bookmarkStart w:id="23" w:name="_Toc35393633"/>
      <w:r>
        <w:rPr>
          <w:rFonts w:hint="eastAsia" w:ascii="宋体" w:hAnsi="宋体" w:cs="宋体"/>
          <w:color w:val="auto"/>
          <w:sz w:val="21"/>
          <w:szCs w:val="21"/>
          <w:highlight w:val="none"/>
        </w:rPr>
        <w:t>五、开启</w:t>
      </w:r>
      <w:bookmarkEnd w:id="20"/>
      <w:bookmarkEnd w:id="21"/>
      <w:bookmarkEnd w:id="22"/>
      <w:bookmarkEnd w:id="23"/>
    </w:p>
    <w:p>
      <w:pPr>
        <w:spacing w:line="370" w:lineRule="exact"/>
        <w:ind w:firstLine="420" w:firstLineChars="200"/>
        <w:rPr>
          <w:rFonts w:ascii="宋体" w:cs="宋体"/>
          <w:i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、时间：</w:t>
      </w:r>
      <w:r>
        <w:rPr>
          <w:rFonts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16</w:t>
      </w:r>
      <w:r>
        <w:rPr>
          <w:rFonts w:hint="eastAsia" w:ascii="宋体" w:hAnsi="宋体" w:cs="宋体"/>
          <w:bCs/>
          <w:color w:val="auto"/>
          <w:szCs w:val="21"/>
          <w:highlight w:val="none"/>
          <w:u w:val="single"/>
        </w:rPr>
        <w:t>日</w:t>
      </w:r>
      <w:r>
        <w:rPr>
          <w:rFonts w:ascii="宋体" w:hAnsi="宋体" w:cs="宋体"/>
          <w:bCs/>
          <w:color w:val="auto"/>
          <w:szCs w:val="21"/>
          <w:highlight w:val="none"/>
          <w:u w:val="single"/>
        </w:rPr>
        <w:t>15</w:t>
      </w:r>
      <w:r>
        <w:rPr>
          <w:rFonts w:hint="eastAsia" w:ascii="宋体" w:hAnsi="宋体" w:cs="宋体"/>
          <w:bCs/>
          <w:color w:val="auto"/>
          <w:szCs w:val="21"/>
          <w:highlight w:val="none"/>
          <w:u w:val="single"/>
        </w:rPr>
        <w:t>点</w:t>
      </w:r>
      <w:r>
        <w:rPr>
          <w:rFonts w:ascii="宋体" w:cs="宋体"/>
          <w:bCs/>
          <w:color w:val="auto"/>
          <w:szCs w:val="21"/>
          <w:highlight w:val="none"/>
          <w:u w:val="single"/>
        </w:rPr>
        <w:t>00</w:t>
      </w:r>
      <w:r>
        <w:rPr>
          <w:rFonts w:hint="eastAsia" w:ascii="宋体" w:hAnsi="宋体" w:cs="宋体"/>
          <w:bCs/>
          <w:color w:val="auto"/>
          <w:szCs w:val="21"/>
          <w:highlight w:val="none"/>
          <w:u w:val="single"/>
        </w:rPr>
        <w:t>分（北京时间）</w:t>
      </w:r>
    </w:p>
    <w:p>
      <w:pPr>
        <w:spacing w:line="370" w:lineRule="exact"/>
        <w:ind w:firstLine="420" w:firstLineChars="200"/>
        <w:rPr>
          <w:rFonts w:ascii="宋体" w:cs="宋体"/>
          <w:bCs/>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pacing w:val="-6"/>
          <w:szCs w:val="21"/>
          <w:highlight w:val="none"/>
          <w:u w:val="single"/>
        </w:rPr>
        <w:t>江苏汇诚投资咨询管理有限公司开标室（扬州市邗江北路</w:t>
      </w:r>
      <w:r>
        <w:rPr>
          <w:rFonts w:ascii="宋体" w:hAnsi="宋体" w:cs="宋体"/>
          <w:color w:val="auto"/>
          <w:spacing w:val="-6"/>
          <w:szCs w:val="21"/>
          <w:highlight w:val="none"/>
          <w:u w:val="single"/>
        </w:rPr>
        <w:t>68</w:t>
      </w:r>
      <w:r>
        <w:rPr>
          <w:rFonts w:hint="eastAsia" w:ascii="宋体" w:hAnsi="宋体" w:cs="宋体"/>
          <w:color w:val="auto"/>
          <w:spacing w:val="-6"/>
          <w:szCs w:val="21"/>
          <w:highlight w:val="none"/>
          <w:u w:val="single"/>
        </w:rPr>
        <w:t>号</w:t>
      </w:r>
      <w:r>
        <w:rPr>
          <w:rFonts w:ascii="宋体" w:hAnsi="宋体" w:cs="宋体"/>
          <w:color w:val="auto"/>
          <w:spacing w:val="-6"/>
          <w:szCs w:val="21"/>
          <w:highlight w:val="none"/>
          <w:u w:val="single"/>
        </w:rPr>
        <w:t>3</w:t>
      </w:r>
      <w:r>
        <w:rPr>
          <w:rFonts w:hint="eastAsia" w:ascii="宋体" w:hAnsi="宋体" w:cs="宋体"/>
          <w:color w:val="auto"/>
          <w:spacing w:val="-6"/>
          <w:szCs w:val="21"/>
          <w:highlight w:val="none"/>
          <w:u w:val="single"/>
        </w:rPr>
        <w:t>楼西入口）</w:t>
      </w:r>
    </w:p>
    <w:p>
      <w:pPr>
        <w:pStyle w:val="5"/>
        <w:spacing w:before="0" w:after="0" w:line="370" w:lineRule="exact"/>
        <w:rPr>
          <w:rFonts w:ascii="宋体" w:cs="宋体"/>
          <w:color w:val="auto"/>
          <w:sz w:val="21"/>
          <w:szCs w:val="21"/>
          <w:highlight w:val="none"/>
        </w:rPr>
      </w:pPr>
      <w:bookmarkStart w:id="24" w:name="_Toc28359017"/>
      <w:bookmarkStart w:id="25" w:name="_Toc35393803"/>
      <w:bookmarkStart w:id="26" w:name="_Toc28359094"/>
      <w:bookmarkStart w:id="27" w:name="_Toc35393634"/>
      <w:r>
        <w:rPr>
          <w:rFonts w:hint="eastAsia" w:ascii="宋体" w:hAnsi="宋体" w:cs="宋体"/>
          <w:color w:val="auto"/>
          <w:sz w:val="21"/>
          <w:szCs w:val="21"/>
          <w:highlight w:val="none"/>
        </w:rPr>
        <w:t>六、公告期限</w:t>
      </w:r>
      <w:bookmarkEnd w:id="24"/>
      <w:bookmarkEnd w:id="25"/>
      <w:bookmarkEnd w:id="26"/>
      <w:bookmarkEnd w:id="27"/>
    </w:p>
    <w:p>
      <w:pPr>
        <w:spacing w:line="370" w:lineRule="exact"/>
        <w:ind w:firstLine="420" w:firstLineChars="200"/>
        <w:rPr>
          <w:rFonts w:ascii="宋体" w:cs="宋体"/>
          <w:color w:val="auto"/>
          <w:kern w:val="0"/>
          <w:szCs w:val="21"/>
          <w:highlight w:val="none"/>
        </w:rPr>
      </w:pPr>
      <w:bookmarkStart w:id="28" w:name="_Toc35393635"/>
      <w:bookmarkStart w:id="29" w:name="_Toc35393804"/>
      <w:r>
        <w:rPr>
          <w:rFonts w:hint="eastAsia" w:ascii="宋体" w:hAnsi="宋体" w:cs="宋体"/>
          <w:color w:val="auto"/>
          <w:kern w:val="0"/>
          <w:szCs w:val="21"/>
          <w:highlight w:val="none"/>
        </w:rPr>
        <w:t>竞争性磋商公告及磋商文件提供期限为自本公告发布之日起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pPr>
        <w:pStyle w:val="5"/>
        <w:spacing w:before="0" w:after="0" w:line="370" w:lineRule="exact"/>
        <w:rPr>
          <w:rFonts w:ascii="宋体" w:cs="宋体"/>
          <w:color w:val="auto"/>
          <w:sz w:val="21"/>
          <w:szCs w:val="21"/>
          <w:highlight w:val="none"/>
        </w:rPr>
      </w:pPr>
      <w:r>
        <w:rPr>
          <w:rFonts w:hint="eastAsia" w:ascii="宋体" w:hAnsi="宋体" w:cs="宋体"/>
          <w:color w:val="auto"/>
          <w:sz w:val="21"/>
          <w:szCs w:val="21"/>
          <w:highlight w:val="none"/>
        </w:rPr>
        <w:t>七、其他补充事宜</w:t>
      </w:r>
      <w:bookmarkEnd w:id="28"/>
      <w:bookmarkEnd w:id="29"/>
    </w:p>
    <w:p>
      <w:pPr>
        <w:spacing w:line="370" w:lineRule="exact"/>
        <w:ind w:firstLine="420" w:firstLineChars="200"/>
        <w:outlineLvl w:val="0"/>
        <w:rPr>
          <w:rFonts w:ascii="宋体" w:cs="宋体"/>
          <w:color w:val="auto"/>
          <w:szCs w:val="21"/>
          <w:highlight w:val="none"/>
        </w:rPr>
      </w:pPr>
      <w:r>
        <w:rPr>
          <w:rFonts w:ascii="宋体" w:hAnsi="宋体" w:cs="宋体"/>
          <w:bCs/>
          <w:color w:val="auto"/>
          <w:szCs w:val="21"/>
          <w:highlight w:val="none"/>
        </w:rPr>
        <w:t>7.1</w:t>
      </w:r>
      <w:r>
        <w:rPr>
          <w:rFonts w:hint="eastAsia" w:ascii="宋体" w:hAnsi="宋体" w:cs="宋体"/>
          <w:color w:val="auto"/>
          <w:szCs w:val="21"/>
          <w:highlight w:val="none"/>
        </w:rPr>
        <w:t>集中考察或召开答疑会：</w:t>
      </w:r>
      <w:r>
        <w:rPr>
          <w:rFonts w:hint="eastAsia" w:ascii="宋体" w:hAnsi="宋体" w:cs="宋体"/>
          <w:color w:val="auto"/>
          <w:kern w:val="0"/>
          <w:szCs w:val="21"/>
          <w:highlight w:val="none"/>
        </w:rPr>
        <w:t>采购人不统一组织，供应商应自行考察以获取投标相关信息。</w:t>
      </w:r>
    </w:p>
    <w:p>
      <w:pPr>
        <w:spacing w:line="370" w:lineRule="exact"/>
        <w:ind w:firstLine="420" w:firstLineChars="200"/>
        <w:outlineLvl w:val="0"/>
        <w:rPr>
          <w:rFonts w:ascii="宋体" w:cs="宋体"/>
          <w:color w:val="auto"/>
          <w:szCs w:val="21"/>
          <w:highlight w:val="none"/>
        </w:rPr>
      </w:pPr>
      <w:r>
        <w:rPr>
          <w:rFonts w:ascii="宋体" w:hAnsi="宋体" w:cs="宋体"/>
          <w:color w:val="auto"/>
          <w:szCs w:val="21"/>
          <w:highlight w:val="none"/>
        </w:rPr>
        <w:t xml:space="preserve"> 7.2</w:t>
      </w:r>
      <w:r>
        <w:rPr>
          <w:rFonts w:hint="eastAsia" w:ascii="宋体" w:hAnsi="宋体" w:cs="宋体"/>
          <w:bCs/>
          <w:color w:val="auto"/>
          <w:szCs w:val="21"/>
          <w:highlight w:val="none"/>
        </w:rPr>
        <w:t>本次磋商响应文件制作份数要求：一式五份</w:t>
      </w:r>
      <w:r>
        <w:rPr>
          <w:rFonts w:ascii="宋体" w:hAnsi="宋体" w:cs="宋体"/>
          <w:bCs/>
          <w:color w:val="auto"/>
          <w:szCs w:val="21"/>
          <w:highlight w:val="none"/>
        </w:rPr>
        <w:t>(</w:t>
      </w:r>
      <w:r>
        <w:rPr>
          <w:rFonts w:hint="eastAsia" w:ascii="宋体" w:hAnsi="宋体" w:cs="宋体"/>
          <w:bCs/>
          <w:color w:val="auto"/>
          <w:szCs w:val="21"/>
          <w:highlight w:val="none"/>
        </w:rPr>
        <w:t>一份正本，四份副本</w:t>
      </w:r>
      <w:r>
        <w:rPr>
          <w:rFonts w:ascii="宋体" w:hAnsi="宋体" w:cs="宋体"/>
          <w:bCs/>
          <w:color w:val="auto"/>
          <w:szCs w:val="21"/>
          <w:highlight w:val="none"/>
        </w:rPr>
        <w:t xml:space="preserve">) </w:t>
      </w:r>
      <w:r>
        <w:rPr>
          <w:rFonts w:hint="eastAsia" w:ascii="宋体" w:hAnsi="宋体" w:cs="宋体"/>
          <w:bCs/>
          <w:color w:val="auto"/>
          <w:szCs w:val="21"/>
          <w:highlight w:val="none"/>
        </w:rPr>
        <w:t>，每份投标文件须清楚地标明“正本”或“副本”字样</w:t>
      </w:r>
      <w:r>
        <w:rPr>
          <w:rFonts w:ascii="宋体" w:hAnsi="宋体" w:cs="宋体"/>
          <w:bCs/>
          <w:color w:val="auto"/>
          <w:szCs w:val="21"/>
          <w:highlight w:val="none"/>
        </w:rPr>
        <w:t xml:space="preserve"> </w:t>
      </w:r>
      <w:r>
        <w:rPr>
          <w:rFonts w:hint="eastAsia" w:ascii="宋体" w:hAnsi="宋体" w:cs="宋体"/>
          <w:bCs/>
          <w:color w:val="auto"/>
          <w:szCs w:val="21"/>
          <w:highlight w:val="none"/>
        </w:rPr>
        <w:t>，一旦副本与正本不符，以正本为准。电子版投标文件壹份</w:t>
      </w:r>
      <w:r>
        <w:rPr>
          <w:rFonts w:ascii="宋体" w:hAnsi="宋体" w:cs="宋体"/>
          <w:bCs/>
          <w:color w:val="auto"/>
          <w:szCs w:val="21"/>
          <w:highlight w:val="none"/>
        </w:rPr>
        <w:t>(</w:t>
      </w:r>
      <w:r>
        <w:rPr>
          <w:rFonts w:hint="eastAsia" w:ascii="宋体" w:hAnsi="宋体" w:cs="宋体"/>
          <w:bCs/>
          <w:color w:val="auto"/>
          <w:szCs w:val="21"/>
          <w:highlight w:val="none"/>
        </w:rPr>
        <w:t>一般应为</w:t>
      </w:r>
      <w:r>
        <w:rPr>
          <w:rFonts w:ascii="宋体" w:hAnsi="宋体" w:cs="宋体"/>
          <w:bCs/>
          <w:color w:val="auto"/>
          <w:szCs w:val="21"/>
          <w:highlight w:val="none"/>
        </w:rPr>
        <w:t>pdf</w:t>
      </w:r>
      <w:r>
        <w:rPr>
          <w:rFonts w:hint="eastAsia" w:ascii="宋体" w:hAnsi="宋体" w:cs="宋体"/>
          <w:bCs/>
          <w:color w:val="auto"/>
          <w:szCs w:val="21"/>
          <w:highlight w:val="none"/>
        </w:rPr>
        <w:t>格式，</w:t>
      </w:r>
      <w:r>
        <w:rPr>
          <w:rFonts w:ascii="宋体" w:hAnsi="宋体" w:cs="宋体"/>
          <w:bCs/>
          <w:color w:val="auto"/>
          <w:szCs w:val="21"/>
          <w:highlight w:val="none"/>
        </w:rPr>
        <w:t xml:space="preserve">U </w:t>
      </w:r>
      <w:r>
        <w:rPr>
          <w:rFonts w:hint="eastAsia" w:ascii="宋体" w:hAnsi="宋体" w:cs="宋体"/>
          <w:bCs/>
          <w:color w:val="auto"/>
          <w:szCs w:val="21"/>
          <w:highlight w:val="none"/>
        </w:rPr>
        <w:t>盘形式（单独密封）、随纸质正本文件一并提交</w:t>
      </w:r>
      <w:r>
        <w:rPr>
          <w:rFonts w:ascii="宋体" w:hAnsi="宋体" w:cs="宋体"/>
          <w:bCs/>
          <w:color w:val="auto"/>
          <w:szCs w:val="21"/>
          <w:highlight w:val="none"/>
        </w:rPr>
        <w:t>)</w:t>
      </w:r>
      <w:r>
        <w:rPr>
          <w:rFonts w:hint="eastAsia" w:ascii="宋体" w:hAnsi="宋体" w:cs="宋体"/>
          <w:bCs/>
          <w:color w:val="auto"/>
          <w:szCs w:val="21"/>
          <w:highlight w:val="none"/>
        </w:rPr>
        <w:t>。当电子版文件和纸质正本文件不一致时，以纸质正本文件为准。电子版文件用于辅助评标和存档，供应商需承担前述不一致造成的不利后果。</w:t>
      </w:r>
    </w:p>
    <w:p>
      <w:pPr>
        <w:spacing w:line="370" w:lineRule="exact"/>
        <w:ind w:firstLine="420" w:firstLineChars="200"/>
        <w:outlineLvl w:val="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本次磋商保证金：不收取</w:t>
      </w:r>
    </w:p>
    <w:p>
      <w:pPr>
        <w:spacing w:line="370" w:lineRule="exact"/>
        <w:ind w:firstLine="420" w:firstLineChars="200"/>
        <w:rPr>
          <w:rFonts w:ascii="宋体" w:cs="宋体"/>
          <w:i/>
          <w:color w:val="auto"/>
          <w:szCs w:val="21"/>
          <w:highlight w:val="none"/>
          <w:u w:val="single"/>
        </w:rPr>
      </w:pPr>
      <w:r>
        <w:rPr>
          <w:rFonts w:ascii="宋体" w:hAnsi="宋体" w:cs="宋体"/>
          <w:color w:val="auto"/>
          <w:szCs w:val="21"/>
          <w:highlight w:val="none"/>
        </w:rPr>
        <w:t>7.4</w:t>
      </w:r>
      <w:r>
        <w:rPr>
          <w:rFonts w:hint="eastAsia" w:ascii="宋体" w:hAnsi="宋体" w:cs="宋体"/>
          <w:i/>
          <w:color w:val="auto"/>
          <w:szCs w:val="21"/>
          <w:highlight w:val="none"/>
          <w:u w:val="single"/>
        </w:rPr>
        <w:t>本磋商文件中斜体下划线部分为实质性响应条件，为必须遵守的条件，如不满足将作无效响应文件处理。</w:t>
      </w:r>
    </w:p>
    <w:p>
      <w:pPr>
        <w:spacing w:line="370" w:lineRule="exact"/>
        <w:ind w:left="1" w:firstLine="505" w:firstLineChars="250"/>
        <w:rPr>
          <w:rFonts w:ascii="宋体" w:cs="宋体"/>
          <w:bCs/>
          <w:color w:val="auto"/>
          <w:spacing w:val="-4"/>
          <w:szCs w:val="21"/>
          <w:highlight w:val="none"/>
        </w:rPr>
      </w:pPr>
      <w:r>
        <w:rPr>
          <w:rFonts w:ascii="宋体" w:hAnsi="宋体" w:cs="宋体"/>
          <w:color w:val="auto"/>
          <w:spacing w:val="-4"/>
          <w:szCs w:val="21"/>
          <w:highlight w:val="none"/>
        </w:rPr>
        <w:t>7.5</w:t>
      </w:r>
      <w:r>
        <w:rPr>
          <w:rFonts w:hint="eastAsia" w:ascii="宋体" w:hAnsi="宋体" w:cs="宋体"/>
          <w:bCs/>
          <w:color w:val="auto"/>
          <w:spacing w:val="-4"/>
          <w:szCs w:val="21"/>
          <w:highlight w:val="none"/>
        </w:rPr>
        <w:t>潜在供应商对磋商文件项目需求部分的询问、质疑请向采购人提出，询问、质疑由采购人负责答复。</w:t>
      </w:r>
    </w:p>
    <w:p>
      <w:pPr>
        <w:pStyle w:val="5"/>
        <w:spacing w:before="0" w:after="0" w:line="370" w:lineRule="exact"/>
        <w:rPr>
          <w:rFonts w:ascii="宋体" w:cs="宋体"/>
          <w:color w:val="auto"/>
          <w:sz w:val="21"/>
          <w:szCs w:val="21"/>
          <w:highlight w:val="none"/>
        </w:rPr>
      </w:pPr>
      <w:bookmarkStart w:id="30" w:name="_Toc35393636"/>
      <w:bookmarkStart w:id="31" w:name="_Toc28359018"/>
      <w:bookmarkStart w:id="32" w:name="_Toc28359095"/>
      <w:bookmarkStart w:id="33" w:name="_Toc35393805"/>
      <w:r>
        <w:rPr>
          <w:rFonts w:hint="eastAsia" w:ascii="宋体" w:hAnsi="宋体" w:cs="宋体"/>
          <w:color w:val="auto"/>
          <w:sz w:val="21"/>
          <w:szCs w:val="21"/>
          <w:highlight w:val="none"/>
        </w:rPr>
        <w:t>八、凡对本次采购提出询问，请按以下方式联系。</w:t>
      </w:r>
      <w:bookmarkEnd w:id="30"/>
      <w:bookmarkEnd w:id="31"/>
      <w:bookmarkEnd w:id="32"/>
      <w:bookmarkEnd w:id="33"/>
    </w:p>
    <w:p>
      <w:pPr>
        <w:pStyle w:val="5"/>
        <w:spacing w:before="0" w:after="0" w:line="370" w:lineRule="exact"/>
        <w:ind w:firstLine="630" w:firstLineChars="300"/>
        <w:rPr>
          <w:rFonts w:ascii="宋体" w:cs="宋体"/>
          <w:b w:val="0"/>
          <w:color w:val="auto"/>
          <w:sz w:val="21"/>
          <w:szCs w:val="21"/>
          <w:highlight w:val="none"/>
        </w:rPr>
      </w:pPr>
      <w:bookmarkStart w:id="34" w:name="_Toc28359096"/>
      <w:bookmarkStart w:id="35" w:name="_Toc28359019"/>
      <w:bookmarkStart w:id="36" w:name="_Toc35393806"/>
      <w:bookmarkStart w:id="37" w:name="_Toc35393637"/>
      <w:r>
        <w:rPr>
          <w:rFonts w:ascii="宋体" w:hAnsi="宋体" w:cs="宋体"/>
          <w:b w:val="0"/>
          <w:color w:val="auto"/>
          <w:sz w:val="21"/>
          <w:szCs w:val="21"/>
          <w:highlight w:val="none"/>
        </w:rPr>
        <w:t>1</w:t>
      </w:r>
      <w:r>
        <w:rPr>
          <w:rFonts w:hint="eastAsia" w:ascii="宋体" w:hAnsi="宋体" w:cs="宋体"/>
          <w:b w:val="0"/>
          <w:color w:val="auto"/>
          <w:sz w:val="21"/>
          <w:szCs w:val="21"/>
          <w:highlight w:val="none"/>
        </w:rPr>
        <w:t>、采购人信息</w:t>
      </w:r>
      <w:bookmarkEnd w:id="34"/>
      <w:bookmarkEnd w:id="35"/>
      <w:bookmarkEnd w:id="36"/>
      <w:bookmarkEnd w:id="37"/>
    </w:p>
    <w:p>
      <w:pPr>
        <w:spacing w:line="370" w:lineRule="exact"/>
        <w:ind w:firstLine="840" w:firstLineChars="40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r>
        <w:rPr>
          <w:rFonts w:hint="eastAsia" w:ascii="宋体" w:hAnsi="宋体" w:cs="宋体"/>
          <w:color w:val="auto"/>
          <w:szCs w:val="21"/>
          <w:highlight w:val="none"/>
          <w:u w:val="single"/>
        </w:rPr>
        <w:t>扬州锦汇置业投资有限公司</w:t>
      </w:r>
      <w:r>
        <w:rPr>
          <w:rFonts w:hint="eastAsia" w:ascii="宋体" w:hAnsi="宋体" w:cs="宋体"/>
          <w:color w:val="auto"/>
          <w:szCs w:val="21"/>
          <w:highlight w:val="none"/>
          <w:u w:val="single"/>
        </w:rPr>
        <w:t>　</w:t>
      </w:r>
    </w:p>
    <w:p>
      <w:pPr>
        <w:pStyle w:val="5"/>
        <w:spacing w:before="0" w:after="0" w:line="370" w:lineRule="exact"/>
        <w:ind w:firstLine="630" w:firstLineChars="300"/>
        <w:rPr>
          <w:rFonts w:ascii="宋体" w:cs="宋体"/>
          <w:b w:val="0"/>
          <w:color w:val="auto"/>
          <w:sz w:val="21"/>
          <w:szCs w:val="21"/>
          <w:highlight w:val="none"/>
        </w:rPr>
      </w:pPr>
      <w:bookmarkStart w:id="38" w:name="_Toc35393638"/>
      <w:bookmarkStart w:id="39" w:name="_Toc28359020"/>
      <w:bookmarkStart w:id="40" w:name="_Toc35393807"/>
      <w:bookmarkStart w:id="41" w:name="_Toc28359097"/>
      <w:r>
        <w:rPr>
          <w:rFonts w:ascii="宋体" w:hAnsi="宋体" w:cs="宋体"/>
          <w:b w:val="0"/>
          <w:color w:val="auto"/>
          <w:sz w:val="21"/>
          <w:szCs w:val="21"/>
          <w:highlight w:val="none"/>
        </w:rPr>
        <w:t>2</w:t>
      </w:r>
      <w:r>
        <w:rPr>
          <w:rFonts w:hint="eastAsia" w:ascii="宋体" w:hAnsi="宋体" w:cs="宋体"/>
          <w:b w:val="0"/>
          <w:color w:val="auto"/>
          <w:sz w:val="21"/>
          <w:szCs w:val="21"/>
          <w:highlight w:val="none"/>
        </w:rPr>
        <w:t>、采购代理机构信息</w:t>
      </w:r>
      <w:bookmarkEnd w:id="38"/>
      <w:bookmarkEnd w:id="39"/>
      <w:bookmarkEnd w:id="40"/>
      <w:bookmarkEnd w:id="41"/>
    </w:p>
    <w:p>
      <w:pPr>
        <w:spacing w:line="370" w:lineRule="exact"/>
        <w:ind w:firstLine="735" w:firstLineChars="350"/>
        <w:rPr>
          <w:rFonts w:ascii="宋体" w:cs="宋体"/>
          <w:color w:val="auto"/>
          <w:szCs w:val="21"/>
          <w:highlight w:val="none"/>
          <w:u w:val="singl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r>
        <w:rPr>
          <w:rFonts w:hint="eastAsia" w:ascii="宋体" w:hAnsi="宋体" w:cs="宋体"/>
          <w:color w:val="auto"/>
          <w:szCs w:val="21"/>
          <w:highlight w:val="none"/>
          <w:u w:val="single"/>
        </w:rPr>
        <w:t>江苏汇诚投资咨询管理有限公司</w:t>
      </w:r>
    </w:p>
    <w:p>
      <w:pPr>
        <w:spacing w:line="370" w:lineRule="exact"/>
        <w:ind w:firstLine="735" w:firstLineChars="350"/>
        <w:rPr>
          <w:rFonts w:asci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扬州市邗江北路</w:t>
      </w:r>
      <w:r>
        <w:rPr>
          <w:rFonts w:ascii="宋体" w:hAnsi="宋体" w:cs="宋体"/>
          <w:color w:val="auto"/>
          <w:szCs w:val="21"/>
          <w:highlight w:val="none"/>
          <w:u w:val="single"/>
        </w:rPr>
        <w:t>68</w:t>
      </w:r>
      <w:r>
        <w:rPr>
          <w:rFonts w:hint="eastAsia" w:ascii="宋体" w:hAnsi="宋体" w:cs="宋体"/>
          <w:color w:val="auto"/>
          <w:szCs w:val="21"/>
          <w:highlight w:val="none"/>
          <w:u w:val="single"/>
        </w:rPr>
        <w:t>号</w:t>
      </w:r>
      <w:r>
        <w:rPr>
          <w:rFonts w:ascii="宋体" w:hAnsi="宋体" w:cs="宋体"/>
          <w:color w:val="auto"/>
          <w:szCs w:val="21"/>
          <w:highlight w:val="none"/>
          <w:u w:val="single"/>
        </w:rPr>
        <w:t>3</w:t>
      </w:r>
      <w:r>
        <w:rPr>
          <w:rFonts w:hint="eastAsia" w:ascii="宋体" w:hAnsi="宋体" w:cs="宋体"/>
          <w:color w:val="auto"/>
          <w:szCs w:val="21"/>
          <w:highlight w:val="none"/>
          <w:u w:val="single"/>
        </w:rPr>
        <w:t>楼</w:t>
      </w:r>
    </w:p>
    <w:p>
      <w:pPr>
        <w:spacing w:line="370" w:lineRule="exact"/>
        <w:ind w:firstLine="735" w:firstLineChars="350"/>
        <w:rPr>
          <w:rFonts w:ascii="宋体" w:cs="宋体"/>
          <w:color w:val="auto"/>
          <w:szCs w:val="21"/>
          <w:highlight w:val="none"/>
          <w:u w:val="singl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u w:val="single"/>
        </w:rPr>
        <w:t>张琴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联系电话：</w:t>
      </w:r>
      <w:r>
        <w:rPr>
          <w:rFonts w:ascii="宋体" w:hAnsi="宋体" w:cs="宋体"/>
          <w:color w:val="auto"/>
          <w:szCs w:val="21"/>
          <w:highlight w:val="none"/>
          <w:u w:val="single"/>
        </w:rPr>
        <w:t>13952573302</w:t>
      </w:r>
    </w:p>
    <w:p>
      <w:pPr>
        <w:pStyle w:val="5"/>
        <w:spacing w:before="0" w:after="0" w:line="370" w:lineRule="exact"/>
        <w:ind w:firstLine="630" w:firstLineChars="300"/>
        <w:rPr>
          <w:rFonts w:ascii="宋体" w:cs="宋体"/>
          <w:b w:val="0"/>
          <w:color w:val="auto"/>
          <w:sz w:val="21"/>
          <w:szCs w:val="21"/>
          <w:highlight w:val="none"/>
        </w:rPr>
      </w:pPr>
      <w:bookmarkStart w:id="42" w:name="_Toc35393808"/>
      <w:bookmarkStart w:id="43" w:name="_Toc35393639"/>
      <w:bookmarkStart w:id="44" w:name="_Toc28359098"/>
      <w:bookmarkStart w:id="45" w:name="_Toc28359021"/>
      <w:r>
        <w:rPr>
          <w:rFonts w:ascii="宋体" w:hAnsi="宋体" w:cs="宋体"/>
          <w:b w:val="0"/>
          <w:color w:val="auto"/>
          <w:sz w:val="21"/>
          <w:szCs w:val="21"/>
          <w:highlight w:val="none"/>
        </w:rPr>
        <w:t>3</w:t>
      </w:r>
      <w:r>
        <w:rPr>
          <w:rFonts w:hint="eastAsia" w:ascii="宋体" w:hAnsi="宋体" w:cs="宋体"/>
          <w:b w:val="0"/>
          <w:color w:val="auto"/>
          <w:sz w:val="21"/>
          <w:szCs w:val="21"/>
          <w:highlight w:val="none"/>
        </w:rPr>
        <w:t>、项目联系方式</w:t>
      </w:r>
      <w:bookmarkEnd w:id="42"/>
      <w:bookmarkEnd w:id="43"/>
      <w:bookmarkEnd w:id="44"/>
      <w:bookmarkEnd w:id="45"/>
    </w:p>
    <w:p>
      <w:pPr>
        <w:pStyle w:val="12"/>
        <w:spacing w:line="370" w:lineRule="exact"/>
        <w:ind w:firstLine="735" w:firstLineChars="350"/>
        <w:rPr>
          <w:rFonts w:hAnsi="宋体" w:cs="宋体"/>
          <w:color w:val="auto"/>
          <w:sz w:val="21"/>
          <w:highlight w:val="none"/>
          <w:u w:val="single"/>
        </w:rPr>
      </w:pPr>
      <w:r>
        <w:rPr>
          <w:rFonts w:hint="eastAsia" w:hAnsi="宋体" w:cs="宋体"/>
          <w:color w:val="auto"/>
          <w:sz w:val="21"/>
          <w:highlight w:val="none"/>
        </w:rPr>
        <w:t>项目联系人：</w:t>
      </w:r>
      <w:r>
        <w:rPr>
          <w:rFonts w:hint="eastAsia" w:hAnsi="宋体" w:cs="宋体"/>
          <w:color w:val="auto"/>
          <w:kern w:val="2"/>
          <w:sz w:val="21"/>
          <w:highlight w:val="none"/>
          <w:u w:val="single"/>
        </w:rPr>
        <w:t>张琴</w:t>
      </w:r>
      <w:r>
        <w:rPr>
          <w:rFonts w:hAnsi="宋体" w:cs="宋体"/>
          <w:color w:val="auto"/>
          <w:kern w:val="2"/>
          <w:sz w:val="21"/>
          <w:highlight w:val="none"/>
          <w:u w:val="single"/>
        </w:rPr>
        <w:t xml:space="preserve">    </w:t>
      </w:r>
    </w:p>
    <w:p>
      <w:pPr>
        <w:spacing w:line="370" w:lineRule="exact"/>
        <w:ind w:firstLine="735" w:firstLineChars="350"/>
        <w:rPr>
          <w:rFonts w:ascii="宋体" w:cs="宋体"/>
          <w:color w:val="auto"/>
          <w:szCs w:val="21"/>
          <w:highlight w:val="none"/>
          <w:u w:val="single"/>
        </w:rPr>
      </w:pPr>
      <w:r>
        <w:rPr>
          <w:rFonts w:hint="eastAsia" w:ascii="宋体" w:hAnsi="宋体" w:cs="宋体"/>
          <w:color w:val="auto"/>
          <w:szCs w:val="21"/>
          <w:highlight w:val="none"/>
        </w:rPr>
        <w:t>电　　</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u w:val="single"/>
        </w:rPr>
        <w:t xml:space="preserve">13952573302 </w:t>
      </w:r>
    </w:p>
    <w:p>
      <w:pPr>
        <w:pStyle w:val="5"/>
        <w:spacing w:before="0" w:after="0" w:line="370" w:lineRule="exact"/>
        <w:rPr>
          <w:rFonts w:ascii="宋体" w:cs="宋体"/>
          <w:color w:val="auto"/>
          <w:sz w:val="21"/>
          <w:szCs w:val="21"/>
          <w:highlight w:val="none"/>
        </w:rPr>
      </w:pPr>
      <w:r>
        <w:rPr>
          <w:rFonts w:hint="eastAsia" w:ascii="宋体" w:hAnsi="宋体" w:cs="宋体"/>
          <w:color w:val="auto"/>
          <w:sz w:val="21"/>
          <w:szCs w:val="21"/>
          <w:highlight w:val="none"/>
        </w:rPr>
        <w:t>九、疫情防控期间，供应商注意事项：</w:t>
      </w:r>
    </w:p>
    <w:p>
      <w:pPr>
        <w:pStyle w:val="5"/>
        <w:tabs>
          <w:tab w:val="left" w:pos="0"/>
        </w:tabs>
        <w:spacing w:before="0" w:after="0" w:line="370" w:lineRule="exact"/>
        <w:ind w:firstLine="396" w:firstLineChars="200"/>
        <w:rPr>
          <w:rFonts w:ascii="宋体" w:cs="宋体"/>
          <w:b w:val="0"/>
          <w:color w:val="auto"/>
          <w:spacing w:val="-6"/>
          <w:sz w:val="21"/>
          <w:szCs w:val="21"/>
          <w:highlight w:val="none"/>
        </w:rPr>
      </w:pPr>
      <w:r>
        <w:rPr>
          <w:rFonts w:ascii="宋体" w:hAnsi="宋体" w:cs="宋体"/>
          <w:b w:val="0"/>
          <w:color w:val="auto"/>
          <w:spacing w:val="-6"/>
          <w:sz w:val="21"/>
          <w:szCs w:val="21"/>
          <w:highlight w:val="none"/>
        </w:rPr>
        <w:t>1.</w:t>
      </w:r>
      <w:r>
        <w:rPr>
          <w:rFonts w:hint="eastAsia" w:ascii="宋体" w:hAnsi="宋体" w:cs="宋体"/>
          <w:b w:val="0"/>
          <w:color w:val="auto"/>
          <w:spacing w:val="-6"/>
          <w:sz w:val="21"/>
          <w:szCs w:val="21"/>
          <w:highlight w:val="none"/>
        </w:rPr>
        <w:t>供应商授权代表须无条件服从采购代理机构的疫情防控措施，入场前进行实名登记、接受体温测量、自行戴好口罩、做好手部卫生消毒和响应文件等消毒防护，主动向采购代理机构说明近一周的个人身体情况、发热病人接触史以及近</w:t>
      </w:r>
      <w:r>
        <w:rPr>
          <w:rFonts w:ascii="宋体" w:hAnsi="宋体" w:cs="宋体"/>
          <w:b w:val="0"/>
          <w:color w:val="auto"/>
          <w:spacing w:val="-6"/>
          <w:sz w:val="21"/>
          <w:szCs w:val="21"/>
          <w:highlight w:val="none"/>
        </w:rPr>
        <w:t>14</w:t>
      </w:r>
      <w:r>
        <w:rPr>
          <w:rFonts w:hint="eastAsia" w:ascii="宋体" w:hAnsi="宋体" w:cs="宋体"/>
          <w:b w:val="0"/>
          <w:color w:val="auto"/>
          <w:spacing w:val="-6"/>
          <w:sz w:val="21"/>
          <w:szCs w:val="21"/>
          <w:highlight w:val="none"/>
        </w:rPr>
        <w:t>天内的旅行史特别是较重疫区的旅行史，供应商务必预留充足的时间量。</w:t>
      </w:r>
    </w:p>
    <w:p>
      <w:pPr>
        <w:pStyle w:val="21"/>
        <w:widowControl w:val="0"/>
        <w:spacing w:before="0" w:beforeAutospacing="0" w:after="0" w:afterAutospacing="0" w:line="370" w:lineRule="exact"/>
        <w:ind w:firstLine="444"/>
        <w:rPr>
          <w:bCs/>
          <w:color w:val="auto"/>
          <w:sz w:val="21"/>
          <w:szCs w:val="21"/>
          <w:highlight w:val="none"/>
        </w:rPr>
      </w:pPr>
      <w:r>
        <w:rPr>
          <w:bCs/>
          <w:color w:val="auto"/>
          <w:spacing w:val="-11"/>
          <w:sz w:val="21"/>
          <w:szCs w:val="21"/>
          <w:highlight w:val="none"/>
        </w:rPr>
        <w:t>2.</w:t>
      </w:r>
      <w:r>
        <w:rPr>
          <w:rFonts w:hint="eastAsia"/>
          <w:bCs/>
          <w:color w:val="auto"/>
          <w:sz w:val="21"/>
          <w:szCs w:val="21"/>
          <w:highlight w:val="none"/>
        </w:rPr>
        <w:t>为做好新型冠状病毒感染的疫情防控，各供应商须明确项目授权代表，且出席活动的人数限</w:t>
      </w:r>
      <w:r>
        <w:rPr>
          <w:bCs/>
          <w:color w:val="auto"/>
          <w:sz w:val="21"/>
          <w:szCs w:val="21"/>
          <w:highlight w:val="none"/>
        </w:rPr>
        <w:t>1</w:t>
      </w:r>
      <w:r>
        <w:rPr>
          <w:rFonts w:hint="eastAsia"/>
          <w:bCs/>
          <w:color w:val="auto"/>
          <w:sz w:val="21"/>
          <w:szCs w:val="21"/>
          <w:highlight w:val="none"/>
        </w:rPr>
        <w:t>人。进场后的供应商应在指定开标室等候并参加开标活动，自觉配合场内秩序管理，不得擅自至非相关场所活动。开标仪式后，投标供应商应立即离开开标现场，不得擅自逗留，聚集讨论。</w:t>
      </w:r>
      <w:r>
        <w:rPr>
          <w:bCs/>
          <w:color w:val="auto"/>
          <w:sz w:val="21"/>
          <w:szCs w:val="21"/>
          <w:highlight w:val="none"/>
        </w:rPr>
        <w:br w:type="textWrapping"/>
      </w:r>
      <w:r>
        <w:rPr>
          <w:bCs/>
          <w:color w:val="auto"/>
          <w:sz w:val="21"/>
          <w:szCs w:val="21"/>
          <w:highlight w:val="none"/>
        </w:rPr>
        <w:t xml:space="preserve">    3.</w:t>
      </w:r>
      <w:r>
        <w:rPr>
          <w:rFonts w:hint="eastAsia"/>
          <w:bCs/>
          <w:color w:val="auto"/>
          <w:sz w:val="21"/>
          <w:szCs w:val="21"/>
          <w:highlight w:val="none"/>
        </w:rPr>
        <w:t>非本市的供应商授权代表须出具所在地健康证明或苏康码（绿色）（有防疫政策文件或要求提供核酸检测阴性证明的人员另需提供有效时效内的核酸检测阴性证明）、行程码。</w:t>
      </w:r>
    </w:p>
    <w:p>
      <w:pPr>
        <w:pStyle w:val="21"/>
        <w:widowControl w:val="0"/>
        <w:spacing w:before="0" w:beforeAutospacing="0" w:after="0" w:afterAutospacing="0" w:line="370" w:lineRule="exact"/>
        <w:ind w:firstLine="444"/>
        <w:rPr>
          <w:bCs/>
          <w:color w:val="auto"/>
          <w:sz w:val="21"/>
          <w:szCs w:val="21"/>
          <w:highlight w:val="none"/>
        </w:rPr>
      </w:pPr>
      <w:r>
        <w:rPr>
          <w:rFonts w:hint="eastAsia"/>
          <w:bCs/>
          <w:color w:val="auto"/>
          <w:sz w:val="21"/>
          <w:szCs w:val="21"/>
          <w:highlight w:val="none"/>
        </w:rPr>
        <w:t>4.根据省市疾控中心发布的紧急通知要求，如有来自风险地区的供应商需提供48小时内的核酸检验阴性报告（投标截止时间前如有最新防疫政策文件或要求出台，按最新防疫政策文件或要求执行）。</w:t>
      </w:r>
    </w:p>
    <w:p>
      <w:pPr>
        <w:pStyle w:val="21"/>
        <w:widowControl w:val="0"/>
        <w:spacing w:before="0" w:beforeAutospacing="0" w:after="0" w:afterAutospacing="0" w:line="370" w:lineRule="exact"/>
        <w:ind w:firstLine="444"/>
        <w:rPr>
          <w:bCs/>
          <w:color w:val="auto"/>
          <w:sz w:val="21"/>
          <w:szCs w:val="21"/>
          <w:highlight w:val="none"/>
        </w:rPr>
      </w:pPr>
      <w:r>
        <w:rPr>
          <w:rFonts w:hint="eastAsia"/>
          <w:bCs/>
          <w:color w:val="auto"/>
          <w:sz w:val="21"/>
          <w:szCs w:val="21"/>
          <w:highlight w:val="none"/>
        </w:rPr>
        <w:t>5.除上述情况以外，供应商需进行其他活动的，一律采用电话预约和快递邮寄的方式与招标代理工作人员联系。</w:t>
      </w:r>
    </w:p>
    <w:p>
      <w:pPr>
        <w:spacing w:line="370" w:lineRule="exact"/>
        <w:jc w:val="right"/>
        <w:rPr>
          <w:rFonts w:ascii="宋体" w:cs="宋体"/>
          <w:color w:val="auto"/>
          <w:szCs w:val="21"/>
          <w:highlight w:val="none"/>
        </w:rPr>
      </w:pPr>
      <w:r>
        <w:rPr>
          <w:rFonts w:ascii="宋体" w:hAnsi="宋体" w:cs="宋体"/>
          <w:color w:val="auto"/>
          <w:highlight w:val="none"/>
        </w:rPr>
        <w:t xml:space="preserve">                                              </w:t>
      </w:r>
      <w:r>
        <w:rPr>
          <w:rFonts w:hint="eastAsia" w:ascii="宋体" w:hAnsi="宋体" w:cs="宋体"/>
          <w:color w:val="auto"/>
          <w:szCs w:val="21"/>
          <w:highlight w:val="none"/>
        </w:rPr>
        <w:t>江苏汇诚投资咨询管理有限公司</w:t>
      </w:r>
    </w:p>
    <w:p>
      <w:pPr>
        <w:spacing w:line="460" w:lineRule="exact"/>
        <w:jc w:val="right"/>
        <w:rPr>
          <w:rFonts w:ascii="宋体" w:cs="宋体"/>
          <w:color w:val="auto"/>
          <w:highlight w:val="none"/>
        </w:rPr>
      </w:pPr>
      <w:r>
        <w:rPr>
          <w:rFonts w:ascii="宋体" w:hAnsi="宋体" w:cs="宋体"/>
          <w:color w:val="auto"/>
          <w:szCs w:val="21"/>
          <w:highlight w:val="none"/>
        </w:rPr>
        <w:t>2022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w:t>
      </w:r>
    </w:p>
    <w:p>
      <w:pPr>
        <w:jc w:val="center"/>
        <w:rPr>
          <w:rFonts w:ascii="宋体" w:cs="宋体"/>
          <w:b/>
          <w:color w:val="auto"/>
          <w:highlight w:val="none"/>
        </w:rPr>
      </w:pPr>
      <w:r>
        <w:rPr>
          <w:rFonts w:ascii="宋体" w:cs="宋体"/>
          <w:color w:val="auto"/>
          <w:highlight w:val="none"/>
        </w:rPr>
        <w:br w:type="page"/>
      </w:r>
      <w:r>
        <w:rPr>
          <w:rFonts w:hint="eastAsia" w:ascii="宋体" w:hAnsi="宋体" w:cs="宋体"/>
          <w:b/>
          <w:color w:val="auto"/>
          <w:sz w:val="36"/>
          <w:highlight w:val="none"/>
        </w:rPr>
        <w:t>第二章</w:t>
      </w:r>
      <w:r>
        <w:rPr>
          <w:rFonts w:ascii="宋体" w:hAnsi="宋体" w:cs="宋体"/>
          <w:b/>
          <w:color w:val="auto"/>
          <w:sz w:val="36"/>
          <w:highlight w:val="none"/>
        </w:rPr>
        <w:t xml:space="preserve"> </w:t>
      </w:r>
      <w:r>
        <w:rPr>
          <w:rFonts w:hint="eastAsia" w:ascii="宋体" w:hAnsi="宋体" w:cs="宋体"/>
          <w:b/>
          <w:color w:val="auto"/>
          <w:sz w:val="36"/>
          <w:highlight w:val="none"/>
        </w:rPr>
        <w:t>磋商须知</w:t>
      </w:r>
      <w:bookmarkEnd w:id="1"/>
    </w:p>
    <w:p>
      <w:pPr>
        <w:spacing w:line="400" w:lineRule="exact"/>
        <w:jc w:val="center"/>
        <w:rPr>
          <w:rFonts w:ascii="宋体" w:cs="宋体"/>
          <w:b/>
          <w:bCs/>
          <w:color w:val="auto"/>
          <w:szCs w:val="21"/>
          <w:highlight w:val="none"/>
        </w:rPr>
      </w:pPr>
      <w:bookmarkStart w:id="46" w:name="_Toc20823276"/>
      <w:bookmarkStart w:id="47" w:name="_Toc513029204"/>
      <w:bookmarkStart w:id="48" w:name="_Toc16938520"/>
      <w:bookmarkStart w:id="49" w:name="_Toc458694821"/>
      <w:r>
        <w:rPr>
          <w:rFonts w:hint="eastAsia" w:ascii="宋体" w:hAnsi="宋体" w:cs="宋体"/>
          <w:bCs/>
          <w:color w:val="auto"/>
          <w:szCs w:val="21"/>
          <w:highlight w:val="none"/>
        </w:rPr>
        <w:t>（参加竞争性磋商的供应商以下简称“磋商供应商”）</w:t>
      </w:r>
      <w:bookmarkEnd w:id="46"/>
      <w:bookmarkEnd w:id="47"/>
      <w:bookmarkEnd w:id="48"/>
      <w:bookmarkEnd w:id="49"/>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一、总则</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、适用范围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本竞争性磋商文件（以下简称磋商文件）仅适用此项目。</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、项目采购方式</w:t>
      </w:r>
    </w:p>
    <w:p>
      <w:pPr>
        <w:tabs>
          <w:tab w:val="left" w:pos="900"/>
        </w:tabs>
        <w:spacing w:line="400" w:lineRule="exact"/>
        <w:ind w:firstLine="735" w:firstLineChars="350"/>
        <w:rPr>
          <w:rFonts w:ascii="宋体" w:cs="宋体"/>
          <w:color w:val="auto"/>
          <w:szCs w:val="21"/>
          <w:highlight w:val="none"/>
        </w:rPr>
      </w:pPr>
      <w:r>
        <w:rPr>
          <w:rFonts w:hint="eastAsia" w:ascii="宋体" w:hAnsi="宋体" w:cs="宋体"/>
          <w:color w:val="auto"/>
          <w:szCs w:val="21"/>
          <w:highlight w:val="none"/>
        </w:rPr>
        <w:t>本次采购采取竞争性磋商的方式。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、合格的磋商供应商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满足本磋商文件“竞争性磋商采购邀请”中合格磋商供应商资格要求的规定。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3.2 </w:t>
      </w:r>
      <w:r>
        <w:rPr>
          <w:rFonts w:hint="eastAsia" w:ascii="宋体" w:hAnsi="宋体" w:cs="宋体"/>
          <w:color w:val="auto"/>
          <w:szCs w:val="21"/>
          <w:highlight w:val="none"/>
        </w:rPr>
        <w:t>满足本磋商文件实质性要求和条件的规定。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、参加磋商费用</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参加磋商供应商应自行承担所有与参加磋商有关的费用。不论最终的成交结果如何，江苏汇诚投资咨询管理有限公司（以下简称代理机构）和采购人在任何情况下均无义务和责任承担这些费用。</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本次采购由成交人在领取成交通知书前一次性支付专家评审费（专家评审费暂按</w:t>
      </w:r>
      <w:r>
        <w:rPr>
          <w:rFonts w:ascii="宋体" w:hAnsi="宋体" w:cs="宋体"/>
          <w:color w:val="auto"/>
          <w:szCs w:val="21"/>
          <w:highlight w:val="none"/>
        </w:rPr>
        <w:t xml:space="preserve"> 500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人次计取，按实结算（不提供发票））。专家评审费以现金形式支付，专家评审费不在报价中单列。</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、磋商文件的约束力</w:t>
      </w:r>
    </w:p>
    <w:p>
      <w:pPr>
        <w:tabs>
          <w:tab w:val="left" w:pos="900"/>
        </w:tabs>
        <w:spacing w:line="400" w:lineRule="exact"/>
        <w:ind w:left="120" w:leftChars="57" w:firstLine="420" w:firstLineChars="200"/>
        <w:rPr>
          <w:rFonts w:ascii="宋体" w:cs="宋体"/>
          <w:color w:val="auto"/>
          <w:szCs w:val="21"/>
          <w:highlight w:val="none"/>
        </w:rPr>
      </w:pPr>
      <w:r>
        <w:rPr>
          <w:rFonts w:hint="eastAsia" w:ascii="宋体" w:hAnsi="宋体" w:cs="宋体"/>
          <w:color w:val="auto"/>
          <w:szCs w:val="21"/>
          <w:highlight w:val="none"/>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bookmarkStart w:id="50" w:name="_Toc462564070"/>
      <w:bookmarkStart w:id="51" w:name="_Toc16938527"/>
      <w:bookmarkStart w:id="52" w:name="_Toc20823283"/>
      <w:bookmarkStart w:id="53" w:name="_Toc513029211"/>
      <w:r>
        <w:rPr>
          <w:rFonts w:hint="eastAsia" w:ascii="宋体" w:hAnsi="宋体" w:cs="宋体"/>
          <w:color w:val="auto"/>
          <w:szCs w:val="21"/>
          <w:highlight w:val="none"/>
        </w:rPr>
        <w:t>磋商文件的</w:t>
      </w:r>
      <w:bookmarkEnd w:id="50"/>
      <w:bookmarkEnd w:id="51"/>
      <w:bookmarkEnd w:id="52"/>
      <w:bookmarkEnd w:id="53"/>
      <w:r>
        <w:rPr>
          <w:rFonts w:hint="eastAsia" w:ascii="宋体" w:hAnsi="宋体" w:cs="宋体"/>
          <w:color w:val="auto"/>
          <w:szCs w:val="21"/>
          <w:highlight w:val="none"/>
        </w:rPr>
        <w:t>询问及修改</w:t>
      </w:r>
    </w:p>
    <w:p>
      <w:pPr>
        <w:tabs>
          <w:tab w:val="left" w:pos="900"/>
        </w:tabs>
        <w:spacing w:line="360" w:lineRule="auto"/>
        <w:ind w:left="120" w:leftChars="57" w:firstLine="420" w:firstLineChars="200"/>
        <w:rPr>
          <w:rFonts w:ascii="宋体" w:cs="宋体"/>
          <w:color w:val="auto"/>
          <w:szCs w:val="21"/>
          <w:highlight w:val="none"/>
        </w:rPr>
      </w:pPr>
      <w:r>
        <w:rPr>
          <w:rFonts w:ascii="宋体" w:hAnsi="宋体" w:cs="宋体"/>
          <w:bCs/>
          <w:color w:val="auto"/>
          <w:szCs w:val="21"/>
          <w:highlight w:val="none"/>
        </w:rPr>
        <w:t>6.1</w:t>
      </w:r>
      <w:r>
        <w:rPr>
          <w:rFonts w:hint="eastAsia" w:ascii="宋体" w:hAnsi="宋体" w:cs="宋体"/>
          <w:bCs/>
          <w:color w:val="auto"/>
          <w:szCs w:val="21"/>
          <w:highlight w:val="none"/>
        </w:rPr>
        <w:t>任何要求</w:t>
      </w:r>
      <w:r>
        <w:rPr>
          <w:rFonts w:hint="eastAsia" w:ascii="宋体" w:hAnsi="宋体" w:cs="宋体"/>
          <w:color w:val="auto"/>
          <w:szCs w:val="21"/>
          <w:highlight w:val="none"/>
        </w:rPr>
        <w:t>对磋商文件进行询问的供应商，均应在提交首次响应文件截止时间</w:t>
      </w:r>
      <w:r>
        <w:rPr>
          <w:rFonts w:ascii="宋体" w:hAnsi="宋体" w:cs="宋体"/>
          <w:color w:val="auto"/>
          <w:szCs w:val="21"/>
          <w:highlight w:val="none"/>
        </w:rPr>
        <w:t>5</w:t>
      </w:r>
      <w:r>
        <w:rPr>
          <w:rFonts w:hint="eastAsia" w:ascii="宋体" w:hAnsi="宋体" w:cs="宋体"/>
          <w:color w:val="auto"/>
          <w:szCs w:val="21"/>
          <w:highlight w:val="none"/>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日前，在“扬州维扬发展投资有限公司网”上发布更正公告通知所有获取磋商文件的供应商。不足</w:t>
      </w:r>
      <w:r>
        <w:rPr>
          <w:rFonts w:ascii="宋体" w:hAnsi="宋体" w:cs="宋体"/>
          <w:color w:val="auto"/>
          <w:szCs w:val="21"/>
          <w:highlight w:val="none"/>
        </w:rPr>
        <w:t>5</w:t>
      </w:r>
      <w:r>
        <w:rPr>
          <w:rFonts w:hint="eastAsia" w:ascii="宋体" w:hAnsi="宋体" w:cs="宋体"/>
          <w:color w:val="auto"/>
          <w:szCs w:val="21"/>
          <w:highlight w:val="none"/>
        </w:rPr>
        <w:t>日的，代理机构应当顺延提交首次响应文件截止时间。</w:t>
      </w:r>
    </w:p>
    <w:p>
      <w:pPr>
        <w:tabs>
          <w:tab w:val="left" w:pos="900"/>
        </w:tabs>
        <w:spacing w:line="360" w:lineRule="auto"/>
        <w:ind w:left="120" w:leftChars="57" w:firstLine="420" w:firstLineChars="200"/>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代理机构或采购人可以视采购项目的具体情况，组织供应商进行现场考察或召开磋商前答疑会，但不单独或分别组织只有一个供应商参加的现场考察和答疑会。</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、磋商文件的解释</w:t>
      </w:r>
    </w:p>
    <w:p>
      <w:pPr>
        <w:spacing w:line="400" w:lineRule="exact"/>
        <w:ind w:firstLine="525" w:firstLineChars="250"/>
        <w:rPr>
          <w:rFonts w:ascii="宋体" w:cs="宋体"/>
          <w:bCs/>
          <w:color w:val="auto"/>
          <w:szCs w:val="21"/>
          <w:highlight w:val="none"/>
        </w:rPr>
      </w:pPr>
      <w:r>
        <w:rPr>
          <w:rFonts w:ascii="宋体" w:hAnsi="宋体" w:cs="宋体"/>
          <w:bCs/>
          <w:color w:val="auto"/>
          <w:szCs w:val="21"/>
          <w:highlight w:val="none"/>
        </w:rPr>
        <w:t xml:space="preserve">7.1 </w:t>
      </w:r>
      <w:r>
        <w:rPr>
          <w:rFonts w:hint="eastAsia" w:ascii="宋体" w:hAnsi="宋体" w:cs="宋体"/>
          <w:bCs/>
          <w:color w:val="auto"/>
          <w:szCs w:val="21"/>
          <w:highlight w:val="none"/>
        </w:rPr>
        <w:t>本磋商文件由代理机构负责解释。</w:t>
      </w:r>
    </w:p>
    <w:p>
      <w:pPr>
        <w:tabs>
          <w:tab w:val="left" w:pos="900"/>
        </w:tabs>
        <w:spacing w:line="400" w:lineRule="exact"/>
        <w:ind w:firstLine="422" w:firstLineChars="200"/>
        <w:rPr>
          <w:rFonts w:ascii="宋体" w:cs="宋体"/>
          <w:b/>
          <w:color w:val="auto"/>
          <w:szCs w:val="21"/>
          <w:highlight w:val="none"/>
        </w:rPr>
      </w:pPr>
      <w:bookmarkStart w:id="54" w:name="_Hlt26954828"/>
      <w:bookmarkEnd w:id="54"/>
      <w:bookmarkStart w:id="55" w:name="_Hlt26954830"/>
      <w:bookmarkEnd w:id="55"/>
      <w:bookmarkStart w:id="56" w:name="_Hlt26670345"/>
      <w:bookmarkEnd w:id="56"/>
      <w:bookmarkStart w:id="57" w:name="_Hlt26954832"/>
      <w:bookmarkEnd w:id="57"/>
      <w:bookmarkStart w:id="58" w:name="_Hlt26668969"/>
      <w:bookmarkEnd w:id="58"/>
      <w:bookmarkStart w:id="59" w:name="_Hlt26670348"/>
      <w:bookmarkEnd w:id="59"/>
      <w:bookmarkStart w:id="60" w:name="_Hlt26670354"/>
      <w:bookmarkEnd w:id="60"/>
      <w:bookmarkStart w:id="61" w:name="_Toc14577351"/>
      <w:bookmarkStart w:id="62" w:name="_Toc61149553"/>
      <w:bookmarkStart w:id="63" w:name="_Toc513029213"/>
      <w:bookmarkStart w:id="64" w:name="_Toc462564072"/>
      <w:r>
        <w:rPr>
          <w:rFonts w:ascii="宋体" w:hAnsi="宋体" w:cs="宋体"/>
          <w:b/>
          <w:color w:val="auto"/>
          <w:szCs w:val="21"/>
          <w:highlight w:val="none"/>
        </w:rPr>
        <w:t xml:space="preserve"> </w:t>
      </w:r>
      <w:r>
        <w:rPr>
          <w:rFonts w:hint="eastAsia" w:ascii="宋体" w:hAnsi="宋体" w:cs="宋体"/>
          <w:b/>
          <w:color w:val="auto"/>
          <w:szCs w:val="21"/>
          <w:highlight w:val="none"/>
        </w:rPr>
        <w:t>二、磋商响应文件的编制</w:t>
      </w:r>
      <w:bookmarkEnd w:id="61"/>
      <w:bookmarkEnd w:id="62"/>
      <w:bookmarkEnd w:id="63"/>
      <w:bookmarkEnd w:id="64"/>
      <w:r>
        <w:rPr>
          <w:rFonts w:hint="eastAsia" w:ascii="宋体" w:hAnsi="宋体" w:cs="宋体"/>
          <w:b/>
          <w:color w:val="auto"/>
          <w:szCs w:val="21"/>
          <w:highlight w:val="none"/>
        </w:rPr>
        <w:t>及保证金收取</w:t>
      </w:r>
    </w:p>
    <w:p>
      <w:pPr>
        <w:tabs>
          <w:tab w:val="left" w:pos="900"/>
        </w:tabs>
        <w:spacing w:line="400" w:lineRule="exact"/>
        <w:ind w:firstLine="525" w:firstLineChars="250"/>
        <w:rPr>
          <w:rFonts w:ascii="宋体" w:cs="宋体"/>
          <w:color w:val="auto"/>
          <w:szCs w:val="21"/>
          <w:highlight w:val="none"/>
        </w:rPr>
      </w:pPr>
      <w:bookmarkStart w:id="65" w:name="_Toc14577361"/>
      <w:bookmarkStart w:id="66" w:name="_Toc513029223"/>
      <w:bookmarkStart w:id="67" w:name="_Toc61149561"/>
      <w:r>
        <w:rPr>
          <w:rFonts w:ascii="宋体" w:hAnsi="宋体" w:cs="宋体"/>
          <w:color w:val="auto"/>
          <w:szCs w:val="21"/>
          <w:highlight w:val="none"/>
        </w:rPr>
        <w:t>1</w:t>
      </w:r>
      <w:r>
        <w:rPr>
          <w:rFonts w:hint="eastAsia" w:ascii="宋体" w:hAnsi="宋体" w:cs="宋体"/>
          <w:color w:val="auto"/>
          <w:szCs w:val="21"/>
          <w:highlight w:val="none"/>
        </w:rPr>
        <w:t>、磋商响应文件份数和签署</w:t>
      </w:r>
      <w:bookmarkEnd w:id="65"/>
      <w:bookmarkEnd w:id="66"/>
      <w:bookmarkEnd w:id="67"/>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磋商供应商应严格按照采购邀请要求准备磋商响应文件（以下简称响应文件），每份响应文件须清楚地标明“正本”或“副本”字样。</w:t>
      </w:r>
    </w:p>
    <w:p>
      <w:pPr>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除磋商供应商对错处做必要修改外，响应文件不得行间插字、涂改或增删。如有修改错漏处，必须由响应文件签署人签字或盖章。</w:t>
      </w:r>
    </w:p>
    <w:p>
      <w:pPr>
        <w:tabs>
          <w:tab w:val="left" w:pos="900"/>
        </w:tabs>
        <w:spacing w:line="400" w:lineRule="exact"/>
        <w:ind w:firstLine="525" w:firstLineChars="250"/>
        <w:rPr>
          <w:rFonts w:ascii="宋体" w:cs="宋体"/>
          <w:color w:val="auto"/>
          <w:szCs w:val="21"/>
          <w:highlight w:val="none"/>
        </w:rPr>
      </w:pPr>
      <w:bookmarkStart w:id="68" w:name="_Hlt26954834"/>
      <w:bookmarkEnd w:id="68"/>
      <w:bookmarkStart w:id="69" w:name="_Toc462564074"/>
      <w:bookmarkStart w:id="70" w:name="_Toc14577353"/>
      <w:bookmarkStart w:id="71" w:name="_Toc61149555"/>
      <w:bookmarkStart w:id="72" w:name="_Toc513029215"/>
      <w:bookmarkStart w:id="73" w:name="_Toc513029214"/>
      <w:bookmarkStart w:id="74" w:name="_Toc14577352"/>
      <w:bookmarkStart w:id="75" w:name="_Toc462564073"/>
      <w:bookmarkStart w:id="76" w:name="_Toc61149554"/>
      <w:r>
        <w:rPr>
          <w:rFonts w:ascii="宋体" w:hAnsi="宋体" w:cs="宋体"/>
          <w:color w:val="auto"/>
          <w:szCs w:val="21"/>
          <w:highlight w:val="none"/>
        </w:rPr>
        <w:t>2</w:t>
      </w:r>
      <w:r>
        <w:rPr>
          <w:rFonts w:hint="eastAsia" w:ascii="宋体" w:hAnsi="宋体" w:cs="宋体"/>
          <w:color w:val="auto"/>
          <w:szCs w:val="21"/>
          <w:highlight w:val="none"/>
        </w:rPr>
        <w:t>、响应文件</w:t>
      </w:r>
      <w:bookmarkEnd w:id="69"/>
      <w:bookmarkEnd w:id="70"/>
      <w:bookmarkEnd w:id="71"/>
      <w:bookmarkEnd w:id="72"/>
      <w:r>
        <w:rPr>
          <w:rFonts w:hint="eastAsia" w:ascii="宋体" w:hAnsi="宋体" w:cs="宋体"/>
          <w:color w:val="auto"/>
          <w:szCs w:val="21"/>
          <w:highlight w:val="none"/>
        </w:rPr>
        <w:t>编制要求</w:t>
      </w:r>
      <w:bookmarkEnd w:id="73"/>
      <w:bookmarkEnd w:id="74"/>
      <w:bookmarkEnd w:id="75"/>
      <w:bookmarkEnd w:id="76"/>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磋商供应商提交的响应文件以及磋商供应商与代理机构及采购人就有关磋商的所有来往函电均应使用简体中文。磋商文件中既有中文也有外文的，以中文意义为准。</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除技术性能另有规定外，响应文件所使用的度量衡单位，均须采用国家法定计量单位。</w:t>
      </w:r>
    </w:p>
    <w:p>
      <w:pPr>
        <w:tabs>
          <w:tab w:val="left" w:pos="900"/>
        </w:tabs>
        <w:spacing w:line="400" w:lineRule="exact"/>
        <w:ind w:firstLine="525" w:firstLineChars="250"/>
        <w:rPr>
          <w:rFonts w:ascii="宋体" w:cs="宋体"/>
          <w:color w:val="auto"/>
          <w:szCs w:val="21"/>
          <w:highlight w:val="none"/>
        </w:rPr>
      </w:pPr>
      <w:bookmarkStart w:id="77" w:name="_Hlt26954836"/>
      <w:bookmarkEnd w:id="77"/>
      <w:bookmarkStart w:id="78" w:name="_Hlt26670357"/>
      <w:bookmarkEnd w:id="78"/>
      <w:bookmarkStart w:id="79" w:name="_Toc61149558"/>
      <w:bookmarkStart w:id="80" w:name="_Toc14577357"/>
      <w:bookmarkStart w:id="81" w:name="_Toc513029219"/>
      <w:bookmarkStart w:id="82" w:name="_Toc513029217"/>
      <w:bookmarkStart w:id="83" w:name="_Toc14577355"/>
      <w:bookmarkStart w:id="84" w:name="_Toc61149557"/>
      <w:r>
        <w:rPr>
          <w:rFonts w:ascii="宋体" w:hAnsi="宋体" w:cs="宋体"/>
          <w:color w:val="auto"/>
          <w:szCs w:val="21"/>
          <w:highlight w:val="none"/>
        </w:rPr>
        <w:t>3</w:t>
      </w:r>
      <w:r>
        <w:rPr>
          <w:rFonts w:hint="eastAsia" w:ascii="宋体" w:hAnsi="宋体" w:cs="宋体"/>
          <w:color w:val="auto"/>
          <w:szCs w:val="21"/>
          <w:highlight w:val="none"/>
        </w:rPr>
        <w:t>、参加磋商供应商资格的文件</w:t>
      </w:r>
      <w:bookmarkEnd w:id="79"/>
      <w:bookmarkEnd w:id="80"/>
      <w:bookmarkEnd w:id="81"/>
      <w:r>
        <w:rPr>
          <w:rFonts w:hint="eastAsia" w:ascii="宋体" w:hAnsi="宋体" w:cs="宋体"/>
          <w:color w:val="auto"/>
          <w:szCs w:val="21"/>
          <w:highlight w:val="none"/>
        </w:rPr>
        <w:t>证明</w:t>
      </w:r>
    </w:p>
    <w:p>
      <w:pPr>
        <w:tabs>
          <w:tab w:val="left" w:pos="900"/>
        </w:tabs>
        <w:spacing w:line="400" w:lineRule="exact"/>
        <w:ind w:left="120" w:leftChars="57" w:firstLine="420" w:firstLineChars="200"/>
        <w:rPr>
          <w:rFonts w:ascii="宋体" w:cs="宋体"/>
          <w:color w:val="auto"/>
          <w:szCs w:val="21"/>
          <w:highlight w:val="none"/>
        </w:rPr>
      </w:pPr>
      <w:bookmarkStart w:id="85" w:name="_Hlt26668999"/>
      <w:bookmarkEnd w:id="85"/>
      <w:r>
        <w:rPr>
          <w:rFonts w:ascii="宋体" w:hAnsi="宋体" w:cs="宋体"/>
          <w:color w:val="auto"/>
          <w:szCs w:val="21"/>
          <w:highlight w:val="none"/>
        </w:rPr>
        <w:t>3.1</w:t>
      </w:r>
      <w:r>
        <w:rPr>
          <w:rFonts w:hint="eastAsia" w:ascii="宋体" w:hAnsi="宋体" w:cs="宋体"/>
          <w:color w:val="auto"/>
          <w:szCs w:val="21"/>
          <w:highlight w:val="none"/>
        </w:rPr>
        <w:t>磋商供应商应提交证明其有资格参加磋商和成交后有能力独立履行合同的文件，并作为其响应文件的一部分。</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磋商供应商除必须具有履行合同所需提供的设备以及服务的能力外，还必须具备相应的财务、技术方面的能力。</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磋商供应商应填写并提交磋商文件所附的“资格证明文件”。</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、磋商响应报价</w:t>
      </w:r>
      <w:bookmarkEnd w:id="82"/>
      <w:bookmarkEnd w:id="83"/>
      <w:bookmarkStart w:id="86" w:name="_Hlt26670373"/>
      <w:bookmarkEnd w:id="86"/>
      <w:r>
        <w:rPr>
          <w:rFonts w:hint="eastAsia" w:ascii="宋体" w:hAnsi="宋体" w:cs="宋体"/>
          <w:color w:val="auto"/>
          <w:szCs w:val="21"/>
          <w:highlight w:val="none"/>
        </w:rPr>
        <w:t>表</w:t>
      </w:r>
      <w:bookmarkEnd w:id="84"/>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磋商供应商应按照磋商文件规定格式填报磋商响应报价表（含分项报价）。每项产品或服务只允许有一个报价，任何有选择的报价将不予接受，磋商文件中另有规定的按规定执行。</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标的物</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详见项目需求。</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有关费用处理</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本次采购磋商供应商的总报价应包括为完成本项目发生的所有费用，本磋商文件中另有规定的除外。</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其它费用处理</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磋商文件未列明，而磋商供应商认为必须的费用也须列入报价。</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报价采用的货币</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响应文件中的单价和总价，无特殊规定的采用人民币报价，以元为单位标注。磋商文件中另有规定的按规定执行。</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 xml:space="preserve">4.6 </w:t>
      </w:r>
      <w:r>
        <w:rPr>
          <w:rFonts w:hint="eastAsia" w:ascii="宋体" w:hAnsi="宋体" w:cs="宋体"/>
          <w:color w:val="auto"/>
          <w:szCs w:val="21"/>
          <w:highlight w:val="none"/>
        </w:rPr>
        <w:t>磋商响应报价表上的价格应按磋商文件规定填写。</w:t>
      </w:r>
    </w:p>
    <w:p>
      <w:pPr>
        <w:tabs>
          <w:tab w:val="left" w:pos="900"/>
        </w:tabs>
        <w:spacing w:line="400" w:lineRule="exact"/>
        <w:ind w:firstLine="420" w:firstLineChars="200"/>
        <w:rPr>
          <w:rFonts w:ascii="宋体" w:cs="宋体"/>
          <w:color w:val="auto"/>
          <w:szCs w:val="21"/>
          <w:highlight w:val="none"/>
        </w:rPr>
      </w:pPr>
      <w:bookmarkStart w:id="87" w:name="_Hlt26954842"/>
      <w:bookmarkEnd w:id="87"/>
      <w:bookmarkStart w:id="88" w:name="_Hlt26668983"/>
      <w:bookmarkEnd w:id="88"/>
      <w:bookmarkStart w:id="89" w:name="_Hlt26954846"/>
      <w:bookmarkEnd w:id="89"/>
      <w:bookmarkStart w:id="90" w:name="_Hlt26670482"/>
      <w:bookmarkEnd w:id="90"/>
      <w:bookmarkStart w:id="91" w:name="_Hlt26954848"/>
      <w:bookmarkEnd w:id="91"/>
      <w:bookmarkStart w:id="92" w:name="_Hlt26954731"/>
      <w:bookmarkEnd w:id="92"/>
      <w:bookmarkStart w:id="93" w:name="_Hlt26954844"/>
      <w:bookmarkEnd w:id="93"/>
      <w:bookmarkStart w:id="94" w:name="_Hlt26670403"/>
      <w:bookmarkEnd w:id="94"/>
      <w:bookmarkStart w:id="95" w:name="_Hlt26670486"/>
      <w:bookmarkEnd w:id="95"/>
      <w:bookmarkStart w:id="96" w:name="_Hlt26670425"/>
      <w:bookmarkEnd w:id="96"/>
      <w:bookmarkStart w:id="97" w:name="_Toc513029221"/>
      <w:bookmarkStart w:id="98" w:name="_Toc14577359"/>
      <w:bookmarkStart w:id="99" w:name="_Toc61149559"/>
      <w:r>
        <w:rPr>
          <w:rFonts w:ascii="宋体" w:hAnsi="宋体" w:cs="宋体"/>
          <w:color w:val="auto"/>
          <w:szCs w:val="21"/>
          <w:highlight w:val="none"/>
        </w:rPr>
        <w:t>5</w:t>
      </w:r>
      <w:r>
        <w:rPr>
          <w:rFonts w:hint="eastAsia" w:ascii="宋体" w:hAnsi="宋体" w:cs="宋体"/>
          <w:color w:val="auto"/>
          <w:szCs w:val="21"/>
          <w:highlight w:val="none"/>
        </w:rPr>
        <w:t>、项目需求响应方案</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提供为完成本项目的总体实施方案。</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对磋商文件中项目需求的技术与商务条款要求逐项作出应答，并提供依据或说明。</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磋商供应商认为需要的其他技术文件或说明。</w:t>
      </w:r>
    </w:p>
    <w:bookmarkEnd w:id="97"/>
    <w:bookmarkEnd w:id="98"/>
    <w:bookmarkEnd w:id="99"/>
    <w:p>
      <w:pPr>
        <w:tabs>
          <w:tab w:val="left" w:pos="900"/>
        </w:tabs>
        <w:spacing w:line="400" w:lineRule="exact"/>
        <w:ind w:firstLine="422" w:firstLineChars="200"/>
        <w:rPr>
          <w:rFonts w:ascii="宋体" w:cs="宋体"/>
          <w:b/>
          <w:color w:val="auto"/>
          <w:szCs w:val="21"/>
          <w:highlight w:val="none"/>
        </w:rPr>
      </w:pPr>
      <w:bookmarkStart w:id="100" w:name="_Toc513029224"/>
      <w:bookmarkStart w:id="101" w:name="_Toc14577362"/>
      <w:bookmarkStart w:id="102" w:name="_Toc61149562"/>
      <w:r>
        <w:rPr>
          <w:rFonts w:hint="eastAsia" w:ascii="宋体" w:hAnsi="宋体" w:cs="宋体"/>
          <w:b/>
          <w:color w:val="auto"/>
          <w:szCs w:val="21"/>
          <w:highlight w:val="none"/>
        </w:rPr>
        <w:t>三、磋商响应文件的递交</w:t>
      </w:r>
      <w:bookmarkEnd w:id="100"/>
      <w:bookmarkEnd w:id="101"/>
      <w:bookmarkEnd w:id="102"/>
    </w:p>
    <w:p>
      <w:pPr>
        <w:tabs>
          <w:tab w:val="left" w:pos="900"/>
        </w:tabs>
        <w:spacing w:line="400" w:lineRule="exact"/>
        <w:ind w:firstLine="420" w:firstLineChars="200"/>
        <w:rPr>
          <w:rFonts w:ascii="宋体" w:cs="宋体"/>
          <w:color w:val="auto"/>
          <w:szCs w:val="21"/>
          <w:highlight w:val="none"/>
        </w:rPr>
      </w:pPr>
      <w:bookmarkStart w:id="103" w:name="_Hlt26954856"/>
      <w:bookmarkEnd w:id="103"/>
      <w:bookmarkStart w:id="104" w:name="_Toc513029225"/>
      <w:bookmarkStart w:id="105" w:name="_Toc462564084"/>
      <w:bookmarkStart w:id="106" w:name="_Toc61149563"/>
      <w:bookmarkStart w:id="107" w:name="_Toc14577363"/>
      <w:r>
        <w:rPr>
          <w:rFonts w:ascii="宋体" w:hAnsi="宋体" w:cs="宋体"/>
          <w:color w:val="auto"/>
          <w:szCs w:val="21"/>
          <w:highlight w:val="none"/>
        </w:rPr>
        <w:t>1</w:t>
      </w:r>
      <w:r>
        <w:rPr>
          <w:rFonts w:hint="eastAsia" w:ascii="宋体" w:hAnsi="宋体" w:cs="宋体"/>
          <w:color w:val="auto"/>
          <w:szCs w:val="21"/>
          <w:highlight w:val="none"/>
        </w:rPr>
        <w:t>、响应文件</w:t>
      </w:r>
      <w:bookmarkStart w:id="108" w:name="_Hlt26954743"/>
      <w:bookmarkEnd w:id="108"/>
      <w:r>
        <w:rPr>
          <w:rFonts w:hint="eastAsia" w:ascii="宋体" w:hAnsi="宋体" w:cs="宋体"/>
          <w:color w:val="auto"/>
          <w:szCs w:val="21"/>
          <w:highlight w:val="none"/>
        </w:rPr>
        <w:t>的密封和标记</w:t>
      </w:r>
      <w:bookmarkEnd w:id="104"/>
      <w:bookmarkEnd w:id="105"/>
      <w:bookmarkEnd w:id="106"/>
      <w:bookmarkEnd w:id="107"/>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bCs/>
          <w:color w:val="auto"/>
          <w:szCs w:val="21"/>
          <w:highlight w:val="none"/>
        </w:rPr>
        <w:t>磋商供应商应严格按照采购邀请要求的份数准备响应文件，磋商供应商应将响应文件正本和所有副本用单独的封袋密封，</w:t>
      </w:r>
      <w:r>
        <w:rPr>
          <w:rFonts w:hint="eastAsia" w:ascii="宋体" w:hAnsi="宋体" w:cs="宋体"/>
          <w:color w:val="auto"/>
          <w:szCs w:val="21"/>
          <w:highlight w:val="none"/>
        </w:rPr>
        <w:t>封袋上标明“正本”或“副本”字样，并且每份响应文件须清楚地标明“正本”或“副本”字样。一旦正本和副本不符，以正本为准。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密封的响应文件应：</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）按采购邀请中注明的地址送达规定地点；</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）注明参加磋商项目名称、磋商文件编号及参加的分包号（如有）；</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）密封包装上应写明磋商供应商名称和地址。</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如果密封包装未按要求密封和加写标记，代理机构对误投或过早启封概不负责。对由此造成提前开封的响应文件，代理机构将予以拒绝，作无效响应处理。</w:t>
      </w:r>
    </w:p>
    <w:p>
      <w:pPr>
        <w:tabs>
          <w:tab w:val="left" w:pos="900"/>
        </w:tabs>
        <w:spacing w:line="400" w:lineRule="exact"/>
        <w:ind w:firstLine="420" w:firstLineChars="200"/>
        <w:rPr>
          <w:rFonts w:ascii="宋体" w:cs="宋体"/>
          <w:color w:val="auto"/>
          <w:szCs w:val="21"/>
          <w:highlight w:val="none"/>
        </w:rPr>
      </w:pPr>
      <w:bookmarkStart w:id="109" w:name="_Hlt26954752"/>
      <w:bookmarkEnd w:id="109"/>
      <w:bookmarkStart w:id="110" w:name="_Hlt26670496"/>
      <w:bookmarkEnd w:id="110"/>
      <w:bookmarkStart w:id="111" w:name="_Hlt26954858"/>
      <w:bookmarkEnd w:id="111"/>
      <w:bookmarkStart w:id="112" w:name="_Toc513029226"/>
      <w:bookmarkStart w:id="113" w:name="_Toc14577364"/>
      <w:bookmarkStart w:id="114" w:name="_Toc61149564"/>
      <w:r>
        <w:rPr>
          <w:rFonts w:ascii="宋体" w:hAnsi="宋体" w:cs="宋体"/>
          <w:color w:val="auto"/>
          <w:szCs w:val="21"/>
          <w:highlight w:val="none"/>
        </w:rPr>
        <w:t>2</w:t>
      </w:r>
      <w:r>
        <w:rPr>
          <w:rFonts w:hint="eastAsia" w:ascii="宋体" w:hAnsi="宋体" w:cs="宋体"/>
          <w:color w:val="auto"/>
          <w:szCs w:val="21"/>
          <w:highlight w:val="none"/>
        </w:rPr>
        <w:t>、</w:t>
      </w:r>
      <w:bookmarkEnd w:id="112"/>
      <w:bookmarkEnd w:id="113"/>
      <w:bookmarkEnd w:id="114"/>
      <w:r>
        <w:rPr>
          <w:rFonts w:hint="eastAsia" w:ascii="宋体" w:hAnsi="宋体" w:cs="宋体"/>
          <w:color w:val="auto"/>
          <w:szCs w:val="21"/>
          <w:highlight w:val="none"/>
        </w:rPr>
        <w:t>响应文件开启时间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代理机构收到响应文件的时间不得迟于本磋商文件规定的响应文件接收截止时间。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代理机构有权通过修改磋商文件推迟响应文件接收截止时间，在此情况下，磋商供应商的所有权利和义务以及受制的响应文件接收截止时间均应以延长后新的响应文件接收截止时间为准。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400" w:lineRule="exact"/>
        <w:ind w:firstLine="420" w:firstLineChars="200"/>
        <w:rPr>
          <w:rFonts w:ascii="宋体" w:cs="宋体"/>
          <w:color w:val="auto"/>
          <w:szCs w:val="21"/>
          <w:highlight w:val="none"/>
        </w:rPr>
      </w:pPr>
      <w:bookmarkStart w:id="115" w:name="_Hlt26954860"/>
      <w:bookmarkEnd w:id="115"/>
      <w:bookmarkStart w:id="116" w:name="_Toc61149565"/>
      <w:bookmarkStart w:id="117" w:name="_Toc513029227"/>
      <w:bookmarkStart w:id="118" w:name="_Toc14577365"/>
      <w:r>
        <w:rPr>
          <w:rFonts w:ascii="宋体" w:hAnsi="宋体" w:cs="宋体"/>
          <w:color w:val="auto"/>
          <w:szCs w:val="21"/>
          <w:highlight w:val="none"/>
        </w:rPr>
        <w:t>3</w:t>
      </w:r>
      <w:r>
        <w:rPr>
          <w:rFonts w:hint="eastAsia" w:ascii="宋体" w:hAnsi="宋体" w:cs="宋体"/>
          <w:color w:val="auto"/>
          <w:szCs w:val="21"/>
          <w:highlight w:val="none"/>
        </w:rPr>
        <w:t>、迟交的响应文件</w:t>
      </w:r>
      <w:bookmarkEnd w:id="116"/>
      <w:bookmarkEnd w:id="117"/>
      <w:bookmarkEnd w:id="118"/>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代理机构将拒绝在规定的响应文件接收截止时间后接收任何响应文件。</w:t>
      </w:r>
    </w:p>
    <w:p>
      <w:pPr>
        <w:tabs>
          <w:tab w:val="left" w:pos="900"/>
        </w:tabs>
        <w:spacing w:line="400" w:lineRule="exact"/>
        <w:ind w:firstLine="420" w:firstLineChars="200"/>
        <w:rPr>
          <w:rFonts w:ascii="宋体" w:cs="宋体"/>
          <w:color w:val="auto"/>
          <w:szCs w:val="21"/>
          <w:highlight w:val="none"/>
        </w:rPr>
      </w:pPr>
      <w:bookmarkStart w:id="119" w:name="_Hlt26954754"/>
      <w:bookmarkEnd w:id="119"/>
      <w:bookmarkStart w:id="120" w:name="_Hlt26954862"/>
      <w:bookmarkEnd w:id="120"/>
      <w:bookmarkStart w:id="121" w:name="_Toc14577366"/>
      <w:bookmarkStart w:id="122" w:name="_Toc61149566"/>
      <w:bookmarkStart w:id="123" w:name="_Toc513029228"/>
      <w:r>
        <w:rPr>
          <w:rFonts w:ascii="宋体" w:hAnsi="宋体" w:cs="宋体"/>
          <w:color w:val="auto"/>
          <w:szCs w:val="21"/>
          <w:highlight w:val="none"/>
        </w:rPr>
        <w:t>4</w:t>
      </w:r>
      <w:r>
        <w:rPr>
          <w:rFonts w:hint="eastAsia" w:ascii="宋体" w:hAnsi="宋体" w:cs="宋体"/>
          <w:color w:val="auto"/>
          <w:szCs w:val="21"/>
          <w:highlight w:val="none"/>
        </w:rPr>
        <w:t>、响应文件</w:t>
      </w:r>
      <w:bookmarkStart w:id="124" w:name="_Hlt26670588"/>
      <w:r>
        <w:rPr>
          <w:rFonts w:hint="eastAsia" w:ascii="宋体" w:hAnsi="宋体" w:cs="宋体"/>
          <w:color w:val="auto"/>
          <w:szCs w:val="21"/>
          <w:highlight w:val="none"/>
        </w:rPr>
        <w:t>的修改</w:t>
      </w:r>
      <w:bookmarkEnd w:id="124"/>
      <w:r>
        <w:rPr>
          <w:rFonts w:hint="eastAsia" w:ascii="宋体" w:hAnsi="宋体" w:cs="宋体"/>
          <w:color w:val="auto"/>
          <w:szCs w:val="21"/>
          <w:highlight w:val="none"/>
        </w:rPr>
        <w:t>和撤回</w:t>
      </w:r>
      <w:bookmarkEnd w:id="121"/>
      <w:bookmarkEnd w:id="122"/>
      <w:bookmarkEnd w:id="123"/>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磋商供应商在递交响应文件后，可以修改或撤回其谈判响应文件，但这种修改和撤回，必须在规定的响应文件接收截止时间前，以书面形式送达指定地点。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磋商供应商的修改或撤回通知书，应按本文件规定进行编制、密封、标记和发送，并应在封套上加注“修改”和“撤回”字样。</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磋商供应商在提交最后报价之前，可以根据磋商情况退出磋商。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、磋商响应有效期</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5.1 </w:t>
      </w:r>
      <w:r>
        <w:rPr>
          <w:rFonts w:hint="eastAsia" w:ascii="宋体" w:hAnsi="宋体" w:cs="宋体"/>
          <w:color w:val="auto"/>
          <w:szCs w:val="21"/>
          <w:highlight w:val="none"/>
        </w:rPr>
        <w:t>磋商响应有效期为代理机构规定的响应文件接收截止时间后六十（</w:t>
      </w:r>
      <w:r>
        <w:rPr>
          <w:rFonts w:ascii="宋体" w:hAnsi="宋体" w:cs="宋体"/>
          <w:color w:val="auto"/>
          <w:szCs w:val="21"/>
          <w:highlight w:val="none"/>
        </w:rPr>
        <w:t>60</w:t>
      </w:r>
      <w:r>
        <w:rPr>
          <w:rFonts w:hint="eastAsia" w:ascii="宋体" w:hAnsi="宋体" w:cs="宋体"/>
          <w:color w:val="auto"/>
          <w:szCs w:val="21"/>
          <w:highlight w:val="none"/>
        </w:rPr>
        <w:t>）天。磋商响应有效期比规定短的将被视为非实质性响应性而予以拒绝。</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5.2 </w:t>
      </w:r>
      <w:r>
        <w:rPr>
          <w:rFonts w:hint="eastAsia" w:ascii="宋体" w:hAnsi="宋体" w:cs="宋体"/>
          <w:color w:val="auto"/>
          <w:szCs w:val="21"/>
          <w:highlight w:val="none"/>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tabs>
          <w:tab w:val="left" w:pos="900"/>
        </w:tabs>
        <w:spacing w:line="400" w:lineRule="exact"/>
        <w:ind w:firstLine="422" w:firstLineChars="200"/>
        <w:rPr>
          <w:rFonts w:ascii="宋体" w:cs="宋体"/>
          <w:b/>
          <w:color w:val="auto"/>
          <w:szCs w:val="21"/>
          <w:highlight w:val="none"/>
        </w:rPr>
      </w:pPr>
      <w:bookmarkStart w:id="125" w:name="_Hlt26670523"/>
      <w:bookmarkEnd w:id="125"/>
      <w:bookmarkStart w:id="126" w:name="_Hlt26954864"/>
      <w:bookmarkEnd w:id="126"/>
      <w:r>
        <w:rPr>
          <w:rFonts w:hint="eastAsia" w:ascii="宋体" w:hAnsi="宋体" w:cs="宋体"/>
          <w:b/>
          <w:color w:val="auto"/>
          <w:szCs w:val="21"/>
          <w:highlight w:val="none"/>
        </w:rPr>
        <w:t>四、磋商与评审</w:t>
      </w:r>
    </w:p>
    <w:p>
      <w:pPr>
        <w:tabs>
          <w:tab w:val="left" w:pos="900"/>
        </w:tabs>
        <w:spacing w:line="400" w:lineRule="exact"/>
        <w:ind w:firstLine="420" w:firstLineChars="200"/>
        <w:rPr>
          <w:rFonts w:ascii="宋体" w:cs="宋体"/>
          <w:color w:val="auto"/>
          <w:szCs w:val="21"/>
          <w:highlight w:val="none"/>
        </w:rPr>
      </w:pPr>
      <w:bookmarkStart w:id="127" w:name="_Toc513029230"/>
      <w:bookmarkStart w:id="128" w:name="_Toc16938546"/>
      <w:bookmarkStart w:id="129" w:name="_Toc20823302"/>
      <w:r>
        <w:rPr>
          <w:rFonts w:ascii="宋体" w:hAnsi="宋体" w:cs="宋体"/>
          <w:color w:val="auto"/>
          <w:szCs w:val="21"/>
          <w:highlight w:val="none"/>
        </w:rPr>
        <w:t>1</w:t>
      </w:r>
      <w:r>
        <w:rPr>
          <w:rFonts w:hint="eastAsia" w:ascii="宋体" w:hAnsi="宋体" w:cs="宋体"/>
          <w:color w:val="auto"/>
          <w:szCs w:val="21"/>
          <w:highlight w:val="none"/>
        </w:rPr>
        <w:t>、</w:t>
      </w:r>
      <w:bookmarkEnd w:id="127"/>
      <w:bookmarkEnd w:id="128"/>
      <w:bookmarkEnd w:id="129"/>
      <w:r>
        <w:rPr>
          <w:rFonts w:hint="eastAsia" w:ascii="宋体" w:hAnsi="宋体" w:cs="宋体"/>
          <w:color w:val="auto"/>
          <w:szCs w:val="21"/>
          <w:highlight w:val="none"/>
        </w:rPr>
        <w:t>磋商仪式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代理机构将在采购邀请中规定的时间和地点组织磋商开始仪式，仪式由代理机构主持，磋商供应商应委派携带有效证件的代表准时参加，参加仪式的代表需签名以证明其出席。</w:t>
      </w:r>
    </w:p>
    <w:p>
      <w:pPr>
        <w:tabs>
          <w:tab w:val="left" w:pos="900"/>
        </w:tabs>
        <w:spacing w:line="400" w:lineRule="exact"/>
        <w:ind w:firstLine="420" w:firstLineChars="200"/>
        <w:rPr>
          <w:rFonts w:ascii="宋体" w:cs="宋体"/>
          <w:color w:val="auto"/>
          <w:szCs w:val="21"/>
          <w:highlight w:val="none"/>
        </w:rPr>
      </w:pPr>
      <w:bookmarkStart w:id="130" w:name="_Toc20823303"/>
      <w:bookmarkStart w:id="131" w:name="_Toc513029231"/>
      <w:bookmarkStart w:id="132" w:name="_Toc16938547"/>
      <w:r>
        <w:rPr>
          <w:rFonts w:ascii="宋体" w:hAnsi="宋体" w:cs="宋体"/>
          <w:color w:val="auto"/>
          <w:szCs w:val="21"/>
          <w:highlight w:val="none"/>
        </w:rPr>
        <w:t>2</w:t>
      </w:r>
      <w:r>
        <w:rPr>
          <w:rFonts w:hint="eastAsia" w:ascii="宋体" w:hAnsi="宋体" w:cs="宋体"/>
          <w:color w:val="auto"/>
          <w:szCs w:val="21"/>
          <w:highlight w:val="none"/>
        </w:rPr>
        <w:t>、磋商小组</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磋商开始仪式结束后，代理机构将立即组织磋商小组进行评审。</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磋商小组由采购评审专家、采购人代表组成，且人员构成符合采购有关规定。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、磋商评审过程的保密</w:t>
      </w:r>
      <w:bookmarkEnd w:id="130"/>
      <w:bookmarkEnd w:id="131"/>
      <w:bookmarkEnd w:id="132"/>
      <w:r>
        <w:rPr>
          <w:rFonts w:hint="eastAsia" w:ascii="宋体" w:hAnsi="宋体" w:cs="宋体"/>
          <w:color w:val="auto"/>
          <w:szCs w:val="21"/>
          <w:highlight w:val="none"/>
        </w:rPr>
        <w:t>与公正</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磋商小组、采购人和代理机构工作人员、相关监督人员等与评审工作有关的人员，对评审情况以及在评审过程中获悉的国家秘密、商业秘密负有保密责任。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在磋商评审过程中，磋商供应商不得以任何行为影响磋商评审过程，否则其响应文件将被作为无效响应文件。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400" w:lineRule="exact"/>
        <w:ind w:firstLine="420" w:firstLineChars="200"/>
        <w:rPr>
          <w:rFonts w:ascii="宋体" w:cs="宋体"/>
          <w:color w:val="auto"/>
          <w:szCs w:val="21"/>
          <w:highlight w:val="none"/>
        </w:rPr>
      </w:pPr>
      <w:bookmarkStart w:id="133" w:name="_Toc16938548"/>
      <w:bookmarkStart w:id="134" w:name="_Toc20823304"/>
      <w:bookmarkStart w:id="135" w:name="_Toc513029232"/>
      <w:r>
        <w:rPr>
          <w:rFonts w:ascii="宋体" w:hAnsi="宋体" w:cs="宋体"/>
          <w:color w:val="auto"/>
          <w:szCs w:val="21"/>
          <w:highlight w:val="none"/>
        </w:rPr>
        <w:t>4</w:t>
      </w:r>
      <w:r>
        <w:rPr>
          <w:rFonts w:hint="eastAsia" w:ascii="宋体" w:hAnsi="宋体" w:cs="宋体"/>
          <w:color w:val="auto"/>
          <w:szCs w:val="21"/>
          <w:highlight w:val="none"/>
        </w:rPr>
        <w:t>、评审过程的澄清</w:t>
      </w:r>
      <w:bookmarkEnd w:id="133"/>
      <w:bookmarkEnd w:id="134"/>
      <w:bookmarkEnd w:id="135"/>
      <w:r>
        <w:rPr>
          <w:rFonts w:hint="eastAsia" w:ascii="宋体" w:hAnsi="宋体" w:cs="宋体"/>
          <w:color w:val="auto"/>
          <w:szCs w:val="21"/>
          <w:highlight w:val="none"/>
        </w:rPr>
        <w:t>、说明和更正</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接到磋商小组澄清要求的供应商如未按规定做出澄清，其风险由供应商自行承担。</w:t>
      </w:r>
    </w:p>
    <w:p>
      <w:pPr>
        <w:tabs>
          <w:tab w:val="left" w:pos="900"/>
        </w:tabs>
        <w:spacing w:line="400" w:lineRule="exact"/>
        <w:ind w:firstLine="420" w:firstLineChars="200"/>
        <w:rPr>
          <w:rFonts w:ascii="宋体" w:cs="宋体"/>
          <w:color w:val="auto"/>
          <w:szCs w:val="21"/>
          <w:highlight w:val="none"/>
        </w:rPr>
      </w:pPr>
      <w:bookmarkStart w:id="136" w:name="_Toc16938549"/>
      <w:bookmarkStart w:id="137" w:name="_Toc20823305"/>
      <w:bookmarkStart w:id="138" w:name="_Toc513029233"/>
      <w:r>
        <w:rPr>
          <w:rFonts w:ascii="宋体" w:hAnsi="宋体" w:cs="宋体"/>
          <w:color w:val="auto"/>
          <w:szCs w:val="21"/>
          <w:highlight w:val="none"/>
        </w:rPr>
        <w:t>5</w:t>
      </w:r>
      <w:r>
        <w:rPr>
          <w:rFonts w:hint="eastAsia" w:ascii="宋体" w:hAnsi="宋体" w:cs="宋体"/>
          <w:color w:val="auto"/>
          <w:szCs w:val="21"/>
          <w:highlight w:val="none"/>
        </w:rPr>
        <w:t>、对响应文件的初审</w:t>
      </w:r>
      <w:bookmarkEnd w:id="136"/>
      <w:bookmarkEnd w:id="137"/>
      <w:bookmarkEnd w:id="138"/>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响应文件初审分为资格性检查和符合性检查。</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资格性检查：依据法律法规和磋商文件的规定，对响应文件中的资格证明文件等进行审查，以确定供应商是否具备参加磋商的资格。</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符合性检查：依据磋商文件的规定，从响应文件的有效性、完整性和对磋商文件的响应程度进行审查，以确定是否对磋商文件的实质性要求作出响应。</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5.3 </w:t>
      </w:r>
      <w:r>
        <w:rPr>
          <w:rFonts w:hint="eastAsia" w:ascii="宋体" w:hAnsi="宋体" w:cs="宋体"/>
          <w:color w:val="auto"/>
          <w:szCs w:val="21"/>
          <w:highlight w:val="none"/>
        </w:rPr>
        <w:t>被认定为未实质性响应磋商文件的响应文件的情形</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）未按照磋商文件规定要求密封、签署、盖章的；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）供应商在报价时采用选择性报价；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）供应商不具备磋商文件中规定资格要求的；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）不符合法律、法规和磋商文件中规定的其他实质性要求和条件的（本磋商文件中斜体且有下划线部分为实质性要求和条件）；</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）其他法律、法规及本磋商文件规定的属未实质性响应的响应文件的情形。</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5.4 </w:t>
      </w:r>
      <w:r>
        <w:rPr>
          <w:rFonts w:hint="eastAsia" w:ascii="宋体" w:hAnsi="宋体" w:cs="宋体"/>
          <w:color w:val="auto"/>
          <w:szCs w:val="21"/>
          <w:highlight w:val="none"/>
        </w:rPr>
        <w:t>未实质性响应磋商文件的响应文件按无效响应处理，磋商小组将予以拒绝，供应商不得通过修改或撤销不合要求的偏离或保留而使其响应文件成为实质性响应的文件。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tabs>
          <w:tab w:val="left" w:pos="900"/>
        </w:tabs>
        <w:spacing w:line="400" w:lineRule="exact"/>
        <w:ind w:firstLine="420" w:firstLineChars="200"/>
        <w:rPr>
          <w:rFonts w:ascii="宋体" w:cs="宋体"/>
          <w:color w:val="auto"/>
          <w:szCs w:val="21"/>
          <w:highlight w:val="none"/>
        </w:rPr>
      </w:pPr>
      <w:bookmarkStart w:id="139" w:name="_Toc513029234"/>
      <w:bookmarkStart w:id="140" w:name="_Toc20823306"/>
      <w:bookmarkStart w:id="141" w:name="_Toc16938550"/>
      <w:r>
        <w:rPr>
          <w:rFonts w:ascii="宋体" w:hAnsi="宋体" w:cs="宋体"/>
          <w:color w:val="auto"/>
          <w:szCs w:val="21"/>
          <w:highlight w:val="none"/>
        </w:rPr>
        <w:t>6</w:t>
      </w:r>
      <w:r>
        <w:rPr>
          <w:rFonts w:hint="eastAsia" w:ascii="宋体" w:hAnsi="宋体" w:cs="宋体"/>
          <w:color w:val="auto"/>
          <w:szCs w:val="21"/>
          <w:highlight w:val="none"/>
        </w:rPr>
        <w:t>、</w:t>
      </w:r>
      <w:bookmarkEnd w:id="139"/>
      <w:bookmarkEnd w:id="140"/>
      <w:bookmarkEnd w:id="141"/>
      <w:r>
        <w:rPr>
          <w:rFonts w:hint="eastAsia" w:ascii="宋体" w:hAnsi="宋体" w:cs="宋体"/>
          <w:color w:val="auto"/>
          <w:szCs w:val="21"/>
          <w:highlight w:val="none"/>
        </w:rPr>
        <w:t>磋商程序及评审方法和标准</w:t>
      </w:r>
    </w:p>
    <w:p>
      <w:pPr>
        <w:tabs>
          <w:tab w:val="left" w:pos="900"/>
        </w:tabs>
        <w:spacing w:line="400" w:lineRule="exact"/>
        <w:ind w:firstLine="420" w:firstLineChars="200"/>
        <w:rPr>
          <w:rFonts w:ascii="宋体" w:cs="宋体"/>
          <w:color w:val="auto"/>
          <w:szCs w:val="21"/>
          <w:highlight w:val="none"/>
        </w:rPr>
      </w:pPr>
      <w:bookmarkStart w:id="142" w:name="_Toc16938551"/>
      <w:bookmarkStart w:id="143" w:name="_Toc513029235"/>
      <w:bookmarkStart w:id="144" w:name="_Toc20823307"/>
      <w:r>
        <w:rPr>
          <w:rFonts w:ascii="宋体" w:hAnsi="宋体" w:cs="宋体"/>
          <w:color w:val="auto"/>
          <w:szCs w:val="21"/>
          <w:highlight w:val="none"/>
        </w:rPr>
        <w:t>6.1</w:t>
      </w:r>
      <w:r>
        <w:rPr>
          <w:rFonts w:hint="eastAsia" w:ascii="宋体" w:hAnsi="宋体" w:cs="宋体"/>
          <w:color w:val="auto"/>
          <w:szCs w:val="21"/>
          <w:highlight w:val="none"/>
        </w:rPr>
        <w:t>磋商程序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对于通过资格性和符合性审查的供应商，磋商小组所有成员将集中与单一供应商分别进行磋商。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 6.1.2 </w:t>
      </w:r>
      <w:r>
        <w:rPr>
          <w:rFonts w:hint="eastAsia" w:ascii="宋体" w:hAnsi="宋体" w:cs="宋体"/>
          <w:color w:val="auto"/>
          <w:szCs w:val="21"/>
          <w:highlight w:val="none"/>
        </w:rPr>
        <w:t>磋商文件能够详细列明采购标的的技术、服务要求的，磋商结束后，磋商小组将要求所有实质性响应的供应商在规定时间内提交最后报价。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磋商文件不能详细列明采购标的的技术、服务要求，需经磋商由供应商提供最终设计方案或解决方案的，磋商结束后，磋商小组将按照少数服从多数的原则投票推荐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家以上供应商的设计方案或者解决方案，并要求其在规定时间内提交最后报价。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cs="宋体"/>
          <w:color w:val="auto"/>
          <w:szCs w:val="21"/>
          <w:highlight w:val="none"/>
        </w:rPr>
        <w:t>[2015]124</w:t>
      </w:r>
      <w:r>
        <w:rPr>
          <w:rFonts w:hint="eastAsia" w:ascii="宋体" w:hAnsi="宋体" w:cs="宋体"/>
          <w:color w:val="auto"/>
          <w:szCs w:val="21"/>
          <w:highlight w:val="none"/>
        </w:rPr>
        <w:t>号）规定情形的，提交最后报价的供应商可以为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6.1.3 </w:t>
      </w:r>
      <w:r>
        <w:rPr>
          <w:rFonts w:hint="eastAsia" w:ascii="宋体" w:hAnsi="宋体" w:cs="宋体"/>
          <w:color w:val="auto"/>
          <w:szCs w:val="21"/>
          <w:highlight w:val="none"/>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评审方法和标准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6.2.1</w:t>
      </w:r>
      <w:r>
        <w:rPr>
          <w:rFonts w:hint="eastAsia" w:ascii="宋体" w:hAnsi="宋体" w:cs="宋体"/>
          <w:color w:val="auto"/>
          <w:szCs w:val="21"/>
          <w:highlight w:val="none"/>
        </w:rPr>
        <w:t>评审方法。经磋商确定最终采购需求和提交最后报价的供应商后，由磋商小组采用综合评分法对提交最后报价的供应商的响应文件和最后报价进行综合评分。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6.2.2</w:t>
      </w:r>
      <w:r>
        <w:rPr>
          <w:rFonts w:hint="eastAsia" w:ascii="宋体" w:hAnsi="宋体" w:cs="宋体"/>
          <w:color w:val="auto"/>
          <w:szCs w:val="21"/>
          <w:highlight w:val="none"/>
        </w:rPr>
        <w:t>评审标准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见本磋商文件第五章规定。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采购活动终止的情况</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出现下列情形之一的，本次竞争性磋商采购活动将被终止：</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）因情况变化，不再符合规定的竞争性磋商采购方式适用情形的；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）除本磋商文件第</w:t>
      </w:r>
      <w:r>
        <w:rPr>
          <w:rFonts w:ascii="宋体" w:hAnsi="宋体" w:cs="宋体"/>
          <w:color w:val="auto"/>
          <w:szCs w:val="21"/>
          <w:highlight w:val="none"/>
        </w:rPr>
        <w:t>6.1.2</w:t>
      </w:r>
      <w:r>
        <w:rPr>
          <w:rFonts w:hint="eastAsia" w:ascii="宋体" w:hAnsi="宋体" w:cs="宋体"/>
          <w:color w:val="auto"/>
          <w:szCs w:val="21"/>
          <w:highlight w:val="none"/>
        </w:rPr>
        <w:t>条第三款规定的情形外，在采购过程中符合要求的供应商或者报价未超过采购预算的供应商不足</w:t>
      </w:r>
      <w:r>
        <w:rPr>
          <w:rFonts w:ascii="宋体" w:hAnsi="宋体" w:cs="宋体"/>
          <w:color w:val="auto"/>
          <w:szCs w:val="21"/>
          <w:highlight w:val="none"/>
        </w:rPr>
        <w:t>3</w:t>
      </w:r>
      <w:r>
        <w:rPr>
          <w:rFonts w:hint="eastAsia" w:ascii="宋体" w:hAnsi="宋体" w:cs="宋体"/>
          <w:color w:val="auto"/>
          <w:szCs w:val="21"/>
          <w:highlight w:val="none"/>
        </w:rPr>
        <w:t>家的。</w:t>
      </w:r>
      <w:bookmarkEnd w:id="142"/>
      <w:bookmarkEnd w:id="143"/>
      <w:bookmarkEnd w:id="144"/>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五、成交</w:t>
      </w:r>
    </w:p>
    <w:p>
      <w:pPr>
        <w:tabs>
          <w:tab w:val="left" w:pos="900"/>
        </w:tabs>
        <w:spacing w:line="400" w:lineRule="exact"/>
        <w:ind w:firstLine="420" w:firstLineChars="200"/>
        <w:rPr>
          <w:rFonts w:ascii="宋体" w:cs="宋体"/>
          <w:color w:val="auto"/>
          <w:szCs w:val="21"/>
          <w:highlight w:val="none"/>
        </w:rPr>
      </w:pPr>
      <w:bookmarkStart w:id="145" w:name="_Toc513029238"/>
      <w:bookmarkStart w:id="146" w:name="_Toc20823310"/>
      <w:bookmarkStart w:id="147" w:name="_Toc16938554"/>
      <w:r>
        <w:rPr>
          <w:rFonts w:ascii="宋体" w:hAnsi="宋体" w:cs="宋体"/>
          <w:color w:val="auto"/>
          <w:szCs w:val="21"/>
          <w:highlight w:val="none"/>
        </w:rPr>
        <w:t>1</w:t>
      </w:r>
      <w:r>
        <w:rPr>
          <w:rFonts w:hint="eastAsia" w:ascii="宋体" w:hAnsi="宋体" w:cs="宋体"/>
          <w:color w:val="auto"/>
          <w:szCs w:val="21"/>
          <w:highlight w:val="none"/>
        </w:rPr>
        <w:t>、</w:t>
      </w:r>
      <w:bookmarkEnd w:id="145"/>
      <w:r>
        <w:rPr>
          <w:rFonts w:hint="eastAsia" w:ascii="宋体" w:hAnsi="宋体" w:cs="宋体"/>
          <w:color w:val="auto"/>
          <w:szCs w:val="21"/>
          <w:highlight w:val="none"/>
        </w:rPr>
        <w:t>确定</w:t>
      </w:r>
      <w:bookmarkEnd w:id="146"/>
      <w:bookmarkEnd w:id="147"/>
      <w:r>
        <w:rPr>
          <w:rFonts w:hint="eastAsia" w:ascii="宋体" w:hAnsi="宋体" w:cs="宋体"/>
          <w:color w:val="auto"/>
          <w:szCs w:val="21"/>
          <w:highlight w:val="none"/>
        </w:rPr>
        <w:t>成交单位</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名以上成交候选供应商，并编写评审报告。符合本文件第</w:t>
      </w:r>
      <w:r>
        <w:rPr>
          <w:rFonts w:ascii="宋体" w:hAnsi="宋体" w:cs="宋体"/>
          <w:color w:val="auto"/>
          <w:szCs w:val="21"/>
          <w:highlight w:val="none"/>
        </w:rPr>
        <w:t>6.1.2</w:t>
      </w:r>
      <w:r>
        <w:rPr>
          <w:rFonts w:hint="eastAsia" w:ascii="宋体" w:hAnsi="宋体" w:cs="宋体"/>
          <w:color w:val="auto"/>
          <w:szCs w:val="21"/>
          <w:highlight w:val="none"/>
        </w:rPr>
        <w:t>条情形的，可以推荐</w:t>
      </w:r>
      <w:r>
        <w:rPr>
          <w:rFonts w:ascii="宋体" w:hAnsi="宋体" w:cs="宋体"/>
          <w:color w:val="auto"/>
          <w:szCs w:val="21"/>
          <w:highlight w:val="none"/>
        </w:rPr>
        <w:t>2</w:t>
      </w:r>
      <w:r>
        <w:rPr>
          <w:rFonts w:hint="eastAsia" w:ascii="宋体" w:hAnsi="宋体" w:cs="宋体"/>
          <w:color w:val="auto"/>
          <w:szCs w:val="21"/>
          <w:highlight w:val="none"/>
        </w:rPr>
        <w:t>家成交候选供应商。评审得分相同的，按照最后报价由低到高的顺序推荐。评审得分且最后报价相同的，按照技术指标优劣顺序推荐。</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采购人根据磋商小组推荐的成交候选人确定成交供应商。采购人确定成交供应商后，代理机构将在“扬州维扬发展投资有限公司网站”发布成交结果公告，公告期限为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若有充分证据证明，成交供应商出现下列情况之一的，一经查实，将被取消成交资格：</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）提供虚假材料谋取成交的；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）与评审专家、采购人、其他供应商或者代理机构工作人员恶意串通的；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）向评审专家、采购人或代理机构工作人员行贿或者提供其他不正当利益的；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）恶意竞争，最终总报价明显低于其自身合理成本且又无法提供证明的；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）不满足本磋商文件规定的实质性要求，但在评审过程中又未被磋商小组发现的；</w:t>
      </w:r>
    </w:p>
    <w:p>
      <w:pPr>
        <w:tabs>
          <w:tab w:val="left" w:pos="900"/>
        </w:tabs>
        <w:spacing w:line="400" w:lineRule="exact"/>
        <w:ind w:firstLine="396" w:firstLineChars="200"/>
        <w:rPr>
          <w:rFonts w:ascii="宋体" w:cs="宋体"/>
          <w:color w:val="auto"/>
          <w:spacing w:val="-6"/>
          <w:szCs w:val="21"/>
          <w:highlight w:val="none"/>
        </w:rPr>
      </w:pPr>
      <w:r>
        <w:rPr>
          <w:rFonts w:hint="eastAsia" w:ascii="宋体" w:hAnsi="宋体" w:cs="宋体"/>
          <w:color w:val="auto"/>
          <w:spacing w:val="-6"/>
          <w:szCs w:val="21"/>
          <w:highlight w:val="none"/>
        </w:rPr>
        <w:t>（</w:t>
      </w:r>
      <w:r>
        <w:rPr>
          <w:rFonts w:ascii="宋体" w:hAnsi="宋体" w:cs="宋体"/>
          <w:color w:val="auto"/>
          <w:spacing w:val="-6"/>
          <w:szCs w:val="21"/>
          <w:highlight w:val="none"/>
        </w:rPr>
        <w:t>6</w:t>
      </w:r>
      <w:r>
        <w:rPr>
          <w:rFonts w:hint="eastAsia" w:ascii="宋体" w:hAnsi="宋体" w:cs="宋体"/>
          <w:color w:val="auto"/>
          <w:spacing w:val="-6"/>
          <w:szCs w:val="21"/>
          <w:highlight w:val="none"/>
        </w:rPr>
        <w:t>）成交后无正当理由拒不与采购人签订采购合同或者未按照磋商文件确定的事项签订采购合同；</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）将采购合同转包；</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）法律、法规、规章规定的属于成交无效的其他情形。</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、质疑处理</w:t>
      </w:r>
    </w:p>
    <w:p>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供应商认为磋商文件、采购过程和中标或成交结果使自己的权益受到损害的，可以在知道或应知其权益受到损害之日起七个工作日内，以书面形式向采购人或代理机构提出质疑。</w:t>
      </w:r>
    </w:p>
    <w:p>
      <w:pPr>
        <w:spacing w:line="400" w:lineRule="exact"/>
        <w:ind w:firstLine="420" w:firstLineChars="200"/>
        <w:jc w:val="left"/>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对磋商文件提出质疑的，应当在获取磋商文件之日或者磋商文件公告期限届满之日起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r>
        <w:rPr>
          <w:rFonts w:ascii="宋体" w:cs="宋体"/>
          <w:color w:val="auto"/>
          <w:szCs w:val="21"/>
          <w:highlight w:val="none"/>
        </w:rPr>
        <w:br w:type="textWrapping"/>
      </w:r>
      <w:r>
        <w:rPr>
          <w:rFonts w:hint="eastAsia" w:ascii="宋体" w:hAnsi="宋体" w:cs="宋体"/>
          <w:color w:val="auto"/>
          <w:szCs w:val="21"/>
          <w:highlight w:val="none"/>
        </w:rPr>
        <w:t>　　</w:t>
      </w:r>
      <w:r>
        <w:rPr>
          <w:rFonts w:ascii="宋体" w:hAnsi="宋体" w:cs="宋体"/>
          <w:color w:val="auto"/>
          <w:szCs w:val="21"/>
          <w:highlight w:val="none"/>
        </w:rPr>
        <w:t>2.1.2</w:t>
      </w:r>
      <w:r>
        <w:rPr>
          <w:rFonts w:hint="eastAsia" w:ascii="宋体" w:hAnsi="宋体" w:cs="宋体"/>
          <w:color w:val="auto"/>
          <w:szCs w:val="21"/>
          <w:highlight w:val="none"/>
        </w:rPr>
        <w:t>对采购过程提出质疑的，为各采购程序环节结束之日起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r>
        <w:rPr>
          <w:rFonts w:ascii="宋体" w:cs="宋体"/>
          <w:color w:val="auto"/>
          <w:szCs w:val="21"/>
          <w:highlight w:val="none"/>
        </w:rPr>
        <w:br w:type="textWrapping"/>
      </w:r>
      <w:r>
        <w:rPr>
          <w:rFonts w:hint="eastAsia" w:ascii="宋体" w:hAnsi="宋体" w:cs="宋体"/>
          <w:color w:val="auto"/>
          <w:szCs w:val="21"/>
          <w:highlight w:val="none"/>
        </w:rPr>
        <w:t>　　</w:t>
      </w:r>
      <w:r>
        <w:rPr>
          <w:rFonts w:ascii="宋体" w:hAnsi="宋体" w:cs="宋体"/>
          <w:color w:val="auto"/>
          <w:szCs w:val="21"/>
          <w:highlight w:val="none"/>
        </w:rPr>
        <w:t>2.1.3</w:t>
      </w:r>
      <w:r>
        <w:rPr>
          <w:rFonts w:hint="eastAsia" w:ascii="宋体" w:hAnsi="宋体" w:cs="宋体"/>
          <w:color w:val="auto"/>
          <w:szCs w:val="21"/>
          <w:highlight w:val="none"/>
        </w:rPr>
        <w:t>对成交结果提出质疑的，为成交结果公告期限届满之日起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p>
    <w:p>
      <w:pPr>
        <w:spacing w:line="400" w:lineRule="exact"/>
        <w:ind w:firstLine="420" w:firstLineChars="200"/>
        <w:rPr>
          <w:rFonts w:ascii="宋体" w:cs="宋体"/>
          <w:snapToGrid w:val="0"/>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供应商应在法定质疑期内一次性提出针对同一采购程序环节的质疑。质疑参照《政府采购法》、《政府采购法实施条例》及《政府采购质疑和投诉办法》等相关规定提交</w:t>
      </w:r>
      <w:r>
        <w:rPr>
          <w:rFonts w:hint="eastAsia" w:ascii="宋体" w:hAnsi="宋体" w:cs="宋体"/>
          <w:color w:val="auto"/>
          <w:spacing w:val="-20"/>
          <w:szCs w:val="21"/>
          <w:highlight w:val="none"/>
        </w:rPr>
        <w:t>。</w:t>
      </w:r>
    </w:p>
    <w:p>
      <w:pPr>
        <w:spacing w:line="400" w:lineRule="exact"/>
        <w:ind w:firstLine="409" w:firstLineChars="195"/>
        <w:rPr>
          <w:rFonts w:ascii="宋体" w:cs="宋体"/>
          <w:color w:val="auto"/>
          <w:kern w:val="0"/>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提出质疑的供应商（以下简称质疑供应商）应当是参与所质疑项目采购活动的供应商。</w:t>
      </w:r>
      <w:r>
        <w:rPr>
          <w:rFonts w:hint="eastAsia" w:ascii="宋体" w:hAnsi="宋体" w:cs="宋体"/>
          <w:color w:val="auto"/>
          <w:kern w:val="0"/>
          <w:szCs w:val="21"/>
          <w:highlight w:val="none"/>
        </w:rPr>
        <w:t>未参加磋商采购活动的供应商或在磋商采购活动中自身权益未受到损害的供应商所提出的质疑不予受理。</w:t>
      </w:r>
    </w:p>
    <w:p>
      <w:pPr>
        <w:spacing w:line="400" w:lineRule="exact"/>
        <w:ind w:firstLine="409" w:firstLineChars="195"/>
        <w:rPr>
          <w:rFonts w:ascii="宋体" w:cs="宋体"/>
          <w:color w:val="auto"/>
          <w:szCs w:val="21"/>
          <w:highlight w:val="none"/>
        </w:rPr>
      </w:pPr>
      <w:r>
        <w:rPr>
          <w:rFonts w:hint="eastAsia" w:ascii="宋体" w:hAnsi="宋体" w:cs="宋体"/>
          <w:color w:val="auto"/>
          <w:szCs w:val="21"/>
          <w:highlight w:val="none"/>
        </w:rPr>
        <w:t>潜在供应商已依法获取其可质疑的磋商文件的，可以对该文件提出质疑。对磋商文件提出质疑的，应当在获取磋商文件或者磋商文件公告期限届满之日起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供应商提出质疑应当提交质疑函和必要的证明材料。质疑函应当包括下列内容：</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2.4.1</w:t>
      </w:r>
      <w:r>
        <w:rPr>
          <w:rFonts w:hint="eastAsia" w:ascii="宋体" w:hAnsi="宋体" w:cs="宋体"/>
          <w:color w:val="auto"/>
          <w:szCs w:val="21"/>
          <w:highlight w:val="none"/>
        </w:rPr>
        <w:t>供应商的姓名或者名称、地址、邮编、联系人及联系电话；</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2.4.2</w:t>
      </w:r>
      <w:r>
        <w:rPr>
          <w:rFonts w:hint="eastAsia" w:ascii="宋体" w:hAnsi="宋体" w:cs="宋体"/>
          <w:color w:val="auto"/>
          <w:szCs w:val="21"/>
          <w:highlight w:val="none"/>
        </w:rPr>
        <w:t>质疑项目的名称、编号；</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2.4.3</w:t>
      </w:r>
      <w:r>
        <w:rPr>
          <w:rFonts w:hint="eastAsia" w:ascii="宋体" w:hAnsi="宋体" w:cs="宋体"/>
          <w:color w:val="auto"/>
          <w:szCs w:val="21"/>
          <w:highlight w:val="none"/>
        </w:rPr>
        <w:t>具体、明确的质疑事项和与质疑事项相关的请求；</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2.4.4</w:t>
      </w:r>
      <w:r>
        <w:rPr>
          <w:rFonts w:hint="eastAsia" w:ascii="宋体" w:hAnsi="宋体" w:cs="宋体"/>
          <w:color w:val="auto"/>
          <w:szCs w:val="21"/>
          <w:highlight w:val="none"/>
        </w:rPr>
        <w:t>事实依据；</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2.4.5</w:t>
      </w:r>
      <w:r>
        <w:rPr>
          <w:rFonts w:hint="eastAsia" w:ascii="宋体" w:hAnsi="宋体" w:cs="宋体"/>
          <w:color w:val="auto"/>
          <w:szCs w:val="21"/>
          <w:highlight w:val="none"/>
        </w:rPr>
        <w:t>必要的法律依据；</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2.4.6</w:t>
      </w:r>
      <w:r>
        <w:rPr>
          <w:rFonts w:hint="eastAsia" w:ascii="宋体" w:hAnsi="宋体" w:cs="宋体"/>
          <w:color w:val="auto"/>
          <w:szCs w:val="21"/>
          <w:highlight w:val="none"/>
        </w:rPr>
        <w:t>提出质疑的日期。</w:t>
      </w:r>
    </w:p>
    <w:p>
      <w:pPr>
        <w:spacing w:line="400" w:lineRule="exact"/>
        <w:ind w:firstLine="409" w:firstLineChars="195"/>
        <w:rPr>
          <w:rFonts w:ascii="宋体" w:cs="宋体"/>
          <w:color w:val="auto"/>
          <w:szCs w:val="21"/>
          <w:highlight w:val="none"/>
        </w:rPr>
      </w:pPr>
      <w:r>
        <w:rPr>
          <w:rFonts w:hint="eastAsia" w:ascii="宋体" w:hAnsi="宋体" w:cs="宋体"/>
          <w:color w:val="auto"/>
          <w:szCs w:val="21"/>
          <w:highlight w:val="none"/>
        </w:rPr>
        <w:t>质疑函应当署名：质疑供应商为自然人的，应当由本人签字并附有效身份证明；质疑供应商为法人或者其他组织的，应当由法定代表人签字并加盖单位公章，并加盖公章。质疑供应商委托代理质疑的，应当向代理机构提交授权委托书，并载明委托代理的具体权限和事项。</w:t>
      </w:r>
    </w:p>
    <w:p>
      <w:pPr>
        <w:spacing w:line="400" w:lineRule="exact"/>
        <w:ind w:firstLine="409" w:firstLineChars="195"/>
        <w:rPr>
          <w:rFonts w:ascii="宋体" w:cs="宋体"/>
          <w:snapToGrid w:val="0"/>
          <w:color w:val="auto"/>
          <w:szCs w:val="21"/>
          <w:highlight w:val="none"/>
        </w:rPr>
      </w:pPr>
      <w:r>
        <w:rPr>
          <w:rFonts w:hint="eastAsia" w:ascii="宋体" w:hAnsi="宋体" w:cs="宋体"/>
          <w:snapToGrid w:val="0"/>
          <w:color w:val="auto"/>
          <w:szCs w:val="21"/>
          <w:highlight w:val="none"/>
        </w:rPr>
        <w:t>《质疑函》及《授权委托书》格式见网址：</w:t>
      </w:r>
      <w:r>
        <w:rPr>
          <w:rFonts w:ascii="宋体" w:hAnsi="宋体" w:cs="宋体"/>
          <w:snapToGrid w:val="0"/>
          <w:color w:val="auto"/>
          <w:szCs w:val="21"/>
          <w:highlight w:val="none"/>
        </w:rPr>
        <w:t>http://zfcg.yangzhou.gov.cn</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代理机构收到质疑函后，将对质疑的形式和内容进行审查，如质疑函内容、格式不符合规定，代理机构将告知质疑人进行补正。</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质疑人应当在法定质疑期限内进行补正并重新提交质疑函，拒不补正或者在法定期限内未重新提交质疑函的，为无效质疑，代理机构有权不予受理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对于内容、格式符合规定的质疑函，代理机构将在收到参加磋商供应商的书面质疑后七个工作日内作出答复，并以书面形式通知质疑供应商和其他相关供应商，答复的内容不涉及商业秘密。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供应商提出书面质疑必须有理、有据，不得恶意质疑或提交虚假质疑。否则，一经查实，代理机构有权依据采购的有关规定，报请采购相关部门对该供应商进行相应的行政处罚。</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2.9 </w:t>
      </w:r>
      <w:r>
        <w:rPr>
          <w:rFonts w:hint="eastAsia" w:ascii="宋体" w:hAnsi="宋体" w:cs="宋体"/>
          <w:color w:val="auto"/>
          <w:szCs w:val="21"/>
          <w:highlight w:val="none"/>
        </w:rPr>
        <w:t>诚实信用</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2.9.1 </w:t>
      </w:r>
      <w:r>
        <w:rPr>
          <w:rFonts w:hint="eastAsia" w:ascii="宋体" w:hAnsi="宋体" w:cs="宋体"/>
          <w:color w:val="auto"/>
          <w:szCs w:val="21"/>
          <w:highlight w:val="none"/>
        </w:rPr>
        <w:t>供应商之间不得相互串通投标报价，不得妨碍其他供应商的公平竞争，不得损害采购人和其他供应商的合法权益。</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供应商不得以向代理机构工作人员、评标委员会成员行贿或者采取其他不正当手段谋取中标。经查实供应商有此行为的，采购管理部门将供应商列入不良行为记录名单，按照有关规定处理。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2.9.3 </w:t>
      </w:r>
      <w:r>
        <w:rPr>
          <w:rFonts w:hint="eastAsia" w:ascii="宋体" w:hAnsi="宋体" w:cs="宋体"/>
          <w:color w:val="auto"/>
          <w:szCs w:val="21"/>
          <w:highlight w:val="none"/>
        </w:rPr>
        <w:t>供应商提出书面质疑必须有理、有据，不得虚假质疑和恶意质疑，并对质疑内容的真实性承担责任。一经查实，代理机构有权依据采购的有关规定，报请采购相关部门对该供应商进行相应的行政处罚并在网站上予以公示。如果供应商或者其他利害关系人通过捏造事实、伪造证明材料等方式提出质疑，干扰采购活动正常进行的，属于严重不良行为，代理机构将提请采购监管部门将其列入不良行为记录名单，并依法予以处罚。</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2.9.4 </w:t>
      </w:r>
      <w:r>
        <w:rPr>
          <w:rFonts w:hint="eastAsia" w:ascii="宋体" w:hAnsi="宋体" w:cs="宋体"/>
          <w:color w:val="auto"/>
          <w:szCs w:val="21"/>
          <w:highlight w:val="none"/>
        </w:rPr>
        <w:t>供应商不得虚假承诺，否则，按照提供虚假材料谋取中标成交处理。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2.9.5 </w:t>
      </w:r>
      <w:r>
        <w:rPr>
          <w:rFonts w:hint="eastAsia" w:ascii="宋体" w:hAnsi="宋体" w:cs="宋体"/>
          <w:color w:val="auto"/>
          <w:szCs w:val="21"/>
          <w:highlight w:val="none"/>
        </w:rPr>
        <w:t>供应商应自觉遵守开标、评标纪律，扰乱开标评标现场秩序的，属于失信行为，失信行为将被记入供应商诚信档案。</w:t>
      </w:r>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六、合同签订相关事项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、签订合同</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1.l</w:t>
      </w:r>
      <w:r>
        <w:rPr>
          <w:rFonts w:hint="eastAsia" w:ascii="宋体" w:hAnsi="宋体" w:cs="宋体"/>
          <w:color w:val="auto"/>
          <w:szCs w:val="21"/>
          <w:highlight w:val="none"/>
        </w:rPr>
        <w:t>成交供应商确定后，代理机构将向成交供应商发出成交通知书。成交供应商应按成交通知书规定的时间、地点</w:t>
      </w:r>
      <w:r>
        <w:rPr>
          <w:rFonts w:ascii="宋体" w:cs="宋体"/>
          <w:color w:val="auto"/>
          <w:szCs w:val="21"/>
          <w:highlight w:val="none"/>
        </w:rPr>
        <w:t>,</w:t>
      </w:r>
      <w:r>
        <w:rPr>
          <w:rFonts w:hint="eastAsia" w:ascii="宋体" w:hAnsi="宋体" w:cs="宋体"/>
          <w:color w:val="auto"/>
          <w:szCs w:val="21"/>
          <w:highlight w:val="none"/>
        </w:rPr>
        <w:t>按照磋商文件确定的事项与采购人签订采购合同，且不得迟于成交通知书发出之日起十五日内，由此给采购人造成损失的，成交供应商还应承担赔偿责任。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磋商文件、成交供应商的响应文件及磋商采购过程中有关澄清、承诺文件均应作为合同附件。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1.3 </w:t>
      </w:r>
      <w:r>
        <w:rPr>
          <w:rFonts w:hint="eastAsia" w:ascii="宋体" w:hAnsi="宋体" w:cs="宋体"/>
          <w:color w:val="auto"/>
          <w:szCs w:val="21"/>
          <w:highlight w:val="none"/>
        </w:rPr>
        <w:t>签订合同后，</w:t>
      </w:r>
      <w:r>
        <w:rPr>
          <w:rFonts w:hint="eastAsia" w:ascii="宋体" w:hAnsi="宋体" w:cs="宋体"/>
          <w:i/>
          <w:color w:val="auto"/>
          <w:szCs w:val="21"/>
          <w:highlight w:val="none"/>
          <w:u w:val="single"/>
        </w:rPr>
        <w:t>成交供应商不得将成交产品或服务进行转包。</w:t>
      </w:r>
      <w:r>
        <w:rPr>
          <w:rFonts w:hint="eastAsia" w:ascii="宋体" w:hAnsi="宋体" w:cs="宋体"/>
          <w:color w:val="auto"/>
          <w:szCs w:val="21"/>
          <w:highlight w:val="none"/>
        </w:rPr>
        <w:t>未经采购人同意，成交供应商也不得采用分包的形式履行合同，否则采购人有权终止合同。转包或分包造成采购人损失的，成交供应商应承担相应赔偿责任。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、履约保证金：无</w:t>
      </w:r>
    </w:p>
    <w:p>
      <w:pPr>
        <w:tabs>
          <w:tab w:val="left" w:pos="2311"/>
        </w:tabs>
        <w:rPr>
          <w:rFonts w:ascii="宋体"/>
          <w:color w:val="auto"/>
          <w:highlight w:val="none"/>
        </w:rPr>
      </w:pPr>
      <w:r>
        <w:rPr>
          <w:rFonts w:ascii="宋体" w:cs="宋体"/>
          <w:color w:val="auto"/>
          <w:highlight w:val="none"/>
        </w:rPr>
        <w:br w:type="page"/>
      </w:r>
    </w:p>
    <w:p>
      <w:pPr>
        <w:pStyle w:val="4"/>
        <w:numPr>
          <w:ilvl w:val="0"/>
          <w:numId w:val="2"/>
        </w:numPr>
        <w:jc w:val="center"/>
        <w:rPr>
          <w:rFonts w:ascii="宋体" w:cs="宋体"/>
          <w:color w:val="auto"/>
          <w:sz w:val="36"/>
          <w:highlight w:val="none"/>
        </w:rPr>
      </w:pPr>
      <w:bookmarkStart w:id="148" w:name="_Toc528836791"/>
      <w:bookmarkStart w:id="149" w:name="_Toc528836793"/>
      <w:r>
        <w:rPr>
          <w:rFonts w:hint="eastAsia" w:ascii="宋体" w:hAnsi="宋体" w:cs="宋体"/>
          <w:color w:val="auto"/>
          <w:sz w:val="36"/>
          <w:highlight w:val="none"/>
        </w:rPr>
        <w:t>合同条款及格式</w:t>
      </w:r>
      <w:bookmarkEnd w:id="148"/>
    </w:p>
    <w:p>
      <w:pPr>
        <w:pStyle w:val="12"/>
        <w:spacing w:line="360" w:lineRule="auto"/>
        <w:ind w:firstLine="420" w:firstLineChars="200"/>
        <w:rPr>
          <w:rFonts w:hAnsi="宋体"/>
          <w:color w:val="auto"/>
          <w:sz w:val="21"/>
          <w:highlight w:val="none"/>
        </w:rPr>
      </w:pPr>
      <w:r>
        <w:rPr>
          <w:rFonts w:hAnsi="宋体"/>
          <w:color w:val="auto"/>
          <w:sz w:val="21"/>
          <w:highlight w:val="none"/>
        </w:rPr>
        <w:t>以下为中标后签定本项目合同的通用条款，成交供应商不得提出实质性的修改。关于专用条款将由采购人与成交供应商结合本项目具体情况协商后补充，但补充内容对磋商文件和响应文件以及通用条款，不得作实质性修改。</w:t>
      </w:r>
    </w:p>
    <w:p>
      <w:pPr>
        <w:jc w:val="center"/>
        <w:rPr>
          <w:rFonts w:ascii="宋体" w:hAnsi="宋体"/>
          <w:b/>
          <w:color w:val="auto"/>
          <w:sz w:val="52"/>
          <w:szCs w:val="52"/>
          <w:highlight w:val="none"/>
        </w:rPr>
      </w:pPr>
    </w:p>
    <w:p>
      <w:pPr>
        <w:jc w:val="center"/>
        <w:rPr>
          <w:rFonts w:ascii="宋体" w:hAnsi="宋体"/>
          <w:b/>
          <w:color w:val="auto"/>
          <w:sz w:val="52"/>
          <w:szCs w:val="52"/>
          <w:highlight w:val="none"/>
        </w:rPr>
      </w:pPr>
    </w:p>
    <w:p>
      <w:pPr>
        <w:pStyle w:val="35"/>
        <w:ind w:firstLine="420"/>
        <w:rPr>
          <w:color w:val="auto"/>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p>
    <w:p>
      <w:pPr>
        <w:jc w:val="center"/>
        <w:rPr>
          <w:rFonts w:ascii="宋体" w:cs="宋体"/>
          <w:b/>
          <w:color w:val="auto"/>
          <w:sz w:val="52"/>
          <w:szCs w:val="52"/>
          <w:highlight w:val="none"/>
        </w:rPr>
      </w:pPr>
      <w:r>
        <w:rPr>
          <w:rFonts w:ascii="宋体" w:hAnsi="宋体"/>
          <w:b/>
          <w:color w:val="auto"/>
          <w:sz w:val="52"/>
          <w:szCs w:val="52"/>
          <w:highlight w:val="none"/>
        </w:rPr>
        <w:t>建设工程</w:t>
      </w:r>
      <w:r>
        <w:rPr>
          <w:rFonts w:hint="eastAsia" w:ascii="宋体" w:hAnsi="宋体"/>
          <w:b/>
          <w:color w:val="auto"/>
          <w:sz w:val="52"/>
          <w:szCs w:val="52"/>
          <w:highlight w:val="none"/>
        </w:rPr>
        <w:t>监理</w:t>
      </w:r>
      <w:r>
        <w:rPr>
          <w:rFonts w:ascii="宋体" w:hAnsi="宋体"/>
          <w:b/>
          <w:color w:val="auto"/>
          <w:sz w:val="52"/>
          <w:szCs w:val="52"/>
          <w:highlight w:val="none"/>
        </w:rPr>
        <w:t>合同</w:t>
      </w:r>
      <w:r>
        <w:rPr>
          <w:rFonts w:ascii="宋体" w:hAnsi="宋体"/>
          <w:b/>
          <w:color w:val="auto"/>
          <w:sz w:val="52"/>
          <w:szCs w:val="52"/>
          <w:highlight w:val="none"/>
        </w:rPr>
        <w:br w:type="textWrapping"/>
      </w:r>
    </w:p>
    <w:p>
      <w:pPr>
        <w:jc w:val="center"/>
        <w:rPr>
          <w:rFonts w:ascii="宋体" w:cs="宋体"/>
          <w:b/>
          <w:color w:val="auto"/>
          <w:sz w:val="52"/>
          <w:szCs w:val="52"/>
          <w:highlight w:val="none"/>
        </w:rPr>
      </w:pPr>
    </w:p>
    <w:p>
      <w:pPr>
        <w:jc w:val="center"/>
        <w:rPr>
          <w:rFonts w:ascii="宋体" w:cs="宋体"/>
          <w:b/>
          <w:color w:val="auto"/>
          <w:sz w:val="52"/>
          <w:szCs w:val="52"/>
          <w:highlight w:val="none"/>
        </w:rPr>
      </w:pPr>
    </w:p>
    <w:p>
      <w:pPr>
        <w:jc w:val="center"/>
        <w:rPr>
          <w:rFonts w:ascii="宋体" w:cs="宋体"/>
          <w:b/>
          <w:color w:val="auto"/>
          <w:sz w:val="72"/>
          <w:szCs w:val="72"/>
          <w:highlight w:val="none"/>
        </w:rPr>
      </w:pPr>
    </w:p>
    <w:p>
      <w:pPr>
        <w:pStyle w:val="2"/>
        <w:rPr>
          <w:color w:val="auto"/>
          <w:highlight w:val="none"/>
        </w:rPr>
      </w:pPr>
    </w:p>
    <w:p>
      <w:pPr>
        <w:jc w:val="center"/>
        <w:rPr>
          <w:rFonts w:ascii="宋体" w:cs="宋体"/>
          <w:b/>
          <w:color w:val="auto"/>
          <w:sz w:val="52"/>
          <w:szCs w:val="52"/>
          <w:highlight w:val="none"/>
        </w:rPr>
      </w:pPr>
    </w:p>
    <w:p>
      <w:pPr>
        <w:rPr>
          <w:rFonts w:ascii="宋体" w:cs="宋体"/>
          <w:b/>
          <w:color w:val="auto"/>
          <w:highlight w:val="none"/>
        </w:rPr>
      </w:pPr>
    </w:p>
    <w:p>
      <w:pPr>
        <w:rPr>
          <w:rFonts w:ascii="宋体" w:cs="宋体"/>
          <w:color w:val="auto"/>
          <w:highlight w:val="none"/>
        </w:rPr>
      </w:pPr>
    </w:p>
    <w:p>
      <w:pPr>
        <w:tabs>
          <w:tab w:val="left" w:pos="3120"/>
        </w:tabs>
        <w:spacing w:line="480" w:lineRule="auto"/>
        <w:ind w:firstLine="643" w:firstLineChars="20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第一部分  协议书</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委托人（全称）：</w:t>
      </w:r>
      <w:r>
        <w:rPr>
          <w:rFonts w:hint="eastAsia" w:ascii="宋体" w:hAnsi="宋体" w:cs="宋体"/>
          <w:b/>
          <w:color w:val="auto"/>
          <w:szCs w:val="21"/>
          <w:highlight w:val="none"/>
          <w:u w:val="single"/>
        </w:rPr>
        <w:t xml:space="preserve">扬州锦汇置业投资有限公司   </w:t>
      </w:r>
    </w:p>
    <w:p>
      <w:pPr>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 xml:space="preserve">监理人（全称）： </w:t>
      </w:r>
      <w:r>
        <w:rPr>
          <w:rFonts w:hint="eastAsia" w:ascii="宋体" w:hAnsi="宋体" w:cs="宋体"/>
          <w:b/>
          <w:color w:val="auto"/>
          <w:szCs w:val="21"/>
          <w:highlight w:val="none"/>
          <w:u w:val="single"/>
        </w:rPr>
        <w:t xml:space="preserve">                          </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一、工程概况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工程名称：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tabs>
          <w:tab w:val="left" w:pos="6090"/>
        </w:tabs>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 工程地点：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3. 工程规模：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5" w:firstLineChars="198"/>
        <w:jc w:val="left"/>
        <w:rPr>
          <w:rFonts w:ascii="宋体" w:hAnsi="宋体" w:cs="宋体"/>
          <w:color w:val="auto"/>
          <w:szCs w:val="21"/>
          <w:highlight w:val="none"/>
          <w:u w:val="single"/>
        </w:rPr>
      </w:pPr>
      <w:r>
        <w:rPr>
          <w:rFonts w:hint="eastAsia" w:ascii="宋体" w:hAnsi="宋体" w:cs="宋体"/>
          <w:color w:val="auto"/>
          <w:szCs w:val="21"/>
          <w:highlight w:val="none"/>
        </w:rPr>
        <w:t xml:space="preserve">4. </w:t>
      </w:r>
      <w:r>
        <w:rPr>
          <w:rFonts w:hint="eastAsia"/>
          <w:color w:val="auto"/>
          <w:highlight w:val="none"/>
        </w:rPr>
        <w:t>工程概算投资额或建筑安装工程费：</w:t>
      </w:r>
      <w:r>
        <w:rPr>
          <w:rFonts w:hint="eastAsia"/>
          <w:color w:val="auto"/>
          <w:highlight w:val="none"/>
          <w:u w:val="single"/>
        </w:rPr>
        <w:t xml:space="preserve">                  </w:t>
      </w:r>
      <w:r>
        <w:rPr>
          <w:rFonts w:hint="eastAsia"/>
          <w:color w:val="auto"/>
          <w:highlight w:val="none"/>
        </w:rPr>
        <w:t>。</w:t>
      </w:r>
    </w:p>
    <w:p>
      <w:pPr>
        <w:snapToGrid w:val="0"/>
        <w:spacing w:line="360" w:lineRule="auto"/>
        <w:ind w:firstLine="417" w:firstLineChars="198"/>
        <w:rPr>
          <w:rFonts w:ascii="宋体" w:hAnsi="宋体" w:cs="宋体"/>
          <w:b/>
          <w:color w:val="auto"/>
          <w:szCs w:val="21"/>
          <w:highlight w:val="none"/>
        </w:rPr>
      </w:pPr>
      <w:r>
        <w:rPr>
          <w:rFonts w:hint="eastAsia" w:ascii="宋体" w:hAnsi="宋体" w:cs="宋体"/>
          <w:b/>
          <w:color w:val="auto"/>
          <w:szCs w:val="21"/>
          <w:highlight w:val="none"/>
        </w:rPr>
        <w:t>二、词语限定</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三、组成本合同的文件</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 协议书；</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2. 中标通知书（适用于招标工程）或委托书（适用于非招标工程）；</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3. 投标文件（适用于招标工程）或监理与相关服务建议书（适用于非招标工程）；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4. 专用条件；</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5. 通用条件；</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6. 附录，即：</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附录A  相关服务的范围和内容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附录B  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四、总监理工程师</w:t>
      </w:r>
    </w:p>
    <w:p>
      <w:pPr>
        <w:snapToGrid w:val="0"/>
        <w:spacing w:line="360" w:lineRule="auto"/>
        <w:ind w:left="552" w:leftChars="263"/>
        <w:rPr>
          <w:rFonts w:ascii="宋体" w:hAnsi="宋体" w:cs="宋体"/>
          <w:color w:val="auto"/>
          <w:szCs w:val="21"/>
          <w:highlight w:val="none"/>
        </w:rPr>
      </w:pPr>
      <w:r>
        <w:rPr>
          <w:rFonts w:hint="eastAsia" w:ascii="宋体" w:hAnsi="宋体" w:cs="宋体"/>
          <w:color w:val="auto"/>
          <w:szCs w:val="21"/>
          <w:highlight w:val="none"/>
        </w:rPr>
        <w:t>总监理工程师姓名：</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hAnsi="宋体" w:cs="宋体"/>
          <w:b/>
          <w:color w:val="auto"/>
          <w:szCs w:val="21"/>
          <w:highlight w:val="none"/>
        </w:rPr>
      </w:pPr>
      <w:r>
        <w:rPr>
          <w:rFonts w:hint="eastAsia" w:ascii="宋体" w:hAnsi="宋体" w:cs="宋体"/>
          <w:color w:val="auto"/>
          <w:szCs w:val="21"/>
          <w:highlight w:val="none"/>
        </w:rPr>
        <w:t>身份证号码：</w:t>
      </w:r>
      <w:r>
        <w:rPr>
          <w:rFonts w:hint="eastAsia" w:ascii="宋体" w:hAnsi="宋体" w:cs="宋体"/>
          <w:b/>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hAnsi="宋体" w:cs="宋体"/>
          <w:color w:val="auto"/>
          <w:szCs w:val="21"/>
          <w:highlight w:val="none"/>
        </w:rPr>
      </w:pPr>
      <w:r>
        <w:rPr>
          <w:rFonts w:hint="eastAsia" w:ascii="宋体" w:hAnsi="宋体" w:cs="宋体"/>
          <w:color w:val="auto"/>
          <w:szCs w:val="21"/>
          <w:highlight w:val="none"/>
        </w:rPr>
        <w:t>注册号：</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五、签约酬金</w:t>
      </w:r>
    </w:p>
    <w:p>
      <w:pPr>
        <w:spacing w:line="360" w:lineRule="auto"/>
        <w:ind w:firstLine="630" w:firstLineChars="300"/>
        <w:textAlignment w:val="center"/>
        <w:rPr>
          <w:rFonts w:ascii="宋体" w:hAnsi="宋体"/>
          <w:color w:val="auto"/>
          <w:szCs w:val="21"/>
          <w:highlight w:val="none"/>
        </w:rPr>
      </w:pPr>
      <w:r>
        <w:rPr>
          <w:rFonts w:hint="eastAsia" w:ascii="宋体" w:hAnsi="宋体"/>
          <w:color w:val="auto"/>
          <w:szCs w:val="21"/>
          <w:highlight w:val="none"/>
        </w:rPr>
        <w:t>签约酬金（大写）：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625" w:firstLineChars="298"/>
        <w:rPr>
          <w:rFonts w:ascii="宋体" w:hAnsi="宋体" w:cs="宋体"/>
          <w:color w:val="auto"/>
          <w:szCs w:val="21"/>
          <w:highlight w:val="none"/>
        </w:rPr>
      </w:pPr>
      <w:r>
        <w:rPr>
          <w:rFonts w:hint="eastAsia" w:ascii="宋体" w:hAnsi="宋体" w:cs="宋体"/>
          <w:color w:val="auto"/>
          <w:szCs w:val="21"/>
          <w:highlight w:val="none"/>
        </w:rPr>
        <w:t>包括：</w:t>
      </w:r>
    </w:p>
    <w:p>
      <w:pPr>
        <w:snapToGrid w:val="0"/>
        <w:spacing w:line="360" w:lineRule="auto"/>
        <w:ind w:firstLine="518" w:firstLineChars="247"/>
        <w:rPr>
          <w:rFonts w:ascii="宋体" w:hAnsi="宋体" w:cs="宋体"/>
          <w:color w:val="auto"/>
          <w:szCs w:val="21"/>
          <w:highlight w:val="none"/>
        </w:rPr>
      </w:pPr>
      <w:r>
        <w:rPr>
          <w:rFonts w:hint="eastAsia" w:ascii="宋体" w:hAnsi="宋体" w:cs="宋体"/>
          <w:color w:val="auto"/>
          <w:szCs w:val="21"/>
          <w:highlight w:val="none"/>
        </w:rPr>
        <w:t>1. 监理酬金：</w:t>
      </w:r>
      <w:r>
        <w:rPr>
          <w:rFonts w:hint="eastAsia" w:ascii="宋体" w:hAnsi="宋体" w:cs="宋体"/>
          <w:b/>
          <w:color w:val="auto"/>
          <w:szCs w:val="21"/>
          <w:highlight w:val="none"/>
          <w:u w:val="single"/>
        </w:rPr>
        <w:t xml:space="preserve">                       </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 xml:space="preserve">2. 相关服务酬金：  </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其中：</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（1）勘察阶段服务酬金：</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（2）设计阶段服务酬金：</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（3）保修阶段服务酬金：</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（4）其他相关服务酬金：</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六、期限</w:t>
      </w:r>
    </w:p>
    <w:p>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 监理期限：自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暂定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日历天（最终以</w:t>
      </w:r>
      <w:r>
        <w:rPr>
          <w:rFonts w:hint="eastAsia" w:ascii="宋体" w:hAnsi="宋体"/>
          <w:color w:val="auto"/>
          <w:szCs w:val="21"/>
          <w:highlight w:val="none"/>
        </w:rPr>
        <w:t>施工工期及缺陷服务期</w:t>
      </w:r>
      <w:r>
        <w:rPr>
          <w:rFonts w:hint="eastAsia" w:ascii="宋体" w:hAnsi="宋体" w:cs="宋体"/>
          <w:color w:val="auto"/>
          <w:szCs w:val="21"/>
          <w:highlight w:val="none"/>
        </w:rPr>
        <w:t>为准）</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 相关服务期限：</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（1）勘察阶段服务期限自</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（2）设计阶段服务期限自</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（3）保修阶段服务期限自</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（4）其他相关服务期限自</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七、双方承诺</w:t>
      </w:r>
    </w:p>
    <w:p>
      <w:pPr>
        <w:snapToGrid w:val="0"/>
        <w:spacing w:line="360" w:lineRule="auto"/>
        <w:ind w:firstLine="415" w:firstLineChars="198"/>
        <w:outlineLvl w:val="0"/>
        <w:rPr>
          <w:rFonts w:ascii="宋体" w:hAnsi="宋体" w:cs="宋体"/>
          <w:b/>
          <w:color w:val="auto"/>
          <w:szCs w:val="21"/>
          <w:highlight w:val="none"/>
        </w:rPr>
      </w:pPr>
      <w:r>
        <w:rPr>
          <w:rFonts w:hint="eastAsia" w:ascii="宋体" w:hAnsi="宋体" w:cs="宋体"/>
          <w:color w:val="auto"/>
          <w:szCs w:val="21"/>
          <w:highlight w:val="none"/>
        </w:rPr>
        <w:t>1. 监理人向委托人承诺，按照本合同约定提供监理与相关服务。</w:t>
      </w:r>
    </w:p>
    <w:p>
      <w:pPr>
        <w:snapToGrid w:val="0"/>
        <w:spacing w:line="360" w:lineRule="auto"/>
        <w:ind w:firstLine="415" w:firstLineChars="198"/>
        <w:outlineLvl w:val="0"/>
        <w:rPr>
          <w:rFonts w:ascii="宋体" w:hAnsi="宋体" w:cs="宋体"/>
          <w:b/>
          <w:color w:val="auto"/>
          <w:szCs w:val="21"/>
          <w:highlight w:val="none"/>
        </w:rPr>
      </w:pPr>
      <w:r>
        <w:rPr>
          <w:rFonts w:hint="eastAsia" w:ascii="宋体" w:hAnsi="宋体" w:cs="宋体"/>
          <w:color w:val="auto"/>
          <w:szCs w:val="21"/>
          <w:highlight w:val="none"/>
        </w:rPr>
        <w:t>2. 委托人向监理人承诺，按照本合同约定派遣相应的人员，提供</w:t>
      </w:r>
      <w:r>
        <w:rPr>
          <w:rFonts w:hint="eastAsia" w:ascii="宋体" w:hAnsi="宋体" w:cs="宋体"/>
          <w:bCs/>
          <w:color w:val="auto"/>
          <w:szCs w:val="21"/>
          <w:highlight w:val="none"/>
        </w:rPr>
        <w:t>房屋、资料</w:t>
      </w:r>
      <w:r>
        <w:rPr>
          <w:rFonts w:hint="eastAsia" w:ascii="宋体" w:hAnsi="宋体" w:cs="宋体"/>
          <w:color w:val="auto"/>
          <w:szCs w:val="21"/>
          <w:highlight w:val="none"/>
        </w:rPr>
        <w:t>、设备，并按本合同约定支付酬金。</w:t>
      </w:r>
    </w:p>
    <w:p>
      <w:pPr>
        <w:snapToGrid w:val="0"/>
        <w:spacing w:line="360" w:lineRule="auto"/>
        <w:ind w:firstLine="417" w:firstLineChars="198"/>
        <w:outlineLvl w:val="0"/>
        <w:rPr>
          <w:rFonts w:ascii="宋体" w:hAnsi="宋体" w:cs="宋体"/>
          <w:b/>
          <w:color w:val="auto"/>
          <w:szCs w:val="21"/>
          <w:highlight w:val="none"/>
        </w:rPr>
      </w:pPr>
      <w:r>
        <w:rPr>
          <w:rFonts w:hint="eastAsia" w:ascii="宋体" w:hAnsi="宋体" w:cs="宋体"/>
          <w:b/>
          <w:color w:val="auto"/>
          <w:szCs w:val="21"/>
          <w:highlight w:val="none"/>
        </w:rPr>
        <w:t>八、合同订立</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 订立时间：</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日。</w:t>
      </w:r>
    </w:p>
    <w:p>
      <w:pPr>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2. 订立地点：</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 本合同一式</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陆 </w:t>
      </w:r>
      <w:r>
        <w:rPr>
          <w:rFonts w:hint="eastAsia" w:ascii="宋体" w:hAnsi="宋体" w:cs="宋体"/>
          <w:color w:val="auto"/>
          <w:szCs w:val="21"/>
          <w:highlight w:val="none"/>
        </w:rPr>
        <w:t>份，具有同等法律效力，甲方叁份，乙方贰份，见证方壹份。</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委托人：</w:t>
      </w:r>
      <w:r>
        <w:rPr>
          <w:rFonts w:hint="eastAsia" w:ascii="宋体" w:hAnsi="宋体" w:cs="宋体"/>
          <w:color w:val="auto"/>
          <w:szCs w:val="21"/>
          <w:highlight w:val="none"/>
          <w:u w:val="single"/>
        </w:rPr>
        <w:t xml:space="preserve">   （盖章）     </w:t>
      </w:r>
      <w:r>
        <w:rPr>
          <w:rFonts w:hint="eastAsia" w:ascii="宋体" w:hAnsi="宋体" w:cs="宋体"/>
          <w:color w:val="auto"/>
          <w:szCs w:val="21"/>
          <w:highlight w:val="none"/>
        </w:rPr>
        <w:t xml:space="preserve">        监理人：</w:t>
      </w:r>
      <w:r>
        <w:rPr>
          <w:rFonts w:hint="eastAsia" w:ascii="宋体" w:hAnsi="宋体" w:cs="宋体"/>
          <w:color w:val="auto"/>
          <w:szCs w:val="21"/>
          <w:highlight w:val="none"/>
          <w:u w:val="single"/>
        </w:rPr>
        <w:t xml:space="preserve">   （盖章）    </w:t>
      </w:r>
    </w:p>
    <w:p>
      <w:pPr>
        <w:spacing w:line="360" w:lineRule="auto"/>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 xml:space="preserve">住所：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法定代表人或其授权              法定代表人或其授权</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 xml:space="preserve">（签字）      </w:t>
      </w:r>
      <w:r>
        <w:rPr>
          <w:rFonts w:hint="eastAsia" w:ascii="宋体" w:hAnsi="宋体" w:cs="宋体"/>
          <w:color w:val="auto"/>
          <w:szCs w:val="21"/>
          <w:highlight w:val="none"/>
        </w:rPr>
        <w:t xml:space="preserve">         的代理人：</w:t>
      </w:r>
      <w:r>
        <w:rPr>
          <w:rFonts w:hint="eastAsia" w:ascii="宋体" w:hAnsi="宋体" w:cs="宋体"/>
          <w:color w:val="auto"/>
          <w:szCs w:val="21"/>
          <w:highlight w:val="none"/>
          <w:u w:val="single"/>
        </w:rPr>
        <w:t xml:space="preserve">（签字）          </w:t>
      </w:r>
    </w:p>
    <w:p>
      <w:pPr>
        <w:spacing w:line="360" w:lineRule="auto"/>
        <w:ind w:firstLine="630" w:firstLineChars="300"/>
        <w:rPr>
          <w:rFonts w:ascii="宋体" w:hAnsi="宋体" w:cs="宋体"/>
          <w:b/>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b/>
          <w:color w:val="auto"/>
          <w:szCs w:val="21"/>
          <w:highlight w:val="none"/>
          <w:u w:val="single"/>
        </w:rPr>
        <w:t xml:space="preserve">                     </w:t>
      </w:r>
    </w:p>
    <w:p>
      <w:pPr>
        <w:spacing w:line="360" w:lineRule="auto"/>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ind w:firstLine="630" w:firstLineChars="300"/>
        <w:rPr>
          <w:rFonts w:ascii="宋体" w:hAnsi="宋体" w:cs="宋体"/>
          <w:b/>
          <w:color w:val="auto"/>
          <w:sz w:val="32"/>
          <w:szCs w:val="32"/>
          <w:highlight w:val="none"/>
        </w:rPr>
      </w:pPr>
      <w:r>
        <w:rPr>
          <w:rFonts w:hint="eastAsia" w:ascii="宋体" w:hAnsi="宋体" w:cs="宋体"/>
          <w:color w:val="auto"/>
          <w:szCs w:val="21"/>
          <w:highlight w:val="none"/>
        </w:rPr>
        <w:t>电子邮箱：</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电子邮箱：</w:t>
      </w:r>
      <w:r>
        <w:rPr>
          <w:rFonts w:hint="eastAsia" w:ascii="宋体" w:hAnsi="宋体" w:cs="宋体"/>
          <w:b/>
          <w:color w:val="auto"/>
          <w:szCs w:val="21"/>
          <w:highlight w:val="none"/>
          <w:u w:val="single"/>
        </w:rPr>
        <w:t xml:space="preserve">                     </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见证方：</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签字：</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盖章：</w:t>
      </w:r>
    </w:p>
    <w:p>
      <w:pPr>
        <w:tabs>
          <w:tab w:val="right" w:pos="8486"/>
        </w:tabs>
        <w:spacing w:line="400" w:lineRule="exact"/>
        <w:ind w:firstLine="643" w:firstLineChars="200"/>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第二部分  通用条件</w:t>
      </w:r>
    </w:p>
    <w:p>
      <w:pPr>
        <w:pStyle w:val="6"/>
        <w:spacing w:line="360" w:lineRule="auto"/>
        <w:rPr>
          <w:rFonts w:ascii="宋体" w:hAnsi="宋体" w:cs="宋体"/>
          <w:color w:val="auto"/>
          <w:highlight w:val="none"/>
        </w:rPr>
      </w:pPr>
      <w:bookmarkStart w:id="150" w:name="_Toc512453857"/>
      <w:bookmarkStart w:id="151" w:name="_Toc398107901"/>
      <w:r>
        <w:rPr>
          <w:rFonts w:hint="eastAsia" w:ascii="宋体" w:hAnsi="宋体" w:cs="宋体"/>
          <w:color w:val="auto"/>
          <w:highlight w:val="none"/>
        </w:rPr>
        <w:t>1. 定义与解释</w:t>
      </w:r>
      <w:bookmarkEnd w:id="150"/>
      <w:bookmarkEnd w:id="151"/>
    </w:p>
    <w:p>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1.1 </w:t>
      </w:r>
      <w:r>
        <w:rPr>
          <w:rFonts w:hint="eastAsia" w:ascii="宋体" w:hAnsi="宋体" w:cs="宋体"/>
          <w:bCs/>
          <w:color w:val="auto"/>
          <w:szCs w:val="21"/>
          <w:highlight w:val="none"/>
        </w:rPr>
        <w:t>定义</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除根据上下文另有其意义外，组成本合同的全部文件中的下列名词和用语应具有本款所赋予的含义：</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“工程”是指按照本合同约定实施监理与相关服务的建设工程。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“委托人”是指本合同中委托监理与相关服务的一方，及其合法的继承人或受让人。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“监理人”是指本合同中提供监理与相关服务的一方，及其合法的继承人。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“承包人”是指在工程范围内与委托人签订勘察、设计、施工等有关合同的当事人，及其合法的继承人。</w:t>
      </w:r>
    </w:p>
    <w:p>
      <w:pPr>
        <w:pStyle w:val="12"/>
        <w:spacing w:line="360" w:lineRule="auto"/>
        <w:ind w:firstLine="570"/>
        <w:rPr>
          <w:rFonts w:hAnsi="宋体" w:cs="宋体"/>
          <w:color w:val="auto"/>
          <w:sz w:val="21"/>
          <w:highlight w:val="none"/>
        </w:rPr>
      </w:pPr>
      <w:r>
        <w:rPr>
          <w:rFonts w:hint="eastAsia" w:hAnsi="宋体" w:cs="宋体"/>
          <w:color w:val="auto"/>
          <w:sz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“相关服务”是指监理人受委托人的委托 ，按照本合同约定，在勘察、设计、保修等阶段提供的服务活动。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 “正常工作”指本合同订立时通用条件和专用条件中约定的监理人的工作。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 “附加工作”是指本合同约定的正常工作以外监理人的工作。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1.1.9 “项目监理机构”是指监理人派驻工程负责履行本合同的组织机构。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1.1.11 “酬金”是指监理人履行本合同义务，委托人按照本合同约定给付监理人的金额。</w:t>
      </w:r>
    </w:p>
    <w:p>
      <w:pPr>
        <w:adjustRightInd w:val="0"/>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1.1.12 “正常工作</w:t>
      </w:r>
      <w:r>
        <w:rPr>
          <w:rFonts w:hint="eastAsia" w:ascii="宋体" w:hAnsi="宋体" w:cs="宋体"/>
          <w:color w:val="auto"/>
          <w:kern w:val="0"/>
          <w:szCs w:val="21"/>
          <w:highlight w:val="none"/>
        </w:rPr>
        <w:t>酬金”</w:t>
      </w:r>
      <w:r>
        <w:rPr>
          <w:rFonts w:hint="eastAsia" w:ascii="宋体" w:hAnsi="宋体" w:cs="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1.1.13 “附加工作酬金”是指监理人完成附加工作，委托人应给付监理人的金额。</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1.1.14 “一方”是指委托人或监理人；“双方”是指委托人和监理人；“第三方”是指除委托人和监理人以外的有关方。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1.1.16 “天”是指第一天零时至第二天零时的时间。</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1.1.17“月”是指按公历从一个月中任何一天开始的一个公历月时间。</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hAnsi="宋体" w:cs="宋体"/>
          <w:color w:val="auto"/>
          <w:szCs w:val="21"/>
          <w:highlight w:val="none"/>
        </w:rPr>
      </w:pPr>
      <w:r>
        <w:rPr>
          <w:rFonts w:hint="eastAsia" w:ascii="宋体" w:hAnsi="宋体" w:cs="宋体"/>
          <w:bCs/>
          <w:color w:val="auto"/>
          <w:szCs w:val="21"/>
          <w:highlight w:val="none"/>
        </w:rPr>
        <w:t xml:space="preserve">1.2 </w:t>
      </w:r>
      <w:r>
        <w:rPr>
          <w:rFonts w:hint="eastAsia" w:ascii="宋体" w:hAnsi="宋体" w:cs="宋体"/>
          <w:color w:val="auto"/>
          <w:szCs w:val="21"/>
          <w:highlight w:val="none"/>
        </w:rPr>
        <w:t>解释</w:t>
      </w:r>
    </w:p>
    <w:p>
      <w:pPr>
        <w:tabs>
          <w:tab w:val="left" w:pos="614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组成本合同的下列文件彼此应能相互解释、互为说明。除专用条件另有约定外，本合同文件的解释顺序如下：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（1）协议书；</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（2）中标通知书（适用于招标工程）或委托书（适用于非招标工程）；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（3）专用条件及附录A、附录B；</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（4）通用条件；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（5）投标文件（适用于招标工程）或监理与相关服务建议书（适用于非招标工程）。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双方签订的补充协议与其他文件发生矛盾或歧义时，属于同一类内容的文件，应以最新签署的为准。</w:t>
      </w:r>
    </w:p>
    <w:p>
      <w:pPr>
        <w:pStyle w:val="6"/>
        <w:spacing w:line="360" w:lineRule="auto"/>
        <w:rPr>
          <w:rFonts w:ascii="宋体" w:hAnsi="宋体" w:cs="宋体"/>
          <w:color w:val="auto"/>
          <w:highlight w:val="none"/>
        </w:rPr>
      </w:pPr>
      <w:bookmarkStart w:id="152" w:name="_Toc398107902"/>
      <w:bookmarkStart w:id="153" w:name="_Toc512453858"/>
      <w:r>
        <w:rPr>
          <w:rFonts w:hint="eastAsia" w:ascii="宋体" w:hAnsi="宋体" w:cs="宋体"/>
          <w:color w:val="auto"/>
          <w:highlight w:val="none"/>
        </w:rPr>
        <w:t>2. 监理人的义务</w:t>
      </w:r>
      <w:bookmarkEnd w:id="152"/>
      <w:bookmarkEnd w:id="153"/>
    </w:p>
    <w:p>
      <w:pPr>
        <w:adjustRightInd w:val="0"/>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2.1 监理的范围和工作内容</w:t>
      </w:r>
    </w:p>
    <w:p>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2.1.1 监理范围在专用条件中约定。</w:t>
      </w:r>
    </w:p>
    <w:p>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2.1.2 除专用条件另有约定外，监理工作内容包括：</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（2）熟悉工程设计文件，并参加由委托人主持的图纸会审和设计交底会议；</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（3）参加由委托人主持的第一次工地会议；主持监理例会并根据工程需要主持或参加专题会议；</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（5）检查施工承包人工程质量、安全生产管理制度及组织机构和人员资格；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（6）检查施工承包人专职安全生产管理人员的配备情况；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（7）审查施工承包人提交的施工进度计划，核查承包人对施工进度计划的调整；</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（8）检查施工承包人的试验室；</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（9）审核施工分包人资质条件；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（10）查验施工承包人的施工测量放线成果；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（11）审查工程开工条件，对条件具备的签发开工令；</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（13）审核施工承包人提交的工程款支付申请，签发或出具工程款支付证书，并报委托人审核、批准；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（14）在巡视、旁站和检验过程中，发现工程质量、施工安全存在事故隐患的，要求施工承包人整改并报委托人；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（15）经委托人同意，签发工程暂停令和复工令；</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（16）审查施工承包人提交的采用新材料、新工艺、新技术、新设备的论证材料及相关验收标准；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（17）验收隐蔽工程、分部分项工程；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（18）审查施工承包人提交的工程变更申请，协调处理施工进度调整、费用索赔、合同争议等事项；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（19）审查施工承包人提交的竣工验收申请，编写工程质量评估报告；</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（20）参加工程竣工验收，签署竣工验收意见；</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（21）审查施工承包人提交的竣工结算申请并报委托人；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（22）编制、整理工程监理归档文件并报委托人。</w:t>
      </w:r>
    </w:p>
    <w:p>
      <w:pPr>
        <w:spacing w:line="360" w:lineRule="auto"/>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2.1.3 相关服务的范围和内容在附录A中约定。</w:t>
      </w:r>
    </w:p>
    <w:p>
      <w:pPr>
        <w:spacing w:line="360" w:lineRule="auto"/>
        <w:ind w:firstLine="210" w:firstLineChars="100"/>
        <w:rPr>
          <w:rFonts w:ascii="宋体" w:hAnsi="宋体" w:cs="宋体"/>
          <w:bCs/>
          <w:color w:val="auto"/>
          <w:szCs w:val="21"/>
          <w:highlight w:val="none"/>
        </w:rPr>
      </w:pPr>
      <w:r>
        <w:rPr>
          <w:rFonts w:hint="eastAsia" w:ascii="宋体" w:hAnsi="宋体" w:cs="宋体"/>
          <w:color w:val="auto"/>
          <w:szCs w:val="21"/>
          <w:highlight w:val="none"/>
        </w:rPr>
        <w:t xml:space="preserve">2.2 </w:t>
      </w:r>
      <w:r>
        <w:rPr>
          <w:rFonts w:hint="eastAsia" w:ascii="宋体" w:hAnsi="宋体" w:cs="宋体"/>
          <w:bCs/>
          <w:color w:val="auto"/>
          <w:szCs w:val="21"/>
          <w:highlight w:val="none"/>
        </w:rPr>
        <w:t>监理与相关服务依据</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监理依据包括：</w:t>
      </w:r>
    </w:p>
    <w:p>
      <w:pPr>
        <w:adjustRightInd w:val="0"/>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（1）适用的法律、行政法规及部门规章；</w:t>
      </w:r>
    </w:p>
    <w:p>
      <w:pPr>
        <w:adjustRightInd w:val="0"/>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（2）与工程有关的标准；</w:t>
      </w:r>
    </w:p>
    <w:p>
      <w:pPr>
        <w:adjustRightInd w:val="0"/>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（3）工程设计及有关文件；</w:t>
      </w:r>
    </w:p>
    <w:p>
      <w:pPr>
        <w:adjustRightInd w:val="0"/>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（4）本合同及委托人与第三方签订的与实施工程有关的其他合同。</w:t>
      </w:r>
    </w:p>
    <w:p>
      <w:pPr>
        <w:spacing w:line="360" w:lineRule="auto"/>
        <w:ind w:left="210" w:leftChars="100" w:firstLine="420" w:firstLineChars="200"/>
        <w:rPr>
          <w:rFonts w:ascii="宋体" w:hAnsi="宋体" w:cs="宋体"/>
          <w:bCs/>
          <w:color w:val="auto"/>
          <w:szCs w:val="21"/>
          <w:highlight w:val="none"/>
        </w:rPr>
      </w:pPr>
      <w:r>
        <w:rPr>
          <w:rFonts w:hint="eastAsia" w:ascii="宋体" w:hAnsi="宋体" w:cs="宋体"/>
          <w:bCs/>
          <w:color w:val="auto"/>
          <w:szCs w:val="21"/>
          <w:highlight w:val="none"/>
        </w:rPr>
        <w:t>双方根据工程的行业和地域特点，在专用条件中具体约定监理依据。</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相关服务依据在专用条件中约定。</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2.3 项目监理机构和人员</w:t>
      </w:r>
    </w:p>
    <w:p>
      <w:pPr>
        <w:adjustRightInd w:val="0"/>
        <w:snapToGrid w:val="0"/>
        <w:spacing w:line="360" w:lineRule="auto"/>
        <w:ind w:firstLine="645"/>
        <w:rPr>
          <w:rFonts w:ascii="宋体" w:hAnsi="宋体" w:cs="宋体"/>
          <w:color w:val="auto"/>
          <w:kern w:val="0"/>
          <w:szCs w:val="21"/>
          <w:highlight w:val="none"/>
        </w:rPr>
      </w:pPr>
      <w:r>
        <w:rPr>
          <w:rFonts w:hint="eastAsia" w:ascii="宋体" w:hAnsi="宋体" w:cs="宋体"/>
          <w:color w:val="auto"/>
          <w:kern w:val="0"/>
          <w:szCs w:val="21"/>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2.3.2本合同履行过程中，总监理工程师及重要岗位监理人员应保持相对稳定，以保证监理工作正常进行。</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2.3.4 监理人应及时更换有下列情形之一的监理人员：</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（1）严重过失行为的；</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（2）有违法行为不能履行职责的；</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（3）涉嫌犯罪的；</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（4）不能胜任岗位职责的；</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（5）严重违反职业道德的；</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（6）专用条件约定的其他情形。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2.3.5 委托人可要求监理人更换不能胜任本职工作的项目监理机构人员。</w:t>
      </w:r>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2.4 履行职责</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监理人应遵循职业道德准则和行为规范，严格按照法律法规、工程建设有关标准及本合同履行职责。</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 当委托人与承包人之间的合同争议提交仲裁机构仲裁或人民法院审理时，监理人应提供必要的证明资料。</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在紧急情况下，为了保护财产和人身安全，监理人所发出的指令未能事先报委托人批准时，应在发出指令后的24小时内以书面形式报委托人。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2.4.4 除专用条件另有约定外，监理人发现承包人的人员不能胜任本职工作的，有权要求承包人予以调换。</w:t>
      </w:r>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2.5 提交报告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监理人应按专用条件约定的种类、时间和份数向委托人提交监理与相关服务的报告。</w:t>
      </w:r>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2.6 文件资料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在本合同履行期内，监理人应在现场保留工作所用的图纸、报告及记录监理工</w:t>
      </w:r>
      <w:r>
        <w:rPr>
          <w:rFonts w:hint="eastAsia" w:ascii="宋体" w:hAnsi="宋体" w:cs="宋体"/>
          <w:color w:val="auto"/>
          <w:szCs w:val="21"/>
          <w:highlight w:val="none"/>
        </w:rPr>
        <w:t>作的相关文件。工程竣工后，应当按照档案管理规定将监理有关文件归档。</w:t>
      </w:r>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2.7 使用委托人的财产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6"/>
        <w:spacing w:line="360" w:lineRule="auto"/>
        <w:rPr>
          <w:rFonts w:ascii="宋体" w:hAnsi="宋体" w:cs="宋体"/>
          <w:color w:val="auto"/>
          <w:highlight w:val="none"/>
        </w:rPr>
      </w:pPr>
      <w:bookmarkStart w:id="154" w:name="_Toc512453859"/>
      <w:bookmarkStart w:id="155" w:name="_Toc398107903"/>
      <w:r>
        <w:rPr>
          <w:rFonts w:hint="eastAsia" w:ascii="宋体" w:hAnsi="宋体" w:cs="宋体"/>
          <w:color w:val="auto"/>
          <w:highlight w:val="none"/>
        </w:rPr>
        <w:t>3．委托人的义务</w:t>
      </w:r>
      <w:bookmarkEnd w:id="154"/>
      <w:bookmarkEnd w:id="155"/>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3.1 告知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委托人应在委托人与承包人签订的合同中明确监理人、总监理工程师和授予项目监理机构的权限。如有变更，应及时通知承包人。</w:t>
      </w:r>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3.2 提供资料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委托人应按照附录B约定，无偿向监理人提供工程有关的资料。</w:t>
      </w:r>
      <w:r>
        <w:rPr>
          <w:rFonts w:hint="eastAsia" w:ascii="宋体" w:hAnsi="宋体" w:cs="宋体"/>
          <w:color w:val="auto"/>
          <w:szCs w:val="21"/>
          <w:highlight w:val="none"/>
        </w:rPr>
        <w:t>在本合同履行过程中，委托人应及时向监理人提供最新的与工程有关的资料。</w:t>
      </w:r>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3.3 提供工作条件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委托人应为监理人完成监理与相关服务提供必要的条件。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3.3.1 </w:t>
      </w:r>
      <w:r>
        <w:rPr>
          <w:rFonts w:hint="eastAsia" w:ascii="宋体" w:hAnsi="宋体" w:cs="宋体"/>
          <w:color w:val="auto"/>
          <w:szCs w:val="21"/>
          <w:highlight w:val="none"/>
        </w:rPr>
        <w:t>委托人应按照附录B约定，派遣相应的人员，提供房屋、设备，供监理人</w:t>
      </w:r>
      <w:r>
        <w:rPr>
          <w:rFonts w:hint="eastAsia" w:ascii="宋体" w:hAnsi="宋体" w:cs="宋体"/>
          <w:color w:val="auto"/>
          <w:kern w:val="0"/>
          <w:szCs w:val="21"/>
          <w:highlight w:val="none"/>
        </w:rPr>
        <w:t>无偿</w:t>
      </w:r>
      <w:r>
        <w:rPr>
          <w:rFonts w:hint="eastAsia" w:ascii="宋体" w:hAnsi="宋体" w:cs="宋体"/>
          <w:color w:val="auto"/>
          <w:szCs w:val="21"/>
          <w:highlight w:val="none"/>
        </w:rPr>
        <w:t>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3.3.2 </w:t>
      </w:r>
      <w:r>
        <w:rPr>
          <w:rFonts w:hint="eastAsia" w:ascii="宋体" w:hAnsi="宋体" w:cs="宋体"/>
          <w:color w:val="auto"/>
          <w:szCs w:val="21"/>
          <w:highlight w:val="none"/>
        </w:rPr>
        <w:t>委托人应负责协调工程建设中所有外部关系，为监理人履行本合同提供必要的外部条件。</w:t>
      </w:r>
    </w:p>
    <w:p>
      <w:pPr>
        <w:snapToGrid w:val="0"/>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3.4 委托人代表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3.5 委托人意见或要求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3.6 答复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3.7 支付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委托人应按本合同约定，向监理人支付酬金。</w:t>
      </w:r>
    </w:p>
    <w:p>
      <w:pPr>
        <w:pStyle w:val="6"/>
        <w:spacing w:line="360" w:lineRule="auto"/>
        <w:rPr>
          <w:rFonts w:ascii="宋体" w:hAnsi="宋体" w:cs="宋体"/>
          <w:color w:val="auto"/>
          <w:highlight w:val="none"/>
        </w:rPr>
      </w:pPr>
      <w:bookmarkStart w:id="156" w:name="_Toc512453860"/>
      <w:bookmarkStart w:id="157" w:name="_Toc398107904"/>
      <w:r>
        <w:rPr>
          <w:rFonts w:hint="eastAsia" w:ascii="宋体" w:hAnsi="宋体" w:cs="宋体"/>
          <w:color w:val="auto"/>
          <w:highlight w:val="none"/>
        </w:rPr>
        <w:t>4. 违约责任</w:t>
      </w:r>
      <w:bookmarkEnd w:id="156"/>
      <w:bookmarkEnd w:id="157"/>
    </w:p>
    <w:p>
      <w:pPr>
        <w:spacing w:line="360" w:lineRule="auto"/>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4.1 监理人的违约责任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监理人未履行本合同义务的，应承担相应的责任。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4.1.1 因监理人违反本合同约定</w:t>
      </w:r>
      <w:r>
        <w:rPr>
          <w:rFonts w:hint="eastAsia" w:ascii="宋体" w:hAnsi="宋体" w:cs="宋体"/>
          <w:color w:val="auto"/>
          <w:szCs w:val="21"/>
          <w:highlight w:val="none"/>
        </w:rPr>
        <w:t>给委托人造成损失的，监理人应当赔偿委托人损失</w:t>
      </w:r>
      <w:r>
        <w:rPr>
          <w:rFonts w:hint="eastAsia" w:ascii="宋体" w:hAnsi="宋体" w:cs="宋体"/>
          <w:color w:val="auto"/>
          <w:kern w:val="0"/>
          <w:szCs w:val="21"/>
          <w:highlight w:val="none"/>
        </w:rPr>
        <w:t>。赔偿金额的确定方法在专用条件中约定。监理人承担部分赔偿责任的，其承担赔偿金额由双方协商确定。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4.1.2 监理人向委托人的索赔不成立时，监理人应赔偿委托人由此发生的费用。</w:t>
      </w:r>
    </w:p>
    <w:p>
      <w:pPr>
        <w:snapToGri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4.2 委托人的违约责任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委托人未履行本合同义务的，应承担相应的责任。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 委托人违反本合同约定造成监理人损失的，委托人应予以赔偿。</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 委托人向监理人的索赔不成立时，应赔偿监理人由此引起的费用。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4.2.3 </w:t>
      </w:r>
      <w:r>
        <w:rPr>
          <w:rFonts w:hint="eastAsia" w:ascii="宋体" w:hAnsi="宋体" w:cs="宋体"/>
          <w:color w:val="auto"/>
          <w:kern w:val="0"/>
          <w:szCs w:val="21"/>
          <w:highlight w:val="none"/>
        </w:rPr>
        <w:t>委托人未能按期支付</w:t>
      </w:r>
      <w:r>
        <w:rPr>
          <w:rFonts w:hint="eastAsia" w:ascii="宋体" w:hAnsi="宋体" w:cs="宋体"/>
          <w:color w:val="auto"/>
          <w:szCs w:val="21"/>
          <w:highlight w:val="none"/>
        </w:rPr>
        <w:t>酬金</w:t>
      </w:r>
      <w:r>
        <w:rPr>
          <w:rFonts w:hint="eastAsia" w:ascii="宋体" w:hAnsi="宋体" w:cs="宋体"/>
          <w:color w:val="auto"/>
          <w:kern w:val="0"/>
          <w:szCs w:val="21"/>
          <w:highlight w:val="none"/>
        </w:rPr>
        <w:t>超过28天，应按专用条件约定支付逾期付款利息。</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4.3 除外责任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因非监理人的原因，且监理人无过错，发生工程质量事故、安全事故、工期延误等造成的损失，监理人不承担赔偿责任。</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因不可抗力导致本合同全部或部分不能履行时，双方各自承担其因此而造成的损失、损害。</w:t>
      </w:r>
    </w:p>
    <w:p>
      <w:pPr>
        <w:pStyle w:val="6"/>
        <w:spacing w:line="360" w:lineRule="auto"/>
        <w:rPr>
          <w:rFonts w:ascii="宋体" w:hAnsi="宋体" w:cs="宋体"/>
          <w:color w:val="auto"/>
          <w:highlight w:val="none"/>
        </w:rPr>
      </w:pPr>
      <w:bookmarkStart w:id="158" w:name="_Toc512453861"/>
      <w:bookmarkStart w:id="159" w:name="_Toc398107905"/>
      <w:r>
        <w:rPr>
          <w:rFonts w:hint="eastAsia" w:ascii="宋体" w:hAnsi="宋体" w:cs="宋体"/>
          <w:color w:val="auto"/>
          <w:highlight w:val="none"/>
        </w:rPr>
        <w:t>5. 支付</w:t>
      </w:r>
      <w:bookmarkEnd w:id="158"/>
      <w:bookmarkEnd w:id="159"/>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5.1 </w:t>
      </w:r>
      <w:r>
        <w:rPr>
          <w:rFonts w:hint="eastAsia" w:ascii="宋体" w:hAnsi="宋体" w:cs="宋体"/>
          <w:bCs/>
          <w:color w:val="auto"/>
          <w:szCs w:val="21"/>
          <w:highlight w:val="none"/>
        </w:rPr>
        <w:t>支付货币</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除专用条件另有约定外，酬金均以人民币支付。涉及外币支付的，所采用的货币种类、比例和汇率在专用条件中约定。</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5.2 支付申请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5.3 支付酬金</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支付的酬金包括正常工作酬金、附加工作酬金、合理化建议奖励金额及费用。</w:t>
      </w:r>
    </w:p>
    <w:p>
      <w:pPr>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 xml:space="preserve">  5.4 </w:t>
      </w:r>
      <w:r>
        <w:rPr>
          <w:rFonts w:hint="eastAsia" w:ascii="宋体" w:hAnsi="宋体" w:cs="宋体"/>
          <w:bCs/>
          <w:color w:val="auto"/>
          <w:szCs w:val="21"/>
          <w:highlight w:val="none"/>
        </w:rPr>
        <w:t>有争议部分的付款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6"/>
        <w:spacing w:line="360" w:lineRule="auto"/>
        <w:rPr>
          <w:rFonts w:ascii="宋体" w:hAnsi="宋体" w:cs="宋体"/>
          <w:color w:val="auto"/>
          <w:highlight w:val="none"/>
        </w:rPr>
      </w:pPr>
      <w:bookmarkStart w:id="160" w:name="_Toc512453862"/>
      <w:bookmarkStart w:id="161" w:name="_Toc398107906"/>
      <w:r>
        <w:rPr>
          <w:rFonts w:hint="eastAsia" w:ascii="宋体" w:hAnsi="宋体" w:cs="宋体"/>
          <w:color w:val="auto"/>
          <w:highlight w:val="none"/>
        </w:rPr>
        <w:t>6. 合同生效、变更、暂停、解除与终止</w:t>
      </w:r>
      <w:bookmarkEnd w:id="160"/>
      <w:bookmarkEnd w:id="161"/>
    </w:p>
    <w:p>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6.1生效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cs="宋体"/>
          <w:bCs/>
          <w:color w:val="auto"/>
          <w:szCs w:val="21"/>
          <w:highlight w:val="none"/>
        </w:rPr>
        <w:t>变更</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 任何一方提出变更请求时，双方经协商一致后可进行变更。</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6.2.5 因非监理人原因造成工程概算投资额或建筑安装工程费增加时，正常工作酬金应作相应调整。调整方法在专用条件中约定。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6.2.6 因工程规模、监理范围的变化导致监理人的正常工作量减少时，正常工作酬金应作相应调整。调整方法在专用条件中约定。</w:t>
      </w:r>
    </w:p>
    <w:p>
      <w:pPr>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 xml:space="preserve">  6.3 暂停与</w:t>
      </w:r>
      <w:r>
        <w:rPr>
          <w:rFonts w:hint="eastAsia" w:ascii="宋体" w:hAnsi="宋体" w:cs="宋体"/>
          <w:bCs/>
          <w:color w:val="auto"/>
          <w:szCs w:val="21"/>
          <w:highlight w:val="none"/>
        </w:rPr>
        <w:t>解除</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解除本合同的协议必须采取书面形式，协议未达成之前，本合同仍然有效。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color w:val="auto"/>
          <w:kern w:val="0"/>
          <w:szCs w:val="21"/>
          <w:highlight w:val="none"/>
        </w:rPr>
        <w:t>的</w:t>
      </w:r>
      <w:r>
        <w:rPr>
          <w:rFonts w:hint="eastAsia" w:ascii="宋体" w:hAnsi="宋体" w:cs="宋体"/>
          <w:color w:val="auto"/>
          <w:szCs w:val="21"/>
          <w:highlight w:val="none"/>
        </w:rPr>
        <w:t>酬金支付至本合同解除日，且应承担第4.2款约定的责任。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s="宋体"/>
          <w:color w:val="auto"/>
          <w:kern w:val="0"/>
          <w:szCs w:val="21"/>
          <w:highlight w:val="none"/>
        </w:rPr>
        <w:t>的</w:t>
      </w:r>
      <w:r>
        <w:rPr>
          <w:rFonts w:hint="eastAsia" w:ascii="宋体" w:hAnsi="宋体" w:cs="宋体"/>
          <w:color w:val="auto"/>
          <w:szCs w:val="21"/>
          <w:highlight w:val="none"/>
        </w:rPr>
        <w:t>酬金支付至</w:t>
      </w:r>
      <w:r>
        <w:rPr>
          <w:rFonts w:hint="eastAsia" w:ascii="宋体" w:hAnsi="宋体" w:cs="宋体"/>
          <w:color w:val="auto"/>
          <w:kern w:val="0"/>
          <w:szCs w:val="21"/>
          <w:highlight w:val="none"/>
        </w:rPr>
        <w:t>限期改正通知到达监理人之日</w:t>
      </w:r>
      <w:r>
        <w:rPr>
          <w:rFonts w:hint="eastAsia" w:ascii="宋体" w:hAnsi="宋体" w:cs="宋体"/>
          <w:color w:val="auto"/>
          <w:szCs w:val="21"/>
          <w:highlight w:val="none"/>
        </w:rPr>
        <w:t>，但监理人应承担第4.1款约定的责任。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6.3.5 因不可抗力致使本合同部分或全部不能履行时，一方应立即通知另一方，可暂停或解除本合同。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6.3.6 本合同解除后，本合同约定的有关结算、清理、争议解决方式的条件仍然有效。</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6.4 </w:t>
      </w:r>
      <w:r>
        <w:rPr>
          <w:rFonts w:hint="eastAsia" w:ascii="宋体" w:hAnsi="宋体" w:cs="宋体"/>
          <w:bCs/>
          <w:color w:val="auto"/>
          <w:szCs w:val="21"/>
          <w:highlight w:val="none"/>
        </w:rPr>
        <w:t>终止</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以下条件全部满足时，本合同即告终止：</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（1）监理人完成本合同约定的全部工作；</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（2）委托人与监理人结清并支付全部酬金。</w:t>
      </w:r>
    </w:p>
    <w:p>
      <w:pPr>
        <w:pStyle w:val="6"/>
        <w:spacing w:line="360" w:lineRule="auto"/>
        <w:rPr>
          <w:rFonts w:ascii="宋体" w:hAnsi="宋体" w:cs="宋体"/>
          <w:color w:val="auto"/>
          <w:highlight w:val="none"/>
        </w:rPr>
      </w:pPr>
      <w:bookmarkStart w:id="162" w:name="_Toc512453863"/>
      <w:bookmarkStart w:id="163" w:name="_Toc398107907"/>
      <w:r>
        <w:rPr>
          <w:rFonts w:hint="eastAsia" w:ascii="宋体" w:hAnsi="宋体" w:cs="宋体"/>
          <w:color w:val="auto"/>
          <w:highlight w:val="none"/>
        </w:rPr>
        <w:t>7. 争议解决</w:t>
      </w:r>
      <w:bookmarkEnd w:id="162"/>
      <w:bookmarkEnd w:id="163"/>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7.1</w:t>
      </w:r>
      <w:r>
        <w:rPr>
          <w:rFonts w:hint="eastAsia" w:ascii="宋体" w:hAnsi="宋体" w:cs="宋体"/>
          <w:bCs/>
          <w:color w:val="auto"/>
          <w:szCs w:val="21"/>
          <w:highlight w:val="none"/>
        </w:rPr>
        <w:t>协商</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双方应本着诚信原则协商解决彼此间的争议。</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7.2</w:t>
      </w:r>
      <w:r>
        <w:rPr>
          <w:rFonts w:hint="eastAsia" w:ascii="宋体" w:hAnsi="宋体" w:cs="宋体"/>
          <w:bCs/>
          <w:color w:val="auto"/>
          <w:szCs w:val="21"/>
          <w:highlight w:val="none"/>
        </w:rPr>
        <w:t>调解</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7.3</w:t>
      </w:r>
      <w:r>
        <w:rPr>
          <w:rFonts w:hint="eastAsia" w:ascii="宋体" w:hAnsi="宋体" w:cs="宋体"/>
          <w:bCs/>
          <w:color w:val="auto"/>
          <w:szCs w:val="21"/>
          <w:highlight w:val="none"/>
        </w:rPr>
        <w:t>仲裁或诉讼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双方均有权不经调解直接向专用条件约定的仲裁机构申请仲裁或向有管辖权的人民法院提起诉讼。</w:t>
      </w:r>
    </w:p>
    <w:p>
      <w:pPr>
        <w:pStyle w:val="6"/>
        <w:spacing w:line="360" w:lineRule="auto"/>
        <w:rPr>
          <w:rFonts w:ascii="宋体" w:hAnsi="宋体" w:cs="宋体"/>
          <w:color w:val="auto"/>
          <w:highlight w:val="none"/>
        </w:rPr>
      </w:pPr>
      <w:bookmarkStart w:id="164" w:name="_Toc512453864"/>
      <w:bookmarkStart w:id="165" w:name="_Toc398107908"/>
      <w:r>
        <w:rPr>
          <w:rFonts w:hint="eastAsia" w:ascii="宋体" w:hAnsi="宋体" w:cs="宋体"/>
          <w:color w:val="auto"/>
          <w:highlight w:val="none"/>
        </w:rPr>
        <w:t>8. 其他</w:t>
      </w:r>
      <w:bookmarkEnd w:id="164"/>
      <w:bookmarkEnd w:id="165"/>
    </w:p>
    <w:p>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8.1 </w:t>
      </w:r>
      <w:r>
        <w:rPr>
          <w:rFonts w:hint="eastAsia" w:ascii="宋体" w:hAnsi="宋体" w:cs="宋体"/>
          <w:bCs/>
          <w:color w:val="auto"/>
          <w:szCs w:val="21"/>
          <w:highlight w:val="none"/>
        </w:rPr>
        <w:t>外出考察费用</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经委托人同意，监理人员外出考察发生的费用由委托人审核后支付。</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8.2 </w:t>
      </w:r>
      <w:r>
        <w:rPr>
          <w:rFonts w:hint="eastAsia" w:ascii="宋体" w:hAnsi="宋体" w:cs="宋体"/>
          <w:bCs/>
          <w:color w:val="auto"/>
          <w:szCs w:val="21"/>
          <w:highlight w:val="none"/>
        </w:rPr>
        <w:t>检测费用</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委托人要求监理人进行的材料和设备检测所发生的费用，由委托人支付，支付时间在专用条件中约定。</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8.3 </w:t>
      </w:r>
      <w:r>
        <w:rPr>
          <w:rFonts w:hint="eastAsia" w:ascii="宋体" w:hAnsi="宋体" w:cs="宋体"/>
          <w:bCs/>
          <w:color w:val="auto"/>
          <w:szCs w:val="21"/>
          <w:highlight w:val="none"/>
        </w:rPr>
        <w:t>咨询费用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8.4 </w:t>
      </w:r>
      <w:r>
        <w:rPr>
          <w:rFonts w:hint="eastAsia" w:ascii="宋体" w:hAnsi="宋体" w:cs="宋体"/>
          <w:bCs/>
          <w:color w:val="auto"/>
          <w:szCs w:val="21"/>
          <w:highlight w:val="none"/>
        </w:rPr>
        <w:t>奖励</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8.5 </w:t>
      </w:r>
      <w:r>
        <w:rPr>
          <w:rFonts w:hint="eastAsia" w:ascii="宋体" w:hAnsi="宋体" w:cs="宋体"/>
          <w:bCs/>
          <w:color w:val="auto"/>
          <w:szCs w:val="21"/>
          <w:highlight w:val="none"/>
        </w:rPr>
        <w:t>守法诚信</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监理人及其工作人员不得从与实施工程有关的第三方处获得任何经济利益。</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8.6 </w:t>
      </w:r>
      <w:r>
        <w:rPr>
          <w:rFonts w:hint="eastAsia" w:ascii="宋体" w:hAnsi="宋体" w:cs="宋体"/>
          <w:bCs/>
          <w:color w:val="auto"/>
          <w:szCs w:val="21"/>
          <w:highlight w:val="none"/>
        </w:rPr>
        <w:t>保密</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8.7 </w:t>
      </w:r>
      <w:r>
        <w:rPr>
          <w:rFonts w:hint="eastAsia" w:ascii="宋体" w:hAnsi="宋体" w:cs="宋体"/>
          <w:bCs/>
          <w:color w:val="auto"/>
          <w:szCs w:val="21"/>
          <w:highlight w:val="none"/>
        </w:rPr>
        <w:t>通知</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本合同涉及的通知均应当采用书面形式，并在送达对方时生效，收件人应书面签收。</w:t>
      </w:r>
    </w:p>
    <w:p>
      <w:pPr>
        <w:snapToGrid w:val="0"/>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8.8 </w:t>
      </w:r>
      <w:r>
        <w:rPr>
          <w:rFonts w:hint="eastAsia" w:ascii="宋体" w:hAnsi="宋体" w:cs="宋体"/>
          <w:bCs/>
          <w:color w:val="auto"/>
          <w:szCs w:val="21"/>
          <w:highlight w:val="none"/>
        </w:rPr>
        <w:t>著作权</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监理人对其编制的文件拥有著作权。</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tabs>
          <w:tab w:val="right" w:pos="8486"/>
        </w:tabs>
        <w:spacing w:line="400" w:lineRule="exact"/>
        <w:ind w:firstLine="643" w:firstLineChars="200"/>
        <w:jc w:val="center"/>
        <w:outlineLvl w:val="0"/>
        <w:rPr>
          <w:rFonts w:ascii="宋体" w:hAnsi="宋体" w:cs="宋体"/>
          <w:b/>
          <w:color w:val="auto"/>
          <w:sz w:val="32"/>
          <w:szCs w:val="32"/>
          <w:highlight w:val="none"/>
        </w:rPr>
      </w:pPr>
    </w:p>
    <w:p>
      <w:pPr>
        <w:tabs>
          <w:tab w:val="right" w:pos="8486"/>
        </w:tabs>
        <w:spacing w:line="400" w:lineRule="exact"/>
        <w:ind w:firstLine="643" w:firstLineChars="200"/>
        <w:jc w:val="center"/>
        <w:outlineLvl w:val="0"/>
        <w:rPr>
          <w:rFonts w:ascii="宋体" w:hAnsi="宋体" w:cs="宋体"/>
          <w:b/>
          <w:color w:val="auto"/>
          <w:sz w:val="32"/>
          <w:szCs w:val="32"/>
          <w:highlight w:val="none"/>
        </w:rPr>
      </w:pPr>
    </w:p>
    <w:p>
      <w:pPr>
        <w:tabs>
          <w:tab w:val="right" w:pos="8486"/>
        </w:tabs>
        <w:spacing w:line="400" w:lineRule="exact"/>
        <w:ind w:firstLine="643" w:firstLineChars="200"/>
        <w:jc w:val="center"/>
        <w:outlineLvl w:val="0"/>
        <w:rPr>
          <w:rFonts w:ascii="宋体" w:hAnsi="宋体" w:cs="宋体"/>
          <w:b/>
          <w:color w:val="auto"/>
          <w:sz w:val="32"/>
          <w:szCs w:val="32"/>
          <w:highlight w:val="none"/>
        </w:rPr>
      </w:pPr>
    </w:p>
    <w:p>
      <w:pPr>
        <w:tabs>
          <w:tab w:val="right" w:pos="8486"/>
        </w:tabs>
        <w:spacing w:line="400" w:lineRule="exact"/>
        <w:ind w:firstLine="643" w:firstLineChars="200"/>
        <w:jc w:val="center"/>
        <w:outlineLvl w:val="0"/>
        <w:rPr>
          <w:rFonts w:ascii="宋体" w:hAnsi="宋体" w:cs="宋体"/>
          <w:b/>
          <w:color w:val="auto"/>
          <w:sz w:val="32"/>
          <w:szCs w:val="32"/>
          <w:highlight w:val="none"/>
        </w:rPr>
      </w:pPr>
    </w:p>
    <w:p>
      <w:pPr>
        <w:tabs>
          <w:tab w:val="right" w:pos="8486"/>
        </w:tabs>
        <w:spacing w:line="400" w:lineRule="exact"/>
        <w:ind w:firstLine="643" w:firstLineChars="200"/>
        <w:jc w:val="center"/>
        <w:outlineLvl w:val="0"/>
        <w:rPr>
          <w:rFonts w:ascii="宋体" w:hAnsi="宋体" w:cs="宋体"/>
          <w:b/>
          <w:color w:val="auto"/>
          <w:sz w:val="32"/>
          <w:szCs w:val="32"/>
          <w:highlight w:val="none"/>
        </w:rPr>
      </w:pPr>
    </w:p>
    <w:p>
      <w:pPr>
        <w:tabs>
          <w:tab w:val="right" w:pos="8486"/>
        </w:tabs>
        <w:spacing w:line="400" w:lineRule="exact"/>
        <w:ind w:firstLine="643" w:firstLineChars="200"/>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第三部分  专用条件</w:t>
      </w:r>
    </w:p>
    <w:p>
      <w:pPr>
        <w:pStyle w:val="6"/>
        <w:spacing w:before="0" w:after="0" w:line="360" w:lineRule="auto"/>
        <w:rPr>
          <w:rFonts w:ascii="宋体" w:hAnsi="宋体" w:cs="宋体"/>
          <w:color w:val="auto"/>
          <w:sz w:val="21"/>
          <w:szCs w:val="21"/>
          <w:highlight w:val="none"/>
        </w:rPr>
      </w:pPr>
      <w:bookmarkStart w:id="166" w:name="_Toc398107910"/>
      <w:r>
        <w:rPr>
          <w:rFonts w:hint="eastAsia" w:ascii="宋体" w:hAnsi="宋体" w:cs="宋体"/>
          <w:color w:val="auto"/>
          <w:sz w:val="21"/>
          <w:szCs w:val="21"/>
          <w:highlight w:val="none"/>
        </w:rPr>
        <w:t>1. 定义与解释</w:t>
      </w:r>
      <w:bookmarkEnd w:id="166"/>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1.2  解释</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本合同文件除使用中文外，还可用</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1.2.2 约定本合同文件的解释顺序为：</w:t>
      </w:r>
      <w:bookmarkStart w:id="167" w:name="_Toc398107911"/>
      <w:r>
        <w:rPr>
          <w:rFonts w:hint="eastAsia" w:ascii="宋体" w:hAnsi="宋体" w:cs="宋体"/>
          <w:color w:val="auto"/>
          <w:szCs w:val="21"/>
          <w:highlight w:val="none"/>
          <w:u w:val="single"/>
        </w:rPr>
        <w:t>（1）协议书；（2）中标通知书（适用于招标工程）或委托书（适用于非招标工程）；（3）招标文件；（4）专用条件及附录 A、附录 B；（5）通用条件；（6）投标文件（适用于招标工程）或监理与相关服务建议书（适用于非招标工程） 。</w:t>
      </w:r>
    </w:p>
    <w:p>
      <w:pPr>
        <w:pStyle w:val="6"/>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2. 监理人义务</w:t>
      </w:r>
      <w:bookmarkEnd w:id="167"/>
    </w:p>
    <w:p>
      <w:pPr>
        <w:adjustRightInd w:val="0"/>
        <w:snapToGrid w:val="0"/>
        <w:spacing w:line="360" w:lineRule="auto"/>
        <w:ind w:firstLine="310" w:firstLineChars="148"/>
        <w:rPr>
          <w:rFonts w:ascii="宋体" w:hAnsi="宋体" w:cs="宋体"/>
          <w:color w:val="auto"/>
          <w:szCs w:val="21"/>
          <w:highlight w:val="none"/>
          <w:u w:val="single"/>
        </w:rPr>
      </w:pPr>
      <w:r>
        <w:rPr>
          <w:rFonts w:hint="eastAsia" w:ascii="宋体" w:hAnsi="宋体" w:cs="宋体"/>
          <w:color w:val="auto"/>
          <w:szCs w:val="21"/>
          <w:highlight w:val="none"/>
        </w:rPr>
        <w:t>2.1 监理的范围和内容</w:t>
      </w:r>
    </w:p>
    <w:p>
      <w:pPr>
        <w:spacing w:line="370" w:lineRule="exact"/>
        <w:ind w:firstLine="420" w:firstLineChars="200"/>
        <w:outlineLvl w:val="0"/>
        <w:rPr>
          <w:rFonts w:ascii="宋体" w:hAnsi="宋体" w:cs="宋体"/>
          <w:color w:val="auto"/>
          <w:szCs w:val="21"/>
          <w:highlight w:val="none"/>
          <w:u w:val="single"/>
        </w:rPr>
      </w:pPr>
      <w:r>
        <w:rPr>
          <w:rFonts w:hint="eastAsia" w:ascii="宋体" w:hAnsi="宋体" w:cs="宋体"/>
          <w:color w:val="auto"/>
          <w:szCs w:val="21"/>
          <w:highlight w:val="none"/>
        </w:rPr>
        <w:t>2.1.1 监理范围包括：</w:t>
      </w:r>
      <w:r>
        <w:rPr>
          <w:rFonts w:hint="eastAsia" w:ascii="宋体" w:hAnsi="宋体" w:cs="宋体"/>
          <w:color w:val="auto"/>
          <w:szCs w:val="21"/>
          <w:highlight w:val="none"/>
          <w:u w:val="single"/>
        </w:rPr>
        <w:t>西峰玖墅北侧环境提升工程</w:t>
      </w:r>
      <w:r>
        <w:rPr>
          <w:rFonts w:hint="eastAsia" w:ascii="宋体" w:hAnsi="宋体" w:cs="宋体"/>
          <w:color w:val="auto"/>
          <w:highlight w:val="none"/>
          <w:u w:val="single"/>
        </w:rPr>
        <w:t>施工阶段全过程及保修阶段的全过程监理服务，包含</w:t>
      </w:r>
      <w:r>
        <w:rPr>
          <w:rFonts w:hint="eastAsia" w:ascii="宋体" w:hAnsi="宋体" w:cs="宋体"/>
          <w:color w:val="auto"/>
          <w:szCs w:val="21"/>
          <w:highlight w:val="none"/>
          <w:u w:val="single"/>
        </w:rPr>
        <w:t>西峰玖墅北侧环境提升工程</w:t>
      </w:r>
      <w:r>
        <w:rPr>
          <w:rFonts w:hint="eastAsia" w:ascii="宋体" w:hAnsi="宋体" w:cs="宋体"/>
          <w:color w:val="auto"/>
          <w:highlight w:val="none"/>
          <w:u w:val="single"/>
        </w:rPr>
        <w:t>设计施工图纸及工程量清单范围内的</w:t>
      </w:r>
      <w:r>
        <w:rPr>
          <w:rFonts w:hint="eastAsia" w:ascii="宋体" w:hAnsi="宋体" w:cs="宋体"/>
          <w:color w:val="auto"/>
          <w:szCs w:val="21"/>
          <w:highlight w:val="none"/>
          <w:u w:val="single"/>
        </w:rPr>
        <w:t>土方、景观绿化、道路、铺装、智能化、给排水、物业用房、厕所、商业等配套建筑物、构筑物、装饰、照明亮化、</w:t>
      </w:r>
      <w:r>
        <w:rPr>
          <w:rFonts w:hint="eastAsia" w:ascii="宋体" w:hAnsi="宋体" w:cs="宋体"/>
          <w:color w:val="auto"/>
          <w:kern w:val="0"/>
          <w:szCs w:val="21"/>
          <w:highlight w:val="none"/>
          <w:u w:val="single"/>
        </w:rPr>
        <w:t>供电管道、</w:t>
      </w:r>
      <w:r>
        <w:rPr>
          <w:rFonts w:hint="eastAsia" w:ascii="宋体" w:hAnsi="宋体" w:cs="宋体"/>
          <w:color w:val="auto"/>
          <w:szCs w:val="21"/>
          <w:highlight w:val="none"/>
          <w:u w:val="single"/>
        </w:rPr>
        <w:t>道闸、雕塑、标识标牌、导视系统及配套工程</w:t>
      </w:r>
      <w:r>
        <w:rPr>
          <w:rFonts w:hint="eastAsia" w:ascii="宋体" w:hAnsi="宋体" w:cs="宋体"/>
          <w:color w:val="auto"/>
          <w:kern w:val="0"/>
          <w:szCs w:val="21"/>
          <w:highlight w:val="none"/>
          <w:u w:val="single"/>
        </w:rPr>
        <w:t>等项目建议书、可行性研究报告批复中涉及到的所有工程的施工阶段全过程及保修阶段的监理。</w:t>
      </w:r>
    </w:p>
    <w:p>
      <w:pPr>
        <w:widowControl/>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u w:val="single"/>
        </w:rPr>
        <w:t>施工阶段和保修阶段的四控制、两管理、一协调。包含但不限于以下事项：（1）投资控制（涉及工程造价的签证、设计变更、技术方案核定等事项须征得委托人书面签证批准）；（2）进度控制；（3）质量控制；（4）安全控制；（5）信息管理；（6）合同管理；（7）组织协调；（8）质量保修期的监理工作；（9）委托人委托的其他工作。</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监理工作内容还包括：</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w:t>
      </w:r>
      <w:r>
        <w:rPr>
          <w:rFonts w:hint="eastAsia" w:ascii="宋体" w:hAnsi="宋体"/>
          <w:color w:val="auto"/>
          <w:szCs w:val="21"/>
          <w:highlight w:val="none"/>
          <w:u w:val="single"/>
          <w:lang w:val="zh-CN"/>
        </w:rPr>
        <w:t>）由总监主持编写监理规划并及时报业主审批；</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2</w:t>
      </w:r>
      <w:r>
        <w:rPr>
          <w:rFonts w:hint="eastAsia" w:ascii="宋体" w:hAnsi="宋体"/>
          <w:color w:val="auto"/>
          <w:szCs w:val="21"/>
          <w:highlight w:val="none"/>
          <w:u w:val="single"/>
          <w:lang w:val="zh-CN"/>
        </w:rPr>
        <w:t>）协助业主做好开工前的准备工作；</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3</w:t>
      </w:r>
      <w:r>
        <w:rPr>
          <w:rFonts w:hint="eastAsia" w:ascii="宋体" w:hAnsi="宋体"/>
          <w:color w:val="auto"/>
          <w:szCs w:val="21"/>
          <w:highlight w:val="none"/>
          <w:u w:val="single"/>
          <w:lang w:val="zh-CN"/>
        </w:rPr>
        <w:t>）协助业主确定分包单位；</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4</w:t>
      </w:r>
      <w:r>
        <w:rPr>
          <w:rFonts w:hint="eastAsia" w:ascii="宋体" w:hAnsi="宋体"/>
          <w:color w:val="auto"/>
          <w:szCs w:val="21"/>
          <w:highlight w:val="none"/>
          <w:u w:val="single"/>
          <w:lang w:val="zh-CN"/>
        </w:rPr>
        <w:t>）审定施工单位的施工组织计划，并编写有针对性的监理细则；</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5</w:t>
      </w:r>
      <w:r>
        <w:rPr>
          <w:rFonts w:hint="eastAsia" w:ascii="宋体" w:hAnsi="宋体"/>
          <w:color w:val="auto"/>
          <w:szCs w:val="21"/>
          <w:highlight w:val="none"/>
          <w:u w:val="single"/>
          <w:lang w:val="zh-CN"/>
        </w:rPr>
        <w:t>）协调各施工单位各工种间的配合；</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6</w:t>
      </w:r>
      <w:r>
        <w:rPr>
          <w:rFonts w:hint="eastAsia" w:ascii="宋体" w:hAnsi="宋体"/>
          <w:color w:val="auto"/>
          <w:szCs w:val="21"/>
          <w:highlight w:val="none"/>
          <w:u w:val="single"/>
          <w:lang w:val="zh-CN"/>
        </w:rPr>
        <w:t>）材料核验其合格证、质保书及试验报告等；核定施工单位开具的材料设备清单，检查工程所用材料、构件、设备的规格、质量、数量，并对质量有疑问的材料，采取实物抽样复试，不合格的材料不得用于工程。</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7</w:t>
      </w:r>
      <w:r>
        <w:rPr>
          <w:rFonts w:hint="eastAsia" w:ascii="宋体" w:hAnsi="宋体"/>
          <w:color w:val="auto"/>
          <w:szCs w:val="21"/>
          <w:highlight w:val="none"/>
          <w:u w:val="single"/>
          <w:lang w:val="zh-CN"/>
        </w:rPr>
        <w:t>）主持工程图纸会审，确认工程设计变更及签证、核定工程量，且每周定期主持召开监理例会，并整理会议纪要。</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8</w:t>
      </w:r>
      <w:r>
        <w:rPr>
          <w:rFonts w:hint="eastAsia" w:ascii="宋体" w:hAnsi="宋体"/>
          <w:color w:val="auto"/>
          <w:szCs w:val="21"/>
          <w:highlight w:val="none"/>
          <w:u w:val="single"/>
          <w:lang w:val="zh-CN"/>
        </w:rPr>
        <w:t>）审定施工进度计划，督促工程施工进度。负责检查工程质量，采取实物见证送样，抽验数据并记录；负责监督、检查施工安全生产，制止不安全施工作业。</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9</w:t>
      </w:r>
      <w:r>
        <w:rPr>
          <w:rFonts w:hint="eastAsia" w:ascii="宋体" w:hAnsi="宋体"/>
          <w:color w:val="auto"/>
          <w:szCs w:val="21"/>
          <w:highlight w:val="none"/>
          <w:u w:val="single"/>
          <w:lang w:val="zh-CN"/>
        </w:rPr>
        <w:t>）组织工程初检，并提出整改意见报业主，最后组织工程竣工验收，并由总监签署竣工报告。</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10</w:t>
      </w:r>
      <w:r>
        <w:rPr>
          <w:rFonts w:hint="eastAsia" w:ascii="宋体" w:hAnsi="宋体"/>
          <w:color w:val="auto"/>
          <w:szCs w:val="21"/>
          <w:highlight w:val="none"/>
          <w:u w:val="single"/>
          <w:lang w:val="zh-CN"/>
        </w:rPr>
        <w:t>）督促履行工程承包合同，主持协商合同条款变更，调解合同双方的争议。</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11</w:t>
      </w:r>
      <w:r>
        <w:rPr>
          <w:rFonts w:hint="eastAsia" w:ascii="宋体" w:hAnsi="宋体"/>
          <w:color w:val="auto"/>
          <w:szCs w:val="21"/>
          <w:highlight w:val="none"/>
          <w:u w:val="single"/>
          <w:lang w:val="zh-CN"/>
        </w:rPr>
        <w:t>）定期报送监理月报，记录监理日志。根据情况需要，不定期出具监理业务范围内的专项报告（包括质量分析报告）。</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12</w:t>
      </w:r>
      <w:r>
        <w:rPr>
          <w:rFonts w:hint="eastAsia" w:ascii="宋体" w:hAnsi="宋体"/>
          <w:color w:val="auto"/>
          <w:szCs w:val="21"/>
          <w:highlight w:val="none"/>
          <w:u w:val="single"/>
          <w:lang w:val="zh-CN"/>
        </w:rPr>
        <w:t>）督促施工承包单位依约进行工程保修验收。</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pacing w:val="-8"/>
          <w:szCs w:val="21"/>
          <w:highlight w:val="none"/>
          <w:u w:val="single"/>
          <w:lang w:val="zh-CN"/>
        </w:rPr>
      </w:pPr>
      <w:r>
        <w:rPr>
          <w:rFonts w:ascii="宋体" w:hAnsi="宋体"/>
          <w:color w:val="auto"/>
          <w:szCs w:val="21"/>
          <w:highlight w:val="none"/>
          <w:u w:val="single"/>
          <w:lang w:val="zh-CN"/>
        </w:rPr>
        <w:t>13</w:t>
      </w:r>
      <w:r>
        <w:rPr>
          <w:rFonts w:hint="eastAsia" w:ascii="宋体" w:hAnsi="宋体"/>
          <w:color w:val="auto"/>
          <w:szCs w:val="21"/>
          <w:highlight w:val="none"/>
          <w:u w:val="single"/>
          <w:lang w:val="zh-CN"/>
        </w:rPr>
        <w:t>）建设监理业务完成后，向项目法人提交三套系统、完整、规范的工程监理资料（含工程监理影像资料）验收存档，同时负责督促施工单位（含所有分包单位）</w:t>
      </w:r>
      <w:r>
        <w:rPr>
          <w:rFonts w:hint="eastAsia" w:ascii="宋体" w:hAnsi="宋体"/>
          <w:color w:val="auto"/>
          <w:spacing w:val="-8"/>
          <w:szCs w:val="21"/>
          <w:highlight w:val="none"/>
          <w:u w:val="single"/>
          <w:lang w:val="zh-CN"/>
        </w:rPr>
        <w:t>完成竣工图及竣工资料（含相关图片、影像资料、电子版等），经核验后归档。</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监理与相关服务依据</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r>
        <w:rPr>
          <w:rFonts w:ascii="宋体" w:hAnsi="宋体"/>
          <w:color w:val="auto"/>
          <w:szCs w:val="21"/>
          <w:highlight w:val="none"/>
          <w:u w:val="single"/>
          <w:lang w:val="zh-CN"/>
        </w:rPr>
        <w:t>1</w:t>
      </w:r>
      <w:r>
        <w:rPr>
          <w:rFonts w:hint="eastAsia" w:ascii="宋体" w:hAnsi="宋体"/>
          <w:color w:val="auto"/>
          <w:szCs w:val="21"/>
          <w:highlight w:val="none"/>
          <w:u w:val="single"/>
          <w:lang w:val="zh-CN"/>
        </w:rPr>
        <w:t>、国家和地方现行的法律、行政法规及部门规章；</w:t>
      </w:r>
      <w:r>
        <w:rPr>
          <w:rFonts w:ascii="宋体" w:hAnsi="宋体"/>
          <w:color w:val="auto"/>
          <w:szCs w:val="21"/>
          <w:highlight w:val="none"/>
          <w:u w:val="single"/>
          <w:lang w:val="zh-CN"/>
        </w:rPr>
        <w:t>2</w:t>
      </w:r>
      <w:r>
        <w:rPr>
          <w:rFonts w:hint="eastAsia" w:ascii="宋体" w:hAnsi="宋体"/>
          <w:color w:val="auto"/>
          <w:szCs w:val="21"/>
          <w:highlight w:val="none"/>
          <w:u w:val="single"/>
          <w:lang w:val="zh-CN"/>
        </w:rPr>
        <w:t>、与工程有关的规范、标准；</w:t>
      </w:r>
      <w:r>
        <w:rPr>
          <w:rFonts w:ascii="宋体" w:hAnsi="宋体"/>
          <w:color w:val="auto"/>
          <w:szCs w:val="21"/>
          <w:highlight w:val="none"/>
          <w:u w:val="single"/>
          <w:lang w:val="zh-CN"/>
        </w:rPr>
        <w:t>3</w:t>
      </w:r>
      <w:r>
        <w:rPr>
          <w:rFonts w:hint="eastAsia" w:ascii="宋体" w:hAnsi="宋体"/>
          <w:color w:val="auto"/>
          <w:szCs w:val="21"/>
          <w:highlight w:val="none"/>
          <w:u w:val="single"/>
          <w:lang w:val="zh-CN"/>
        </w:rPr>
        <w:t>、工程设计图纸及有关文件；</w:t>
      </w:r>
      <w:r>
        <w:rPr>
          <w:rFonts w:ascii="宋体" w:hAnsi="宋体"/>
          <w:color w:val="auto"/>
          <w:szCs w:val="21"/>
          <w:highlight w:val="none"/>
          <w:u w:val="single"/>
          <w:lang w:val="zh-CN"/>
        </w:rPr>
        <w:t>4</w:t>
      </w:r>
      <w:r>
        <w:rPr>
          <w:rFonts w:hint="eastAsia" w:ascii="宋体" w:hAnsi="宋体"/>
          <w:color w:val="auto"/>
          <w:szCs w:val="21"/>
          <w:highlight w:val="none"/>
          <w:u w:val="single"/>
          <w:lang w:val="zh-CN"/>
        </w:rPr>
        <w:t>、本合同及委托人与第三方签订的与实施工程有关的其他合同；</w:t>
      </w:r>
      <w:r>
        <w:rPr>
          <w:rFonts w:ascii="宋体" w:hAnsi="宋体"/>
          <w:color w:val="auto"/>
          <w:szCs w:val="21"/>
          <w:highlight w:val="none"/>
          <w:u w:val="single"/>
          <w:lang w:val="zh-CN"/>
        </w:rPr>
        <w:t>5</w:t>
      </w:r>
      <w:r>
        <w:rPr>
          <w:rFonts w:hint="eastAsia" w:ascii="宋体" w:hAnsi="宋体"/>
          <w:color w:val="auto"/>
          <w:szCs w:val="21"/>
          <w:highlight w:val="none"/>
          <w:u w:val="single"/>
          <w:lang w:val="zh-CN"/>
        </w:rPr>
        <w:t>、工程招、投标文件；</w:t>
      </w:r>
      <w:r>
        <w:rPr>
          <w:rFonts w:ascii="宋体" w:hAnsi="宋体"/>
          <w:color w:val="auto"/>
          <w:szCs w:val="21"/>
          <w:highlight w:val="none"/>
          <w:u w:val="single"/>
          <w:lang w:val="zh-CN"/>
        </w:rPr>
        <w:t>6</w:t>
      </w:r>
      <w:r>
        <w:rPr>
          <w:rFonts w:hint="eastAsia" w:ascii="宋体" w:hAnsi="宋体"/>
          <w:color w:val="auto"/>
          <w:szCs w:val="21"/>
          <w:highlight w:val="none"/>
          <w:u w:val="single"/>
          <w:lang w:val="zh-CN"/>
        </w:rPr>
        <w:t>、工程施工过程中委托人提出的相关要求。</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2.3</w:t>
      </w:r>
      <w:r>
        <w:rPr>
          <w:rFonts w:hint="eastAsia" w:ascii="宋体" w:hAnsi="宋体" w:cs="宋体"/>
          <w:color w:val="auto"/>
          <w:kern w:val="0"/>
          <w:szCs w:val="21"/>
          <w:highlight w:val="none"/>
        </w:rPr>
        <w:t>项目监理机构和人员</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2.3.4 </w:t>
      </w:r>
      <w:r>
        <w:rPr>
          <w:rFonts w:hint="eastAsia" w:ascii="宋体" w:hAnsi="宋体" w:cs="宋体"/>
          <w:color w:val="auto"/>
          <w:kern w:val="0"/>
          <w:szCs w:val="21"/>
          <w:highlight w:val="none"/>
        </w:rPr>
        <w:t>更换监理人员的其他情形：</w:t>
      </w:r>
      <w:r>
        <w:rPr>
          <w:rFonts w:ascii="宋体" w:hAnsi="宋体" w:cs="宋体"/>
          <w:color w:val="auto"/>
          <w:kern w:val="0"/>
          <w:szCs w:val="21"/>
          <w:highlight w:val="none"/>
          <w:u w:val="single"/>
        </w:rPr>
        <w:t xml:space="preserve"> </w:t>
      </w:r>
      <w:r>
        <w:rPr>
          <w:rFonts w:hint="eastAsia" w:ascii="宋体" w:hAnsi="宋体"/>
          <w:color w:val="auto"/>
          <w:szCs w:val="21"/>
          <w:highlight w:val="none"/>
          <w:u w:val="single"/>
          <w:lang w:val="zh-CN"/>
        </w:rPr>
        <w:t>替换人员资质及能力须与被替换人员相等，经相关行政部门审核通过，征得委托人同意后方可更换</w:t>
      </w:r>
      <w:r>
        <w:rPr>
          <w:rFonts w:ascii="宋体" w:hAnsi="宋体"/>
          <w:color w:val="auto"/>
          <w:szCs w:val="21"/>
          <w:highlight w:val="none"/>
          <w:u w:val="single"/>
          <w:lang w:val="zh-CN"/>
        </w:rPr>
        <w:t xml:space="preserve">  </w:t>
      </w:r>
      <w:r>
        <w:rPr>
          <w:rFonts w:hint="eastAsia" w:ascii="宋体" w:hAnsi="宋体" w:cs="宋体"/>
          <w:color w:val="auto"/>
          <w:kern w:val="0"/>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2.4 </w:t>
      </w:r>
      <w:r>
        <w:rPr>
          <w:rFonts w:hint="eastAsia" w:ascii="宋体" w:hAnsi="宋体" w:cs="宋体"/>
          <w:color w:val="auto"/>
          <w:kern w:val="0"/>
          <w:szCs w:val="21"/>
          <w:highlight w:val="none"/>
        </w:rPr>
        <w:t>履行职责</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2.4.3 </w:t>
      </w:r>
      <w:r>
        <w:rPr>
          <w:rFonts w:hint="eastAsia" w:ascii="宋体" w:hAnsi="宋体" w:cs="宋体"/>
          <w:color w:val="auto"/>
          <w:szCs w:val="21"/>
          <w:highlight w:val="none"/>
        </w:rPr>
        <w:t>对监理人的授权范围：</w:t>
      </w:r>
      <w:r>
        <w:rPr>
          <w:rFonts w:ascii="宋体" w:hAnsi="宋体" w:cs="宋体"/>
          <w:color w:val="auto"/>
          <w:szCs w:val="21"/>
          <w:highlight w:val="none"/>
          <w:u w:val="single"/>
        </w:rPr>
        <w:t xml:space="preserve"> </w:t>
      </w:r>
      <w:r>
        <w:rPr>
          <w:rFonts w:hint="eastAsia" w:ascii="宋体" w:hAnsi="宋体"/>
          <w:color w:val="auto"/>
          <w:szCs w:val="21"/>
          <w:highlight w:val="none"/>
          <w:u w:val="single"/>
        </w:rPr>
        <w:t>在施工阶段对建设工程质量、进度、造价进行控制</w:t>
      </w:r>
      <w:r>
        <w:rPr>
          <w:rFonts w:hint="eastAsia" w:ascii="宋体" w:hAnsi="宋体" w:cs="宋体"/>
          <w:color w:val="auto"/>
          <w:kern w:val="0"/>
          <w:szCs w:val="21"/>
          <w:highlight w:val="none"/>
          <w:u w:val="single"/>
        </w:rPr>
        <w:t>（涉及工程造价的签证、设计变更、技术方案核定等事项须征得委托人书面签证批准）</w:t>
      </w:r>
      <w:r>
        <w:rPr>
          <w:rFonts w:hint="eastAsia" w:ascii="宋体" w:hAnsi="宋体"/>
          <w:color w:val="auto"/>
          <w:szCs w:val="21"/>
          <w:highlight w:val="none"/>
          <w:u w:val="single"/>
        </w:rPr>
        <w:t>，对合同、信息进行管理，对工程建设相关方的关系进行协调，并履行建设工程安全生产管理法定职责的服务活动</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在涉及工程延期</w:t>
      </w:r>
      <w:r>
        <w:rPr>
          <w:rFonts w:ascii="宋体" w:hAnsi="宋体" w:cs="宋体"/>
          <w:color w:val="auto"/>
          <w:szCs w:val="21"/>
          <w:highlight w:val="none"/>
          <w:u w:val="single"/>
        </w:rPr>
        <w:t xml:space="preserve">  / </w:t>
      </w:r>
      <w:r>
        <w:rPr>
          <w:rFonts w:hint="eastAsia" w:ascii="宋体" w:hAnsi="宋体" w:cs="宋体"/>
          <w:color w:val="auto"/>
          <w:szCs w:val="21"/>
          <w:highlight w:val="none"/>
        </w:rPr>
        <w:t>天内和（或）金额</w:t>
      </w:r>
      <w:r>
        <w:rPr>
          <w:rFonts w:ascii="宋体" w:hAnsi="宋体" w:cs="宋体"/>
          <w:color w:val="auto"/>
          <w:szCs w:val="21"/>
          <w:highlight w:val="none"/>
          <w:u w:val="single"/>
        </w:rPr>
        <w:t xml:space="preserve"> / </w:t>
      </w:r>
      <w:r>
        <w:rPr>
          <w:rFonts w:hint="eastAsia" w:ascii="宋体" w:hAnsi="宋体" w:cs="宋体"/>
          <w:color w:val="auto"/>
          <w:szCs w:val="21"/>
          <w:highlight w:val="none"/>
        </w:rPr>
        <w:t>万元内的变更，监理人不需请示委托人即可向承包人发布变更通知。</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监理人有权要求承包人调换其人员</w:t>
      </w:r>
      <w:r>
        <w:rPr>
          <w:rFonts w:hint="eastAsia" w:ascii="宋体" w:hAnsi="宋体" w:cs="宋体"/>
          <w:color w:val="auto"/>
          <w:szCs w:val="21"/>
          <w:highlight w:val="none"/>
        </w:rPr>
        <w:t>的限制条件：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经甲方同意</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2.5 </w:t>
      </w:r>
      <w:r>
        <w:rPr>
          <w:rFonts w:hint="eastAsia" w:ascii="宋体" w:hAnsi="宋体" w:cs="宋体"/>
          <w:color w:val="auto"/>
          <w:szCs w:val="21"/>
          <w:highlight w:val="none"/>
        </w:rPr>
        <w:t>提交</w:t>
      </w:r>
      <w:r>
        <w:rPr>
          <w:rFonts w:hint="eastAsia" w:ascii="宋体" w:hAnsi="宋体" w:cs="宋体"/>
          <w:color w:val="auto"/>
          <w:kern w:val="0"/>
          <w:szCs w:val="21"/>
          <w:highlight w:val="none"/>
        </w:rPr>
        <w:t>报告</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监理人应提交报告的种类</w:t>
      </w:r>
      <w:r>
        <w:rPr>
          <w:rFonts w:ascii="宋体" w:hAnsi="宋体" w:cs="宋体"/>
          <w:color w:val="auto"/>
          <w:szCs w:val="21"/>
          <w:highlight w:val="none"/>
        </w:rPr>
        <w:t>(</w:t>
      </w:r>
      <w:r>
        <w:rPr>
          <w:rFonts w:hint="eastAsia" w:ascii="宋体" w:hAnsi="宋体" w:cs="宋体"/>
          <w:color w:val="auto"/>
          <w:kern w:val="0"/>
          <w:szCs w:val="21"/>
          <w:highlight w:val="none"/>
        </w:rPr>
        <w:t>包括监理规划、监理月报及约定的专项报告</w:t>
      </w:r>
      <w:r>
        <w:rPr>
          <w:rFonts w:ascii="宋体" w:hAnsi="宋体" w:cs="宋体"/>
          <w:color w:val="auto"/>
          <w:kern w:val="0"/>
          <w:szCs w:val="21"/>
          <w:highlight w:val="none"/>
        </w:rPr>
        <w:t>)</w:t>
      </w:r>
      <w:r>
        <w:rPr>
          <w:rFonts w:hint="eastAsia" w:ascii="宋体" w:hAnsi="宋体" w:cs="宋体"/>
          <w:color w:val="auto"/>
          <w:szCs w:val="21"/>
          <w:highlight w:val="none"/>
        </w:rPr>
        <w:t>、时间和份数</w:t>
      </w:r>
      <w:r>
        <w:rPr>
          <w:rFonts w:hint="eastAsia" w:ascii="宋体" w:hAnsi="宋体" w:cs="宋体"/>
          <w:color w:val="auto"/>
          <w:kern w:val="0"/>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第一次会议前提交监理规划，每月的</w:t>
      </w:r>
      <w:r>
        <w:rPr>
          <w:rFonts w:ascii="宋体" w:hAnsi="宋体" w:cs="宋体"/>
          <w:color w:val="auto"/>
          <w:szCs w:val="21"/>
          <w:highlight w:val="none"/>
          <w:u w:val="single"/>
        </w:rPr>
        <w:t xml:space="preserve"> 25 </w:t>
      </w:r>
      <w:r>
        <w:rPr>
          <w:rFonts w:hint="eastAsia" w:ascii="宋体" w:hAnsi="宋体" w:cs="宋体"/>
          <w:color w:val="auto"/>
          <w:szCs w:val="21"/>
          <w:highlight w:val="none"/>
          <w:u w:val="single"/>
        </w:rPr>
        <w:t>日提供监理月报；专项报告在委托人指令下达的第二天</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2.7 </w:t>
      </w:r>
      <w:r>
        <w:rPr>
          <w:rFonts w:hint="eastAsia" w:ascii="宋体" w:hAnsi="宋体" w:cs="宋体"/>
          <w:color w:val="auto"/>
          <w:kern w:val="0"/>
          <w:szCs w:val="21"/>
          <w:highlight w:val="none"/>
        </w:rPr>
        <w:t>使用委托人的财产</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中由委托人无偿提供的房屋、设备的所有权属于：</w:t>
      </w:r>
      <w:r>
        <w:rPr>
          <w:rFonts w:ascii="宋体" w:hAnsi="宋体" w:cs="宋体"/>
          <w:color w:val="auto"/>
          <w:szCs w:val="21"/>
          <w:highlight w:val="none"/>
          <w:u w:val="single"/>
        </w:rPr>
        <w:t xml:space="preserve"> </w:t>
      </w:r>
      <w:r>
        <w:rPr>
          <w:rFonts w:hint="eastAsia" w:ascii="宋体" w:hAnsi="宋体"/>
          <w:color w:val="auto"/>
          <w:szCs w:val="21"/>
          <w:highlight w:val="none"/>
          <w:u w:val="singl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监理人应在本合同终止后</w:t>
      </w:r>
      <w:r>
        <w:rPr>
          <w:rFonts w:ascii="宋体" w:hAnsi="宋体" w:cs="宋体"/>
          <w:color w:val="auto"/>
          <w:szCs w:val="21"/>
          <w:highlight w:val="none"/>
          <w:u w:val="single"/>
        </w:rPr>
        <w:t xml:space="preserve"> 30 </w:t>
      </w:r>
      <w:r>
        <w:rPr>
          <w:rFonts w:hint="eastAsia" w:ascii="宋体" w:hAnsi="宋体" w:cs="宋体"/>
          <w:color w:val="auto"/>
          <w:szCs w:val="21"/>
          <w:highlight w:val="none"/>
        </w:rPr>
        <w:t>天内移交委托人无偿提供的房屋、设备，移交的时间和方式为：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实物验收现场移交</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rPr>
          <w:rFonts w:ascii="宋体" w:cs="宋体"/>
          <w:b/>
          <w:color w:val="auto"/>
          <w:szCs w:val="21"/>
          <w:highlight w:val="none"/>
        </w:rPr>
      </w:pPr>
      <w:r>
        <w:rPr>
          <w:rFonts w:ascii="宋体" w:hAnsi="宋体" w:cs="宋体"/>
          <w:b/>
          <w:color w:val="auto"/>
          <w:kern w:val="0"/>
          <w:szCs w:val="21"/>
          <w:highlight w:val="none"/>
        </w:rPr>
        <w:t xml:space="preserve">3. </w:t>
      </w:r>
      <w:r>
        <w:rPr>
          <w:rFonts w:hint="eastAsia" w:ascii="宋体" w:hAnsi="宋体" w:cs="宋体"/>
          <w:b/>
          <w:color w:val="auto"/>
          <w:kern w:val="0"/>
          <w:szCs w:val="21"/>
          <w:highlight w:val="none"/>
        </w:rPr>
        <w:t>委托人义务</w:t>
      </w:r>
      <w:r>
        <w:rPr>
          <w:rFonts w:ascii="宋体" w:hAnsi="宋体" w:cs="宋体"/>
          <w:b/>
          <w:color w:val="auto"/>
          <w:kern w:val="0"/>
          <w:szCs w:val="21"/>
          <w:highlight w:val="none"/>
        </w:rPr>
        <w:t xml:space="preserve">  </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委托人代表为：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委托人同意在</w:t>
      </w:r>
      <w:r>
        <w:rPr>
          <w:rFonts w:ascii="宋体" w:hAnsi="宋体" w:cs="宋体"/>
          <w:color w:val="auto"/>
          <w:szCs w:val="21"/>
          <w:highlight w:val="none"/>
          <w:u w:val="single"/>
        </w:rPr>
        <w:t xml:space="preserve"> 7 </w:t>
      </w:r>
      <w:r>
        <w:rPr>
          <w:rFonts w:hint="eastAsia" w:ascii="宋体" w:hAnsi="宋体" w:cs="宋体"/>
          <w:color w:val="auto"/>
          <w:szCs w:val="21"/>
          <w:highlight w:val="none"/>
        </w:rPr>
        <w:t>天内，对监理人书面提交并要求做出决定的事宜给予书面答复。</w:t>
      </w:r>
    </w:p>
    <w:p>
      <w:pPr>
        <w:adjustRightInd w:val="0"/>
        <w:snapToGrid w:val="0"/>
        <w:spacing w:line="360" w:lineRule="auto"/>
        <w:rPr>
          <w:rFonts w:ascii="宋体" w:cs="宋体"/>
          <w:b/>
          <w:bCs/>
          <w:color w:val="auto"/>
          <w:szCs w:val="21"/>
          <w:highlight w:val="none"/>
        </w:rPr>
      </w:pPr>
      <w:r>
        <w:rPr>
          <w:rFonts w:ascii="宋体" w:hAnsi="宋体" w:cs="宋体"/>
          <w:b/>
          <w:bCs/>
          <w:color w:val="auto"/>
          <w:szCs w:val="21"/>
          <w:highlight w:val="none"/>
        </w:rPr>
        <w:t xml:space="preserve">4. </w:t>
      </w:r>
      <w:r>
        <w:rPr>
          <w:rFonts w:hint="eastAsia" w:ascii="宋体" w:hAnsi="宋体" w:cs="宋体"/>
          <w:b/>
          <w:bCs/>
          <w:color w:val="auto"/>
          <w:szCs w:val="21"/>
          <w:highlight w:val="none"/>
        </w:rPr>
        <w:t>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4.1.1</w:t>
      </w:r>
      <w:r>
        <w:rPr>
          <w:rFonts w:hint="eastAsia" w:ascii="宋体" w:hAnsi="宋体" w:cs="宋体"/>
          <w:color w:val="auto"/>
          <w:kern w:val="0"/>
          <w:szCs w:val="21"/>
          <w:highlight w:val="none"/>
        </w:rPr>
        <w:t>监理人赔偿金额按下列方法确定：</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4.2.3 </w:t>
      </w:r>
      <w:r>
        <w:rPr>
          <w:rFonts w:hint="eastAsia" w:ascii="宋体" w:hAnsi="宋体" w:cs="宋体"/>
          <w:color w:val="auto"/>
          <w:szCs w:val="21"/>
          <w:highlight w:val="none"/>
        </w:rPr>
        <w:t>委托人</w:t>
      </w:r>
      <w:r>
        <w:rPr>
          <w:rFonts w:hint="eastAsia" w:ascii="宋体" w:hAnsi="宋体" w:cs="宋体"/>
          <w:color w:val="auto"/>
          <w:kern w:val="0"/>
          <w:szCs w:val="21"/>
          <w:highlight w:val="none"/>
        </w:rPr>
        <w:t>逾期付款利息按下列方法确定：</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逾期付款利息＝当期应付款总额×银行同期贷款利率×拖延支付天数</w:t>
      </w:r>
    </w:p>
    <w:p>
      <w:pPr>
        <w:snapToGrid w:val="0"/>
        <w:spacing w:line="360" w:lineRule="auto"/>
        <w:rPr>
          <w:rFonts w:ascii="宋体" w:cs="宋体"/>
          <w:b/>
          <w:color w:val="auto"/>
          <w:szCs w:val="21"/>
          <w:highlight w:val="none"/>
        </w:rPr>
      </w:pPr>
      <w:r>
        <w:rPr>
          <w:rFonts w:ascii="宋体" w:hAnsi="宋体" w:cs="宋体"/>
          <w:b/>
          <w:bCs/>
          <w:color w:val="auto"/>
          <w:szCs w:val="21"/>
          <w:highlight w:val="none"/>
        </w:rPr>
        <w:t xml:space="preserve">5. </w:t>
      </w:r>
      <w:r>
        <w:rPr>
          <w:rFonts w:hint="eastAsia" w:ascii="宋体" w:hAnsi="宋体" w:cs="宋体"/>
          <w:b/>
          <w:bCs/>
          <w:color w:val="auto"/>
          <w:szCs w:val="21"/>
          <w:highlight w:val="none"/>
        </w:rPr>
        <w:t>支付</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5.1 </w:t>
      </w:r>
      <w:r>
        <w:rPr>
          <w:rFonts w:hint="eastAsia" w:ascii="宋体" w:hAnsi="宋体" w:cs="宋体"/>
          <w:bCs/>
          <w:color w:val="auto"/>
          <w:szCs w:val="21"/>
          <w:highlight w:val="none"/>
        </w:rPr>
        <w:t>支付</w:t>
      </w:r>
    </w:p>
    <w:p>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中标价即为合同价。最终监理费</w:t>
      </w:r>
      <w:r>
        <w:rPr>
          <w:rFonts w:ascii="宋体" w:hAnsi="宋体" w:cs="宋体"/>
          <w:bCs/>
          <w:color w:val="auto"/>
          <w:szCs w:val="21"/>
          <w:highlight w:val="none"/>
        </w:rPr>
        <w:t>=</w:t>
      </w:r>
      <w:r>
        <w:rPr>
          <w:rFonts w:hint="eastAsia" w:ascii="宋体" w:hAnsi="宋体" w:cs="宋体"/>
          <w:bCs/>
          <w:color w:val="auto"/>
          <w:szCs w:val="21"/>
          <w:highlight w:val="none"/>
        </w:rPr>
        <w:t>工程施工结算审定价</w:t>
      </w:r>
      <w:r>
        <w:rPr>
          <w:rFonts w:ascii="宋体" w:hAnsi="宋体" w:cs="宋体"/>
          <w:bCs/>
          <w:color w:val="auto"/>
          <w:szCs w:val="21"/>
          <w:highlight w:val="none"/>
        </w:rPr>
        <w:t>*</w:t>
      </w:r>
      <w:r>
        <w:rPr>
          <w:rFonts w:hint="eastAsia" w:ascii="宋体" w:hAnsi="宋体" w:cs="宋体"/>
          <w:bCs/>
          <w:color w:val="auto"/>
          <w:szCs w:val="21"/>
          <w:highlight w:val="none"/>
        </w:rPr>
        <w:t>监理中标价</w:t>
      </w:r>
      <w:r>
        <w:rPr>
          <w:rFonts w:ascii="宋体" w:hAnsi="宋体" w:cs="宋体"/>
          <w:bCs/>
          <w:color w:val="auto"/>
          <w:szCs w:val="21"/>
          <w:highlight w:val="none"/>
        </w:rPr>
        <w:t>/</w:t>
      </w:r>
      <w:r>
        <w:rPr>
          <w:rFonts w:hint="eastAsia" w:ascii="宋体" w:hAnsi="宋体" w:cs="宋体"/>
          <w:color w:val="auto"/>
          <w:szCs w:val="21"/>
          <w:highlight w:val="none"/>
          <w:lang w:val="en-US" w:eastAsia="zh-CN"/>
        </w:rPr>
        <w:t>1553.18</w:t>
      </w:r>
      <w:r>
        <w:rPr>
          <w:rFonts w:hint="eastAsia" w:ascii="宋体" w:hAnsi="宋体" w:cs="宋体"/>
          <w:bCs/>
          <w:color w:val="auto"/>
          <w:szCs w:val="21"/>
          <w:highlight w:val="none"/>
        </w:rPr>
        <w:t>万元，公式中的金额单位为万元。</w:t>
      </w:r>
    </w:p>
    <w:p>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 xml:space="preserve">5.2 </w:t>
      </w:r>
      <w:r>
        <w:rPr>
          <w:rFonts w:hint="eastAsia" w:ascii="宋体" w:hAnsi="宋体" w:cs="宋体"/>
          <w:bCs/>
          <w:color w:val="auto"/>
          <w:szCs w:val="21"/>
          <w:highlight w:val="none"/>
        </w:rPr>
        <w:t>监理费支付进度</w:t>
      </w:r>
      <w:r>
        <w:rPr>
          <w:rFonts w:ascii="宋体" w:hAnsi="宋体" w:cs="宋体"/>
          <w:bCs/>
          <w:color w:val="auto"/>
          <w:szCs w:val="21"/>
          <w:highlight w:val="none"/>
        </w:rPr>
        <w:t xml:space="preserve"> </w:t>
      </w:r>
    </w:p>
    <w:p>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工程竣工验收合格且监理资料归档完成后付至监理费的</w:t>
      </w:r>
      <w:r>
        <w:rPr>
          <w:rFonts w:ascii="宋体" w:hAnsi="宋体" w:cs="宋体"/>
          <w:bCs/>
          <w:color w:val="auto"/>
          <w:szCs w:val="21"/>
          <w:highlight w:val="none"/>
        </w:rPr>
        <w:t>70%</w:t>
      </w:r>
      <w:r>
        <w:rPr>
          <w:rFonts w:hint="eastAsia" w:ascii="宋体" w:hAnsi="宋体" w:cs="宋体"/>
          <w:bCs/>
          <w:color w:val="auto"/>
          <w:szCs w:val="21"/>
          <w:highlight w:val="none"/>
        </w:rPr>
        <w:t>，工程结算审计结束后付至监理费的100</w:t>
      </w:r>
      <w:r>
        <w:rPr>
          <w:rFonts w:ascii="宋体" w:hAnsi="宋体" w:cs="宋体"/>
          <w:bCs/>
          <w:color w:val="auto"/>
          <w:szCs w:val="21"/>
          <w:highlight w:val="none"/>
        </w:rPr>
        <w:t>%</w:t>
      </w:r>
      <w:r>
        <w:rPr>
          <w:rFonts w:hint="eastAsia" w:ascii="宋体" w:hAnsi="宋体" w:cs="宋体"/>
          <w:bCs/>
          <w:color w:val="auto"/>
          <w:szCs w:val="21"/>
          <w:highlight w:val="none"/>
        </w:rPr>
        <w:t>。所有款项支付均需要出具正式税务发票方能支付。</w:t>
      </w:r>
    </w:p>
    <w:p>
      <w:pPr>
        <w:snapToGrid w:val="0"/>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监理费不因工期长短等原因而调整。</w:t>
      </w:r>
    </w:p>
    <w:p>
      <w:pPr>
        <w:snapToGrid w:val="0"/>
        <w:spacing w:line="360" w:lineRule="auto"/>
        <w:rPr>
          <w:rFonts w:ascii="宋体" w:cs="宋体"/>
          <w:b/>
          <w:bCs/>
          <w:color w:val="auto"/>
          <w:szCs w:val="21"/>
          <w:highlight w:val="none"/>
        </w:rPr>
      </w:pPr>
      <w:r>
        <w:rPr>
          <w:rFonts w:ascii="宋体" w:hAnsi="宋体" w:cs="宋体"/>
          <w:bCs/>
          <w:color w:val="auto"/>
          <w:szCs w:val="21"/>
          <w:highlight w:val="none"/>
        </w:rPr>
        <w:t>6</w:t>
      </w:r>
      <w:r>
        <w:rPr>
          <w:rFonts w:ascii="宋体" w:hAnsi="宋体" w:cs="宋体"/>
          <w:b/>
          <w:bCs/>
          <w:color w:val="auto"/>
          <w:szCs w:val="21"/>
          <w:highlight w:val="none"/>
        </w:rPr>
        <w:t xml:space="preserve">. </w:t>
      </w:r>
      <w:r>
        <w:rPr>
          <w:rFonts w:hint="eastAsia" w:ascii="宋体" w:hAnsi="宋体" w:cs="宋体"/>
          <w:b/>
          <w:bCs/>
          <w:color w:val="auto"/>
          <w:szCs w:val="21"/>
          <w:highlight w:val="none"/>
        </w:rPr>
        <w:t>合同生效、变更、暂停、解除与终止</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6.1 </w:t>
      </w:r>
      <w:r>
        <w:rPr>
          <w:rFonts w:hint="eastAsia" w:ascii="宋体" w:hAnsi="宋体" w:cs="宋体"/>
          <w:color w:val="auto"/>
          <w:szCs w:val="21"/>
          <w:highlight w:val="none"/>
        </w:rPr>
        <w:t>生效</w:t>
      </w:r>
    </w:p>
    <w:p>
      <w:pPr>
        <w:adjustRightInd w:val="0"/>
        <w:snapToGrid w:val="0"/>
        <w:spacing w:line="360" w:lineRule="auto"/>
        <w:ind w:firstLine="480"/>
        <w:rPr>
          <w:rFonts w:ascii="宋体" w:cs="宋体"/>
          <w:color w:val="auto"/>
          <w:szCs w:val="21"/>
          <w:highlight w:val="none"/>
        </w:rPr>
      </w:pPr>
      <w:r>
        <w:rPr>
          <w:rFonts w:hint="eastAsia" w:ascii="宋体" w:hAnsi="宋体" w:cs="宋体"/>
          <w:color w:val="auto"/>
          <w:szCs w:val="21"/>
          <w:highlight w:val="none"/>
        </w:rPr>
        <w:t>本合同生效条件：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双方签字盖章后生效</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变更</w:t>
      </w:r>
    </w:p>
    <w:p>
      <w:pPr>
        <w:adjustRightInd w:val="0"/>
        <w:snapToGrid w:val="0"/>
        <w:spacing w:line="360" w:lineRule="auto"/>
        <w:ind w:firstLine="480"/>
        <w:rPr>
          <w:rFonts w:ascii="宋体" w:cs="宋体"/>
          <w:color w:val="auto"/>
          <w:szCs w:val="21"/>
          <w:highlight w:val="none"/>
        </w:rPr>
      </w:pPr>
      <w:r>
        <w:rPr>
          <w:rFonts w:ascii="宋体" w:hAnsi="宋体" w:cs="宋体"/>
          <w:color w:val="auto"/>
          <w:szCs w:val="21"/>
          <w:highlight w:val="none"/>
        </w:rPr>
        <w:t xml:space="preserve">6.2.1 </w:t>
      </w:r>
      <w:r>
        <w:rPr>
          <w:rFonts w:hint="eastAsia" w:ascii="宋体" w:hAnsi="宋体" w:cs="宋体"/>
          <w:color w:val="auto"/>
          <w:szCs w:val="21"/>
          <w:highlight w:val="none"/>
        </w:rPr>
        <w:t>工期延期监理费调整计算方法：</w:t>
      </w:r>
      <w:r>
        <w:rPr>
          <w:rFonts w:hint="eastAsia" w:ascii="宋体" w:hAnsi="宋体" w:cs="宋体"/>
          <w:color w:val="auto"/>
          <w:szCs w:val="21"/>
          <w:highlight w:val="none"/>
          <w:u w:val="single"/>
        </w:rPr>
        <w:t>不调整</w:t>
      </w:r>
      <w:r>
        <w:rPr>
          <w:rFonts w:hint="eastAsia" w:ascii="宋体" w:hAnsi="宋体" w:cs="宋体"/>
          <w:color w:val="auto"/>
          <w:szCs w:val="21"/>
          <w:highlight w:val="none"/>
        </w:rPr>
        <w:t>。</w:t>
      </w:r>
      <w:r>
        <w:rPr>
          <w:rFonts w:ascii="宋体" w:hAnsi="宋体" w:cs="宋体"/>
          <w:color w:val="auto"/>
          <w:szCs w:val="21"/>
          <w:highlight w:val="none"/>
        </w:rPr>
        <w:t xml:space="preserve"> </w:t>
      </w:r>
    </w:p>
    <w:p>
      <w:pPr>
        <w:adjustRightInd w:val="0"/>
        <w:snapToGrid w:val="0"/>
        <w:spacing w:line="360" w:lineRule="auto"/>
        <w:ind w:firstLine="48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因工程规模、监理范围的变化导致监理人的正常工作量减少时，按减少工作量的比例从协议书约定的正常工作费用中扣减相同比例的监理费。</w:t>
      </w:r>
      <w:r>
        <w:rPr>
          <w:rFonts w:ascii="宋体" w:hAnsi="宋体" w:cs="宋体"/>
          <w:color w:val="auto"/>
          <w:szCs w:val="21"/>
          <w:highlight w:val="none"/>
        </w:rPr>
        <w:t xml:space="preserve"> </w:t>
      </w:r>
    </w:p>
    <w:p>
      <w:pPr>
        <w:snapToGrid w:val="0"/>
        <w:spacing w:line="360" w:lineRule="auto"/>
        <w:rPr>
          <w:rFonts w:ascii="宋体" w:cs="宋体"/>
          <w:b/>
          <w:color w:val="auto"/>
          <w:szCs w:val="21"/>
          <w:highlight w:val="none"/>
        </w:rPr>
      </w:pPr>
      <w:r>
        <w:rPr>
          <w:rFonts w:ascii="宋体" w:hAnsi="宋体" w:cs="宋体"/>
          <w:b/>
          <w:bCs/>
          <w:color w:val="auto"/>
          <w:szCs w:val="21"/>
          <w:highlight w:val="none"/>
        </w:rPr>
        <w:t xml:space="preserve">7. </w:t>
      </w:r>
      <w:r>
        <w:rPr>
          <w:rFonts w:hint="eastAsia" w:ascii="宋体" w:hAnsi="宋体" w:cs="宋体"/>
          <w:b/>
          <w:bCs/>
          <w:color w:val="auto"/>
          <w:szCs w:val="21"/>
          <w:highlight w:val="none"/>
        </w:rPr>
        <w:t>争议解决</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7.2 </w:t>
      </w:r>
      <w:r>
        <w:rPr>
          <w:rFonts w:hint="eastAsia" w:ascii="宋体" w:hAnsi="宋体" w:cs="宋体"/>
          <w:bCs/>
          <w:color w:val="auto"/>
          <w:szCs w:val="21"/>
          <w:highlight w:val="none"/>
        </w:rPr>
        <w:t>调解</w:t>
      </w:r>
    </w:p>
    <w:p>
      <w:pPr>
        <w:snapToGrid w:val="0"/>
        <w:spacing w:line="360" w:lineRule="auto"/>
        <w:ind w:firstLine="411" w:firstLineChars="196"/>
        <w:rPr>
          <w:rFonts w:ascii="宋体" w:cs="宋体"/>
          <w:color w:val="auto"/>
          <w:szCs w:val="21"/>
          <w:highlight w:val="none"/>
        </w:rPr>
      </w:pPr>
      <w:r>
        <w:rPr>
          <w:rFonts w:hint="eastAsia" w:ascii="宋体" w:hAnsi="宋体" w:cs="宋体"/>
          <w:color w:val="auto"/>
          <w:szCs w:val="21"/>
          <w:highlight w:val="none"/>
        </w:rPr>
        <w:t>本合同争议进行调解时，可提交</w:t>
      </w:r>
      <w:r>
        <w:rPr>
          <w:rFonts w:ascii="宋体" w:hAnsi="宋体" w:cs="宋体"/>
          <w:color w:val="auto"/>
          <w:szCs w:val="21"/>
          <w:highlight w:val="none"/>
          <w:u w:val="single"/>
        </w:rPr>
        <w:t xml:space="preserve"> </w:t>
      </w:r>
      <w:r>
        <w:rPr>
          <w:rFonts w:hint="eastAsia" w:ascii="宋体" w:hAnsi="宋体"/>
          <w:color w:val="auto"/>
          <w:szCs w:val="21"/>
          <w:highlight w:val="none"/>
          <w:u w:val="single"/>
        </w:rPr>
        <w:t>工程所在地建设主管部门</w:t>
      </w:r>
      <w:r>
        <w:rPr>
          <w:rFonts w:ascii="宋体" w:hAnsi="宋体" w:cs="宋体"/>
          <w:color w:val="auto"/>
          <w:szCs w:val="21"/>
          <w:highlight w:val="none"/>
          <w:u w:val="single"/>
        </w:rPr>
        <w:t xml:space="preserve"> </w:t>
      </w:r>
      <w:r>
        <w:rPr>
          <w:rFonts w:hint="eastAsia" w:ascii="宋体" w:hAnsi="宋体" w:cs="宋体"/>
          <w:color w:val="auto"/>
          <w:szCs w:val="21"/>
          <w:highlight w:val="none"/>
        </w:rPr>
        <w:t>进行调解。</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7.3 </w:t>
      </w:r>
      <w:r>
        <w:rPr>
          <w:rFonts w:hint="eastAsia" w:ascii="宋体" w:hAnsi="宋体" w:cs="宋体"/>
          <w:bCs/>
          <w:color w:val="auto"/>
          <w:szCs w:val="21"/>
          <w:highlight w:val="none"/>
        </w:rPr>
        <w:t>仲裁或诉讼</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合同争议的最终解决方式为下列第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2</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种方式：</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扬州</w:t>
      </w:r>
      <w:r>
        <w:rPr>
          <w:rFonts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项目所在地</w:t>
      </w:r>
      <w:r>
        <w:rPr>
          <w:rFonts w:ascii="宋体" w:hAnsi="宋体" w:cs="宋体"/>
          <w:color w:val="auto"/>
          <w:szCs w:val="21"/>
          <w:highlight w:val="none"/>
          <w:u w:val="single"/>
        </w:rPr>
        <w:t xml:space="preserve"> </w:t>
      </w:r>
      <w:r>
        <w:rPr>
          <w:rFonts w:hint="eastAsia" w:ascii="宋体" w:hAnsi="宋体" w:cs="宋体"/>
          <w:color w:val="auto"/>
          <w:szCs w:val="21"/>
          <w:highlight w:val="none"/>
        </w:rPr>
        <w:t>人民法院提起诉讼。</w:t>
      </w:r>
    </w:p>
    <w:p>
      <w:pPr>
        <w:adjustRightInd w:val="0"/>
        <w:snapToGrid w:val="0"/>
        <w:spacing w:line="360" w:lineRule="auto"/>
        <w:rPr>
          <w:rFonts w:ascii="宋体" w:cs="宋体"/>
          <w:b/>
          <w:bCs/>
          <w:color w:val="auto"/>
          <w:szCs w:val="21"/>
          <w:highlight w:val="none"/>
        </w:rPr>
      </w:pPr>
      <w:r>
        <w:rPr>
          <w:rFonts w:ascii="宋体" w:hAnsi="宋体" w:cs="宋体"/>
          <w:b/>
          <w:bCs/>
          <w:color w:val="auto"/>
          <w:szCs w:val="21"/>
          <w:highlight w:val="none"/>
        </w:rPr>
        <w:t xml:space="preserve">8. </w:t>
      </w:r>
      <w:r>
        <w:rPr>
          <w:rFonts w:hint="eastAsia" w:ascii="宋体" w:hAnsi="宋体" w:cs="宋体"/>
          <w:b/>
          <w:bCs/>
          <w:color w:val="auto"/>
          <w:szCs w:val="21"/>
          <w:highlight w:val="none"/>
        </w:rPr>
        <w:t>其他</w:t>
      </w:r>
    </w:p>
    <w:p>
      <w:pPr>
        <w:adjustRightInd w:val="0"/>
        <w:snapToGrid w:val="0"/>
        <w:spacing w:line="360" w:lineRule="auto"/>
        <w:rPr>
          <w:rFonts w:ascii="宋体" w:cs="宋体"/>
          <w:bCs/>
          <w:color w:val="auto"/>
          <w:szCs w:val="21"/>
          <w:highlight w:val="none"/>
        </w:rPr>
      </w:pP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ascii="宋体" w:hAnsi="宋体" w:cs="宋体"/>
          <w:bCs/>
          <w:color w:val="auto"/>
          <w:szCs w:val="21"/>
          <w:highlight w:val="none"/>
        </w:rPr>
        <w:t xml:space="preserve">8.2 </w:t>
      </w:r>
      <w:r>
        <w:rPr>
          <w:rFonts w:hint="eastAsia" w:ascii="宋体" w:hAnsi="宋体" w:cs="宋体"/>
          <w:bCs/>
          <w:color w:val="auto"/>
          <w:szCs w:val="21"/>
          <w:highlight w:val="none"/>
        </w:rPr>
        <w:t>检测费用</w:t>
      </w:r>
    </w:p>
    <w:p>
      <w:pPr>
        <w:adjustRightInd w:val="0"/>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委托人应在检测工作完成后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天内支付检测费用。</w:t>
      </w:r>
    </w:p>
    <w:p>
      <w:pPr>
        <w:adjustRightInd w:val="0"/>
        <w:snapToGrid w:val="0"/>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 xml:space="preserve"> </w:t>
      </w:r>
      <w:r>
        <w:rPr>
          <w:rFonts w:ascii="宋体" w:hAnsi="宋体" w:cs="宋体"/>
          <w:bCs/>
          <w:color w:val="auto"/>
          <w:szCs w:val="21"/>
          <w:highlight w:val="none"/>
        </w:rPr>
        <w:t xml:space="preserve">8.3 </w:t>
      </w:r>
      <w:r>
        <w:rPr>
          <w:rFonts w:hint="eastAsia" w:ascii="宋体" w:hAnsi="宋体" w:cs="宋体"/>
          <w:bCs/>
          <w:color w:val="auto"/>
          <w:szCs w:val="21"/>
          <w:highlight w:val="none"/>
        </w:rPr>
        <w:t>咨询费用</w:t>
      </w:r>
    </w:p>
    <w:p>
      <w:pPr>
        <w:adjustRightInd w:val="0"/>
        <w:snapToGrid w:val="0"/>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委托人应在咨询工作完成后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天内支付咨询费用。</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8.4 </w:t>
      </w:r>
      <w:r>
        <w:rPr>
          <w:rFonts w:hint="eastAsia" w:ascii="宋体" w:hAnsi="宋体" w:cs="宋体"/>
          <w:color w:val="auto"/>
          <w:szCs w:val="21"/>
          <w:highlight w:val="none"/>
        </w:rPr>
        <w:t>奖励</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合理化建议的奖励金额按下列方法确定为：</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奖励金额＝工程投资节省额×奖励金额的比率；</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奖励金额的比率为</w:t>
      </w:r>
      <w:r>
        <w:rPr>
          <w:rFonts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8.6 </w:t>
      </w:r>
      <w:r>
        <w:rPr>
          <w:rFonts w:hint="eastAsia" w:ascii="宋体" w:hAnsi="宋体" w:cs="宋体"/>
          <w:color w:val="auto"/>
          <w:szCs w:val="21"/>
          <w:highlight w:val="none"/>
        </w:rPr>
        <w:t>保密</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监理人申明的保密事项和期限：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第三方申明的保密事项和期限：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60" w:lineRule="auto"/>
        <w:ind w:firstLine="415" w:firstLineChars="198"/>
        <w:rPr>
          <w:rFonts w:ascii="宋体" w:cs="宋体"/>
          <w:bCs/>
          <w:color w:val="auto"/>
          <w:szCs w:val="21"/>
          <w:highlight w:val="none"/>
        </w:rPr>
      </w:pPr>
      <w:r>
        <w:rPr>
          <w:rFonts w:ascii="宋体" w:hAnsi="宋体" w:cs="宋体"/>
          <w:color w:val="auto"/>
          <w:szCs w:val="21"/>
          <w:highlight w:val="none"/>
        </w:rPr>
        <w:t>8.8</w:t>
      </w:r>
      <w:r>
        <w:rPr>
          <w:rFonts w:hint="eastAsia" w:ascii="宋体" w:hAnsi="宋体" w:cs="宋体"/>
          <w:bCs/>
          <w:color w:val="auto"/>
          <w:szCs w:val="21"/>
          <w:highlight w:val="none"/>
        </w:rPr>
        <w:t>著作权</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监理人在本合同履行期间及本合同终止后两年内出版涉及本工程的有关监理与相关服务的资料的限制条件：</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rPr>
          <w:rFonts w:ascii="宋体"/>
          <w:b/>
          <w:bCs/>
          <w:color w:val="auto"/>
          <w:spacing w:val="-8"/>
          <w:szCs w:val="21"/>
          <w:highlight w:val="none"/>
        </w:rPr>
      </w:pPr>
      <w:r>
        <w:rPr>
          <w:rFonts w:ascii="宋体" w:hAnsi="宋体" w:cs="宋体"/>
          <w:b/>
          <w:bCs/>
          <w:color w:val="auto"/>
          <w:szCs w:val="21"/>
          <w:highlight w:val="none"/>
        </w:rPr>
        <w:t xml:space="preserve">9. </w:t>
      </w:r>
      <w:r>
        <w:rPr>
          <w:rFonts w:hint="eastAsia" w:ascii="宋体" w:hAnsi="宋体" w:cs="宋体"/>
          <w:b/>
          <w:bCs/>
          <w:color w:val="auto"/>
          <w:szCs w:val="21"/>
          <w:highlight w:val="none"/>
        </w:rPr>
        <w:t>补充条款</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施工阶段监理的具体工作内容及要求：合同签订时补充约定。</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）进场监理人员必须与投标文件及中标通知书中的</w:t>
      </w:r>
      <w:r>
        <w:rPr>
          <w:rFonts w:hint="eastAsia" w:ascii="宋体" w:cs="宋体"/>
          <w:color w:val="auto"/>
          <w:szCs w:val="21"/>
          <w:highlight w:val="none"/>
        </w:rPr>
        <w:t>“</w:t>
      </w:r>
      <w:r>
        <w:rPr>
          <w:rFonts w:hint="eastAsia" w:ascii="宋体" w:hAnsi="宋体" w:cs="宋体"/>
          <w:color w:val="auto"/>
          <w:szCs w:val="21"/>
          <w:highlight w:val="none"/>
        </w:rPr>
        <w:t>监理人员</w:t>
      </w:r>
      <w:r>
        <w:rPr>
          <w:rFonts w:hint="eastAsia" w:ascii="宋体" w:cs="宋体"/>
          <w:color w:val="auto"/>
          <w:szCs w:val="21"/>
          <w:highlight w:val="none"/>
        </w:rPr>
        <w:t>”</w:t>
      </w:r>
      <w:r>
        <w:rPr>
          <w:rFonts w:hint="eastAsia" w:ascii="宋体" w:hAnsi="宋体" w:cs="宋体"/>
          <w:color w:val="auto"/>
          <w:szCs w:val="21"/>
          <w:highlight w:val="none"/>
        </w:rPr>
        <w:t>一致，中标人进场前，发包人对中标人的进场监理人员进行面试，面试通过的人员方可进场管理。进场后任何人的更换必须书面报告委托人，经委托人批准后方可更换，否则，委托人将按：</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w:t>
      </w:r>
      <w:r>
        <w:rPr>
          <w:rFonts w:ascii="宋体" w:hAnsi="宋体" w:cs="宋体"/>
          <w:color w:val="auto"/>
          <w:szCs w:val="21"/>
          <w:highlight w:val="none"/>
        </w:rPr>
        <w:t>*</w:t>
      </w:r>
      <w:r>
        <w:rPr>
          <w:rFonts w:hint="eastAsia" w:ascii="宋体" w:hAnsi="宋体" w:cs="宋体"/>
          <w:color w:val="auto"/>
          <w:szCs w:val="21"/>
          <w:highlight w:val="none"/>
        </w:rPr>
        <w:t>天对监理人进行罚款。</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）委托人认为监理人员不能胜任的，有权要求监理人更换相关人员，替换人员必须与中标通知书中备案的人员资质能力相符且须经甲方书面同意。在接到委托人书面要求更换人员通知后</w:t>
      </w:r>
      <w:r>
        <w:rPr>
          <w:rFonts w:ascii="宋体" w:hAnsi="宋体" w:cs="宋体"/>
          <w:color w:val="auto"/>
          <w:szCs w:val="21"/>
          <w:highlight w:val="none"/>
        </w:rPr>
        <w:t>3</w:t>
      </w:r>
      <w:r>
        <w:rPr>
          <w:rFonts w:hint="eastAsia" w:ascii="宋体" w:hAnsi="宋体" w:cs="宋体"/>
          <w:color w:val="auto"/>
          <w:szCs w:val="21"/>
          <w:highlight w:val="none"/>
        </w:rPr>
        <w:t>日内，替换人员必须按要求进场，否则，每延误一天收取违约金</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合同签订后，发包人将对进场监理人员实行实名制考勤制度。工程开工前，从监理签发的开工令时间开始考勤。</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）监理人派至施工现场总监每天在工地工作时间必须在</w:t>
      </w:r>
      <w:r>
        <w:rPr>
          <w:rFonts w:ascii="宋体" w:hAnsi="宋体" w:cs="宋体"/>
          <w:color w:val="auto"/>
          <w:szCs w:val="21"/>
          <w:highlight w:val="none"/>
        </w:rPr>
        <w:t>8</w:t>
      </w:r>
      <w:r>
        <w:rPr>
          <w:rFonts w:hint="eastAsia" w:ascii="宋体" w:hAnsi="宋体" w:cs="宋体"/>
          <w:color w:val="auto"/>
          <w:szCs w:val="21"/>
          <w:highlight w:val="none"/>
        </w:rPr>
        <w:t>个小时以上。总监理工程师（总监代表）若需离开施工现场，</w:t>
      </w:r>
      <w:r>
        <w:rPr>
          <w:rFonts w:ascii="宋体" w:hAnsi="宋体" w:cs="宋体"/>
          <w:color w:val="auto"/>
          <w:szCs w:val="21"/>
          <w:highlight w:val="none"/>
        </w:rPr>
        <w:t>1</w:t>
      </w:r>
      <w:r>
        <w:rPr>
          <w:rFonts w:hint="eastAsia" w:ascii="宋体" w:hAnsi="宋体" w:cs="宋体"/>
          <w:color w:val="auto"/>
          <w:szCs w:val="21"/>
          <w:highlight w:val="none"/>
        </w:rPr>
        <w:t>日以内须经委托人代表同意，</w:t>
      </w:r>
      <w:r>
        <w:rPr>
          <w:rFonts w:ascii="宋体" w:hAnsi="宋体" w:cs="宋体"/>
          <w:color w:val="auto"/>
          <w:szCs w:val="21"/>
          <w:highlight w:val="none"/>
        </w:rPr>
        <w:t>1</w:t>
      </w:r>
      <w:r>
        <w:rPr>
          <w:rFonts w:hint="eastAsia" w:ascii="宋体" w:hAnsi="宋体" w:cs="宋体"/>
          <w:color w:val="auto"/>
          <w:szCs w:val="21"/>
          <w:highlight w:val="none"/>
        </w:rPr>
        <w:t>日以上须经委托人书面批准。工程施工过程中，各专业监理工程师必须在施工现场，确保满足现场施工管理需要，如有调整，人员排班以委托人批准的计划表为准。如未与委托人请假无故不在现场，总监理工程师按</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次，专业人员按</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次进行罚款。总监理工程师及总监代表请假日数每月累计不得超过</w:t>
      </w:r>
      <w:r>
        <w:rPr>
          <w:rFonts w:ascii="宋体" w:hAnsi="宋体" w:cs="宋体"/>
          <w:color w:val="auto"/>
          <w:szCs w:val="21"/>
          <w:highlight w:val="none"/>
        </w:rPr>
        <w:t>5</w:t>
      </w:r>
      <w:r>
        <w:rPr>
          <w:rFonts w:hint="eastAsia" w:ascii="宋体" w:hAnsi="宋体" w:cs="宋体"/>
          <w:color w:val="auto"/>
          <w:szCs w:val="21"/>
          <w:highlight w:val="none"/>
        </w:rPr>
        <w:t>日（含节假日，春节除外）。在其请假离开期间应书面委托其他驻场监理工程师全权代表其行使职权。</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）监理人员存在下列情形之一的，委托人有权要求监理人随时更换监理人员，监理人应在一周内无条件更换，及时满足委托人的服务需求。否则，即被视为违约，委托人有权对其处罚</w:t>
      </w:r>
      <w:r>
        <w:rPr>
          <w:rFonts w:ascii="宋体" w:hAnsi="宋体" w:cs="宋体"/>
          <w:color w:val="auto"/>
          <w:szCs w:val="21"/>
          <w:highlight w:val="none"/>
        </w:rPr>
        <w:t xml:space="preserve">2000~20000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人或次，且委托人有权终止履行合同，更换监理队伍，由此所造成的损失，由乙方自负：</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4.1现场监理人员不服从委托人工作人员管理的；</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4.2监理人在合同履行期间不能及时、保质、保量的完成监理工程范围及合同、招标文件内的所有监理业务的；</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4.3不能完成委托人交办的属于监理人工作范围内的任务；</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4.4不能维护委托人的合法权益和满足委托人的服务需求；</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4.5双方确认的监理人员工作过失达三次者；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4.6委托人认为专业不对口的监理人员。</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5)监理人承诺中标本工程无借用、挂靠、出借资质证书等行为，且监理人派至施工现场监理人员与其存在合法的人事及社保关系。监理人必须加强对自身职业道德操守的教育。本项目监理人员须共同遵守监理人员职业道德守则，并严格遵守以下规定：</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禁止向委托人及施工单位进行材料、设备等推销活动，或倾向性、排他性变相推销活动。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禁止与施工单位串通，对不合格材料、产品、工程进行包庇及验收。</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禁止与施工单位串通，对材料用量、工程量进行虚假签认。</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禁止与施工单位串通，不合理地提高施工难度及增加材料用量，以增大施工费用，获取不正当收益。</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禁止接受施工单位的请吃送礼，或变相受礼。</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禁止向施工单位介绍分包。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禁止故意刁难施工单位以谋取私利，损害委托人的合法利益。</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凡违反以上任一规定者，一经查实视情节严重程度处罚</w:t>
      </w:r>
      <w:r>
        <w:rPr>
          <w:rFonts w:ascii="宋体" w:hAnsi="宋体" w:cs="宋体"/>
          <w:color w:val="auto"/>
          <w:szCs w:val="21"/>
          <w:highlight w:val="none"/>
        </w:rPr>
        <w:t xml:space="preserve">2000~10000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情节严重的，委托人有权部分或全部解除合同。并且有权向有关部门反映情况，追究监理人及有关责任人相关责任，要求赔偿相应损失。并有权将上述违反职业道德的行为通过新闻媒体公诸于众，情节严重者将移交司法机关追究法律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在施工工程开工前，总监理工程师应组织各专业监理人员对设计交底会前的设计文件进行详细的审查。重点审查各专业施工图纸出现遗漏、缺项、错误，并就存在的问题分类列出，向委托人提出书面意见和建议。保证施工过程中能按图施工，最大限度地减少施工过程中的设计变更。</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）施工过程中监理人应对施工图纸的错误及时提出意见，并根据现场的实际施工情况，每周向委托人上报施工图纸的存在问题修改的情况。未尽监理职责，对施工图纸出现重大错误未发现或未提出意见的，扣减</w:t>
      </w:r>
      <w:r>
        <w:rPr>
          <w:rFonts w:ascii="宋体" w:hAnsi="宋体" w:cs="宋体"/>
          <w:color w:val="auto"/>
          <w:szCs w:val="21"/>
          <w:highlight w:val="none"/>
        </w:rPr>
        <w:t xml:space="preserve">10000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次监理酬金。</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）承包人报验的隐蔽工程，须经监理人验收同意后方可隐蔽施工，并留有影像资料。若因监理人失职造成隐蔽施工不符合图纸、变更及规范要求，由监理人承担违约责任。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）监理人根据施工图纸、国家相关施工规范的要求严格监理施工质量，督促施工单位确保工程合格率为</w:t>
      </w:r>
      <w:r>
        <w:rPr>
          <w:rFonts w:ascii="宋体" w:hAnsi="宋体" w:cs="宋体"/>
          <w:color w:val="auto"/>
          <w:szCs w:val="21"/>
          <w:highlight w:val="none"/>
        </w:rPr>
        <w:t>100%</w:t>
      </w:r>
      <w:r>
        <w:rPr>
          <w:rFonts w:hint="eastAsia" w:ascii="宋体" w:hAnsi="宋体" w:cs="宋体"/>
          <w:color w:val="auto"/>
          <w:szCs w:val="21"/>
          <w:highlight w:val="none"/>
        </w:rPr>
        <w:t>。如未按规范履行监理职责或履责不到位，经第三方检查存在施工质量隐患或已发生质量问题的，监理人将承担违约责任。</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）监理人应督促、检查承包人严格按照国家技术标准，省、市、地方规程以及设计图纸和文件要求进行施工。因监理失职所造成的经济损失或返工，由监理人承担因此造成的相应责任和经济损失。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监理质量目标为甲方对施工承包单位（含专业分包单位）的合同质量要求，并通过工程实体的实测实量（借助专业仪器和工具，在中间验收、竣工验收或每月的例行检查时进行）。若所监理的标段未达到施工承包合同规定的质量标准，乙方向甲方支付监理费总额</w:t>
      </w:r>
      <w:r>
        <w:rPr>
          <w:rFonts w:ascii="宋体" w:hAnsi="宋体" w:cs="宋体"/>
          <w:color w:val="auto"/>
          <w:szCs w:val="21"/>
          <w:highlight w:val="none"/>
        </w:rPr>
        <w:t>10%</w:t>
      </w:r>
      <w:r>
        <w:rPr>
          <w:rFonts w:hint="eastAsia" w:ascii="宋体" w:hAnsi="宋体" w:cs="宋体"/>
          <w:color w:val="auto"/>
          <w:szCs w:val="21"/>
          <w:highlight w:val="none"/>
        </w:rPr>
        <w:t>的违约金。</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）如因监理工作过失造成工程质量事故，监理方应按有关法律法规承担相应的赔偿责任。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）现场监理工程师应使用自备仪器（全站仪等）独立测量，复核承包人报送的测量成果，保证测量精度。如果测量精度存在错误，监理人在复核过程中未能发现的，每次扣减</w:t>
      </w:r>
      <w:r>
        <w:rPr>
          <w:rFonts w:ascii="宋体" w:hAnsi="宋体" w:cs="宋体"/>
          <w:color w:val="auto"/>
          <w:szCs w:val="21"/>
          <w:highlight w:val="none"/>
        </w:rPr>
        <w:t>5000</w:t>
      </w:r>
      <w:r>
        <w:rPr>
          <w:rFonts w:hint="eastAsia" w:ascii="宋体" w:hAnsi="宋体" w:cs="宋体"/>
          <w:color w:val="auto"/>
          <w:szCs w:val="21"/>
          <w:highlight w:val="none"/>
        </w:rPr>
        <w:t>元监理费。检测仪器及设备（摄像机、电脑、打印机）等未按工程需要的数量、规格、时间进场的，每件每日扣减</w:t>
      </w:r>
      <w:r>
        <w:rPr>
          <w:rFonts w:ascii="宋体" w:hAnsi="宋体" w:cs="宋体"/>
          <w:color w:val="auto"/>
          <w:szCs w:val="21"/>
          <w:highlight w:val="none"/>
        </w:rPr>
        <w:t>2000</w:t>
      </w:r>
      <w:r>
        <w:rPr>
          <w:rFonts w:hint="eastAsia" w:ascii="宋体" w:hAnsi="宋体" w:cs="宋体"/>
          <w:color w:val="auto"/>
          <w:szCs w:val="21"/>
          <w:highlight w:val="none"/>
        </w:rPr>
        <w:t>元监理费。</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监理人应派专人对施工现场安全生产情况进行巡视检查，对发现的各类安全隐患，应书面通知承包人，并督促其立即整改；情况严重的，与委托人磋商后，监理人应及时下达工程暂停令，要求承包人停工整改，并同时书面报告委托人详细情况。安全事故隐患消除后，监理人应检查整改结果，签署复查或复工意见。承包人拒不整改或不停工整改的，监理人应当及时向委托人和工程所在地行政主管部门或工程项目的行业主管部门报告，检查、整改、复查、报告等情况应当记载在监理日记、监理月报中。监理人没有及时下达书面指令要求承包人进行整改或停止施工的，没有采取有效措施的，造成损失的，应承担相应责任（法律、经济等）。</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）监理人负责隐蔽工程验收、中间验收和竣工初验，并监督整改。保留隐蔽工程验收、中间验收的影像资料提供给委托人。若因监理人原因造成未进行隐蔽工程验收的，一经查实处罚</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监理人应负责核检用于工程建设的进场材料、构配件、半成品及使用情况，并按规定进行监理见证取样试验。按规范要求对工序材料进行监督取样和留取相应的试块、试件、样品等。有权责令不合格材料和不合格半成品构件限期退场。一旦不合格材料、构配件用于工程造成质量问题或事故，监理人须承担相关责任和经济赔偿，特殊情况在征得委托人书面同意后可先使用后检测。</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）承包人提出的各项变更、签证、核定单等，监理人负责审核，监理人应在发包人要求的时限内做好变更事项及工程量的审核工作。如经监理人审核过的结算单，委托人工程量复核后有弄虚作假、高估冒算超</w:t>
      </w:r>
      <w:r>
        <w:rPr>
          <w:rFonts w:ascii="宋体" w:hAnsi="宋体" w:cs="宋体"/>
          <w:color w:val="auto"/>
          <w:szCs w:val="21"/>
          <w:highlight w:val="none"/>
        </w:rPr>
        <w:t>5%</w:t>
      </w:r>
      <w:r>
        <w:rPr>
          <w:rFonts w:hint="eastAsia" w:ascii="宋体" w:hAnsi="宋体" w:cs="宋体"/>
          <w:color w:val="auto"/>
          <w:szCs w:val="21"/>
          <w:highlight w:val="none"/>
        </w:rPr>
        <w:t>的，则由委托人将在监理酬金中扣除超出部分的费用。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）所有需要监理签字认可的工程资料，除驻工地监理工程师签字外，总监理工程师必须审核签字，如发现有代总监签字行为，委托人有权对其处罚</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份</w:t>
      </w:r>
      <w:r>
        <w:rPr>
          <w:rFonts w:ascii="宋体" w:cs="宋体"/>
          <w:color w:val="auto"/>
          <w:szCs w:val="21"/>
          <w:highlight w:val="none"/>
        </w:rPr>
        <w:t>,</w:t>
      </w:r>
      <w:r>
        <w:rPr>
          <w:rFonts w:hint="eastAsia" w:ascii="宋体" w:hAnsi="宋体" w:cs="宋体"/>
          <w:color w:val="auto"/>
          <w:szCs w:val="21"/>
          <w:highlight w:val="none"/>
        </w:rPr>
        <w:t>按相关规定无须总监理工程师签字的资料除外。</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）对于承包人提交的现场签证资料，监理人未有准确、真实的现场原始记录或不进行现场复核就给予签认，经委托人检查发现签认的文件有误的，除必须立即改正外，处罚监理人</w:t>
      </w:r>
      <w:r>
        <w:rPr>
          <w:rFonts w:ascii="宋体" w:hAnsi="宋体" w:cs="宋体"/>
          <w:color w:val="auto"/>
          <w:szCs w:val="21"/>
          <w:highlight w:val="none"/>
        </w:rPr>
        <w:t>2000~10000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监理人在总进度计划的前提下，审核施工单位周、日进度计划的可行性，并且起到预警作用。如发现执行过程中不能完成工程计划时，应检查分析原因，督促承包人及时调整计划和采取补救措施，以保证工程进度的实现，向委托人提供书面分析报告。如监理人未采取有效措施，委托人有权对其处罚</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）事前由各相关方共同确认的工程施工的关键线路工期因承包人原因比计划滞后</w:t>
      </w:r>
      <w:r>
        <w:rPr>
          <w:rFonts w:ascii="宋体" w:hAnsi="宋体" w:cs="宋体"/>
          <w:color w:val="auto"/>
          <w:szCs w:val="21"/>
          <w:highlight w:val="none"/>
        </w:rPr>
        <w:t>5</w:t>
      </w:r>
      <w:r>
        <w:rPr>
          <w:rFonts w:hint="eastAsia" w:ascii="宋体" w:hAnsi="宋体" w:cs="宋体"/>
          <w:color w:val="auto"/>
          <w:szCs w:val="21"/>
          <w:highlight w:val="none"/>
        </w:rPr>
        <w:t>日以上（包括</w:t>
      </w:r>
      <w:r>
        <w:rPr>
          <w:rFonts w:ascii="宋体" w:hAnsi="宋体" w:cs="宋体"/>
          <w:color w:val="auto"/>
          <w:szCs w:val="21"/>
          <w:highlight w:val="none"/>
        </w:rPr>
        <w:t>5</w:t>
      </w:r>
      <w:r>
        <w:rPr>
          <w:rFonts w:hint="eastAsia" w:ascii="宋体" w:hAnsi="宋体" w:cs="宋体"/>
          <w:color w:val="auto"/>
          <w:szCs w:val="21"/>
          <w:highlight w:val="none"/>
        </w:rPr>
        <w:t>日），监理人未及时预见、未及时提出整改措施，未及时监督承包人整改，未及时向委托人报告，对整个工程的按期完工不能起到监管作用，处罚监理人</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）施工期间由于施工单位违反安全操作规范，而乙方没有及时指出整改，被政府有关部门处罚，如通报批评、警告和罚款等，乙方应向甲方支付</w:t>
      </w:r>
      <w:r>
        <w:rPr>
          <w:rFonts w:ascii="宋体" w:hAnsi="宋体" w:cs="宋体"/>
          <w:color w:val="auto"/>
          <w:szCs w:val="21"/>
          <w:highlight w:val="none"/>
        </w:rPr>
        <w:t>10000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次的违约金。如超过</w:t>
      </w:r>
      <w:r>
        <w:rPr>
          <w:rFonts w:ascii="宋体" w:hAnsi="宋体" w:cs="宋体"/>
          <w:color w:val="auto"/>
          <w:szCs w:val="21"/>
          <w:highlight w:val="none"/>
        </w:rPr>
        <w:t>5</w:t>
      </w:r>
      <w:r>
        <w:rPr>
          <w:rFonts w:hint="eastAsia" w:ascii="宋体" w:hAnsi="宋体" w:cs="宋体"/>
          <w:color w:val="auto"/>
          <w:szCs w:val="21"/>
          <w:highlight w:val="none"/>
        </w:rPr>
        <w:t>次，甲方有权终止合同，乙方向甲方支付监理总额</w:t>
      </w:r>
      <w:r>
        <w:rPr>
          <w:rFonts w:ascii="宋体" w:hAnsi="宋体" w:cs="宋体"/>
          <w:color w:val="auto"/>
          <w:szCs w:val="21"/>
          <w:highlight w:val="none"/>
        </w:rPr>
        <w:t>10%</w:t>
      </w:r>
      <w:r>
        <w:rPr>
          <w:rFonts w:hint="eastAsia" w:ascii="宋体" w:hAnsi="宋体" w:cs="宋体"/>
          <w:color w:val="auto"/>
          <w:szCs w:val="21"/>
          <w:highlight w:val="none"/>
        </w:rPr>
        <w:t>的违约金，并赔偿甲方实际所发生的损失。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）监理人对现场文明施工加强监管，尤其扬尘管控，如工程因前述问题受到通报，监理人承担连带责任，并处以罚款。</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）监理人定期（每周）负责审查工程的资料归档及竣工验收工作，确保资料和工程同步，委托人不定期对其每周的工作进行检查，发现一次不符合要求处罚金额</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次，工程竣工验收时，如因资料原因造成的损失，监理人应承担全部责任。工程监理资料收集不齐、管理混乱的，扣减</w:t>
      </w:r>
      <w:r>
        <w:rPr>
          <w:rFonts w:ascii="宋体" w:hAnsi="宋体" w:cs="宋体"/>
          <w:color w:val="auto"/>
          <w:szCs w:val="21"/>
          <w:highlight w:val="none"/>
        </w:rPr>
        <w:t>10000</w:t>
      </w:r>
      <w:r>
        <w:rPr>
          <w:rFonts w:hint="eastAsia" w:ascii="宋体" w:hAnsi="宋体" w:cs="宋体"/>
          <w:color w:val="auto"/>
          <w:szCs w:val="21"/>
          <w:highlight w:val="none"/>
        </w:rPr>
        <w:t>元监理费；缺损应由监理人存档的原始记录，每件文件扣减</w:t>
      </w:r>
      <w:r>
        <w:rPr>
          <w:rFonts w:ascii="宋体" w:hAnsi="宋体" w:cs="宋体"/>
          <w:color w:val="auto"/>
          <w:szCs w:val="21"/>
          <w:highlight w:val="none"/>
        </w:rPr>
        <w:t>10000</w:t>
      </w:r>
      <w:r>
        <w:rPr>
          <w:rFonts w:hint="eastAsia" w:ascii="宋体" w:hAnsi="宋体" w:cs="宋体"/>
          <w:color w:val="auto"/>
          <w:szCs w:val="21"/>
          <w:highlight w:val="none"/>
        </w:rPr>
        <w:t>元监理费。</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）监理人必须在工程竣工后一个月内完善竣工资料报委托人；同时负责督促施工单位（含所有分包单位）完成竣工图及竣工资料（含相关图片、摄像资料、电子版等），经核验后归档。否则，按照</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月核减监理费（非监理人原因除外）。</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监理人应严格监理工作纪律，签约廉政协议，如监理人员徇私舞弊，弄虚作假，使工程遭受损失，除处理当事人外，情节严重的，委托人有权责令监理人退场，不支付监理费，并由监理人承担相关责任和赔偿经济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）本工程不得以任何名义转包。如被甲方发现有违法行为时，甲方有权终止合同，并追究其法律责任。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2其他：</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）监理人必须在收到图纸、勘察资料等技术文件后</w:t>
      </w:r>
      <w:r>
        <w:rPr>
          <w:rFonts w:ascii="宋体" w:hAnsi="宋体" w:cs="宋体"/>
          <w:color w:val="auto"/>
          <w:szCs w:val="21"/>
          <w:highlight w:val="none"/>
        </w:rPr>
        <w:t>3</w:t>
      </w:r>
      <w:r>
        <w:rPr>
          <w:rFonts w:hint="eastAsia" w:ascii="宋体" w:hAnsi="宋体" w:cs="宋体"/>
          <w:color w:val="auto"/>
          <w:szCs w:val="21"/>
          <w:highlight w:val="none"/>
        </w:rPr>
        <w:t>日内向委托人提供针对本工程特点、重点、难点的《监理规划》。分多阶段制订详细的、有针对性的现场监理实施细则，和工程需要的专题监理实施细则，经委托人审核批准后执行，委托人以此具体考核监理人的监理工作。如委托人要求监理人对《监理规划》等进行调整，监理人必须在</w:t>
      </w:r>
      <w:r>
        <w:rPr>
          <w:rFonts w:ascii="宋体" w:hAnsi="宋体" w:cs="宋体"/>
          <w:color w:val="auto"/>
          <w:szCs w:val="21"/>
          <w:highlight w:val="none"/>
        </w:rPr>
        <w:t>3</w:t>
      </w:r>
      <w:r>
        <w:rPr>
          <w:rFonts w:hint="eastAsia" w:ascii="宋体" w:hAnsi="宋体" w:cs="宋体"/>
          <w:color w:val="auto"/>
          <w:szCs w:val="21"/>
          <w:highlight w:val="none"/>
        </w:rPr>
        <w:t>日内完成调整，并报委托人审批每个分部工程开工前须提交一份该分部工程的质量通病或可能产生的质量问题、采取的预防措施和施工过程中有针对性的办法。</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）总监必须常驻现场与委托人工程师密切配合，协调好各方关系，确保工程质量，并定期向委托人提交监理工作报表。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）监理人在开工后，应及时制定承包人管理及工程质量管理的细则提交委托人。并定期（每周）进行一次考核，将考核情况上报给委托人。</w:t>
      </w:r>
      <w:r>
        <w:rPr>
          <w:rFonts w:ascii="宋体" w:hAnsi="宋体" w:cs="宋体"/>
          <w:color w:val="auto"/>
          <w:szCs w:val="21"/>
          <w:highlight w:val="none"/>
        </w:rPr>
        <w:t xml:space="preserve"> </w:t>
      </w:r>
    </w:p>
    <w:p>
      <w:pPr>
        <w:spacing w:line="360" w:lineRule="auto"/>
        <w:ind w:firstLine="396" w:firstLineChars="200"/>
        <w:jc w:val="left"/>
        <w:rPr>
          <w:rFonts w:ascii="宋体" w:cs="宋体"/>
          <w:color w:val="auto"/>
          <w:spacing w:val="-6"/>
          <w:szCs w:val="21"/>
          <w:highlight w:val="none"/>
        </w:rPr>
      </w:pPr>
      <w:r>
        <w:rPr>
          <w:rFonts w:ascii="宋体" w:hAnsi="宋体" w:cs="宋体"/>
          <w:color w:val="auto"/>
          <w:spacing w:val="-6"/>
          <w:szCs w:val="21"/>
          <w:highlight w:val="none"/>
        </w:rPr>
        <w:t>4</w:t>
      </w:r>
      <w:r>
        <w:rPr>
          <w:rFonts w:hint="eastAsia" w:ascii="宋体" w:hAnsi="宋体" w:cs="宋体"/>
          <w:color w:val="auto"/>
          <w:spacing w:val="-6"/>
          <w:szCs w:val="21"/>
          <w:highlight w:val="none"/>
        </w:rPr>
        <w:t>）监理人应审核承包人提出工程总进度计划，对总进度计划是否满足规定的竣工日期的要求提出意见。</w:t>
      </w:r>
      <w:r>
        <w:rPr>
          <w:rFonts w:ascii="宋体" w:hAnsi="宋体" w:cs="宋体"/>
          <w:color w:val="auto"/>
          <w:spacing w:val="-6"/>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）监理人应对工程加强事前监理，在分部分项工程施工前，应要求承包人上报施工方案及所采取的措施，经监理人审核报委托人同意后方可实施。</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）监理人应对施工过程进行全过程监理，及时发现施工过程中所出现的问题，认真落实监理工作，对整个施工阶段的全过程进行监理，严把质量关，旁站跟踪检查，做到事前有布置，事中有检查，事后有总结。</w:t>
      </w:r>
      <w:r>
        <w:rPr>
          <w:rFonts w:ascii="宋体" w:hAnsi="宋体" w:cs="宋体"/>
          <w:color w:val="auto"/>
          <w:szCs w:val="21"/>
          <w:highlight w:val="none"/>
        </w:rPr>
        <w:t xml:space="preserve"> </w:t>
      </w:r>
    </w:p>
    <w:p>
      <w:pPr>
        <w:spacing w:line="360" w:lineRule="auto"/>
        <w:ind w:firstLine="396" w:firstLineChars="200"/>
        <w:jc w:val="left"/>
        <w:rPr>
          <w:rFonts w:ascii="宋体" w:cs="宋体"/>
          <w:color w:val="auto"/>
          <w:spacing w:val="-6"/>
          <w:szCs w:val="21"/>
          <w:highlight w:val="none"/>
        </w:rPr>
      </w:pPr>
      <w:r>
        <w:rPr>
          <w:rFonts w:ascii="宋体" w:hAnsi="宋体" w:cs="宋体"/>
          <w:color w:val="auto"/>
          <w:spacing w:val="-6"/>
          <w:szCs w:val="21"/>
          <w:highlight w:val="none"/>
        </w:rPr>
        <w:t>7</w:t>
      </w:r>
      <w:r>
        <w:rPr>
          <w:rFonts w:hint="eastAsia" w:ascii="宋体" w:hAnsi="宋体" w:cs="宋体"/>
          <w:color w:val="auto"/>
          <w:spacing w:val="-6"/>
          <w:szCs w:val="21"/>
          <w:highlight w:val="none"/>
        </w:rPr>
        <w:t>）监理人员应根据现场进度情况，即时进行检查验收，以确保承包人能及时转入到下一步工序的施工。</w:t>
      </w:r>
      <w:r>
        <w:rPr>
          <w:rFonts w:ascii="宋体" w:hAnsi="宋体" w:cs="宋体"/>
          <w:color w:val="auto"/>
          <w:spacing w:val="-6"/>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）工程施工过程中各项工程变更、签证、用料咨询等审核工作，在提交监理人后，监理人应于</w:t>
      </w:r>
      <w:r>
        <w:rPr>
          <w:rFonts w:ascii="宋体" w:hAnsi="宋体" w:cs="宋体"/>
          <w:color w:val="auto"/>
          <w:szCs w:val="21"/>
          <w:highlight w:val="none"/>
        </w:rPr>
        <w:t xml:space="preserve"> 3 </w:t>
      </w:r>
      <w:r>
        <w:rPr>
          <w:rFonts w:hint="eastAsia" w:ascii="宋体" w:hAnsi="宋体" w:cs="宋体"/>
          <w:color w:val="auto"/>
          <w:szCs w:val="21"/>
          <w:highlight w:val="none"/>
        </w:rPr>
        <w:t>日内审核完毕。如遇特殊情况需要延长审核日期，须与委托人协商处理。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监理人协助各方进行现场技术核定，审核工程签证的工程量。对可能产生额外工程量地方及时报告委托人，对超出承包合同之外的设计修改审查，涉及费用的及时提建议给委托人并征得委托人签字、盖章证认可方为有效。所有设计变更、工程签证、技术核定等资料均需要委托人、监理、跟踪审计、承包人，共同现场签字、签字方为有效。</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）监理人会签有关各种设计变更，应侧重审查对工程质量、进度、成本控制是否有不利影响，如发现有不利影响时，应明确提出监理意见，及时向委托人反映。</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）监理人与委托人、承包人的一切工作联系必须采用书面方式。对于特殊及紧急情况下处理的事情须在事后及时补办书面手续。</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2）监理人负责审查核验委托人、承包人提供的材料和设备清单及所列的规格、数量、型号及质量是否符合设计要求，对不符合设计和国家规范标准要求的材料和设备，在征得委托人同意后，有权责令退场。</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本工程中使用各特殊工艺、重要的部位及新材料、新产品、新工艺、新技术应用应取得委托人的批准，由监理人按质量标准、工艺操作要求监督实施，并按质量标准和检验要求进行质量验收和检验，把好样板审核关，明确工艺流程和质量标准，经审查合格后方可大面积展开。</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监理人应监督施工单位按照施工组织设计中的安全技术措施和安全专项施工方案组织施工，指导现场安全保卫工作，严格加强对承包人的安全生产管理和现场的安全监督，及时制止违规施工作业确保安全生产。</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监理人应监督和定期（每天不少于一次）检查施工总包单位现场施工的安全、文明措施并作好记录，有隐患及时要求相关单位整改，同时向委托人汇报。在施工过程中严格执行省安全文明施工管理条例。每周向委托人做一次书面汇报。</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6）监理人协助委托人组织施工总包单位、设计单位研究处理工程质量、安全事故，监督整改方案的实施，并监督检查整改工作实施。</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7）监理人协助相关单位进行单位工程竣工验收工作，协助相关单位进行全部工程竣工验收工作，审核竣工图，竣工工程的实体和资料的移交工作。</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8）监理人审查各承包单位编制的竣工资料、竣工图，保证其正确无误，并及时提交委托人。</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9）监理人应督促施工方并协助委托人落实工程资料的收集整理，归档装订，并达到相关部门的备案要求。建立施工过程的监理档案，在工程竣工验收一个月内，报送</w:t>
      </w:r>
      <w:r>
        <w:rPr>
          <w:rFonts w:ascii="宋体" w:hAnsi="宋体" w:cs="宋体"/>
          <w:color w:val="auto"/>
          <w:szCs w:val="21"/>
          <w:highlight w:val="none"/>
        </w:rPr>
        <w:t>4</w:t>
      </w:r>
      <w:r>
        <w:rPr>
          <w:rFonts w:hint="eastAsia" w:ascii="宋体" w:hAnsi="宋体" w:cs="宋体"/>
          <w:color w:val="auto"/>
          <w:szCs w:val="21"/>
          <w:highlight w:val="none"/>
        </w:rPr>
        <w:t>套完整监理资料（含工程监理影像资料）给委托人，监理资料一式两份（原件）。</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20）项目监理部应建立完善的工程计量档案管理制度，对具有保存价值的各种载体的计量文件，影像资料等均应收集齐全，整理立卷后归档。</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1）因监理人自身原因拖欠施工现场监理人员工资，由此引发的一切责任均由监理人全部承担。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2）监理工作中的主要监理人员应自行配备通信联络工具且要保证</w:t>
      </w:r>
      <w:r>
        <w:rPr>
          <w:rFonts w:ascii="宋体" w:hAnsi="宋体" w:cs="宋体"/>
          <w:color w:val="auto"/>
          <w:szCs w:val="21"/>
          <w:highlight w:val="none"/>
        </w:rPr>
        <w:t>24</w:t>
      </w:r>
      <w:r>
        <w:rPr>
          <w:rFonts w:hint="eastAsia" w:ascii="宋体" w:hAnsi="宋体" w:cs="宋体"/>
          <w:color w:val="auto"/>
          <w:szCs w:val="21"/>
          <w:highlight w:val="none"/>
        </w:rPr>
        <w:t>小时联络畅通，上下班交通由监理人自行解决。</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在工程监理过程中，若委托人发现监理人控制不力，协调能力差，不能正常有效地开展工作，委托人有权要求监理人更换有关人员；如还不能有效实行三大控制及保障施工安全，则委托人有权提前终止履行合同；由此所造成的损失，由监理人自负，同时监理人将自动丧失在委托人的招投标资格。因监理人失职，造成安全事故、影响安全使用或导致经济损失后果的，除扣回全部监理费外，赔偿一切经济损失，另视情节轻重，按给业主所造成损失部分的</w:t>
      </w:r>
      <w:r>
        <w:rPr>
          <w:rFonts w:ascii="宋体" w:hAnsi="宋体" w:cs="宋体"/>
          <w:color w:val="auto"/>
          <w:szCs w:val="21"/>
          <w:highlight w:val="none"/>
        </w:rPr>
        <w:t>10%</w:t>
      </w:r>
      <w:r>
        <w:rPr>
          <w:rFonts w:hint="eastAsia" w:ascii="宋体" w:hAnsi="宋体" w:cs="宋体"/>
          <w:color w:val="auto"/>
          <w:szCs w:val="21"/>
          <w:highlight w:val="none"/>
        </w:rPr>
        <w:t>予以处罚，直至终止合同。由于监理失职或工作不力，发生了附加工作或延长了监理服务时间，不应得到附加工作报酬或额外工作报酬。</w:t>
      </w:r>
      <w:r>
        <w:rPr>
          <w:rFonts w:ascii="宋体" w:hAnsi="宋体" w:cs="宋体"/>
          <w:color w:val="auto"/>
          <w:szCs w:val="21"/>
          <w:highlight w:val="none"/>
        </w:rPr>
        <w:t xml:space="preserve"> </w:t>
      </w:r>
    </w:p>
    <w:p>
      <w:pPr>
        <w:pStyle w:val="2"/>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rPr>
        <w:t>4）监理应自觉提高安全意识，做好现场安全防护措施，监理人员的一切安全责任及措施费用概由监理人自行负责。</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5）监理招标文件与投标文件均为本合同组成部分，与本合同具有同等法律效力，内容不一致的，以本合同为准。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6）双方在本合同履行过程中，可以签定补充或修正文件，补充或修正文件与本合同具有同等法律效力，内容不一致的，以时间在后的文件为准。</w:t>
      </w:r>
      <w:r>
        <w:rPr>
          <w:rFonts w:ascii="宋体" w:hAnsi="宋体" w:cs="宋体"/>
          <w:color w:val="auto"/>
          <w:szCs w:val="21"/>
          <w:highlight w:val="none"/>
        </w:rPr>
        <w:t xml:space="preserve">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27）如因乙方违约、甲方提起仲裁或诉讼的，由此所产生的律师费用、仲裁（或诉讼）费用及调查取证费用均由乙方承担。</w:t>
      </w: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ind w:firstLine="2570" w:firstLineChars="800"/>
        <w:rPr>
          <w:rFonts w:ascii="宋体" w:hAnsi="宋体" w:cs="宋体"/>
          <w:b/>
          <w:color w:val="auto"/>
          <w:sz w:val="32"/>
          <w:szCs w:val="32"/>
          <w:highlight w:val="none"/>
        </w:rPr>
      </w:pPr>
      <w:r>
        <w:rPr>
          <w:rFonts w:hint="eastAsia" w:ascii="宋体" w:hAnsi="宋体" w:cs="宋体"/>
          <w:b/>
          <w:color w:val="auto"/>
          <w:sz w:val="32"/>
          <w:szCs w:val="32"/>
          <w:highlight w:val="none"/>
        </w:rPr>
        <w:t>扬州市工程建设项目监理廉政合同</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工程项目名称：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工程项目地址：</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建设单位（甲方）：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监理单位（乙方）：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第一条 甲乙双方的责任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（一）甲、乙双方应加强对本方人员的廉政监督，健立和健全廉政制度。</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（二）甲、乙双方有对本方人员开展廉政告知、廉政教育和职业道德教育的义务。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（三）甲、乙双方应严格遵守国家关于市场准入、项目招标投标、工程建设、工程监理和市场活动等有关法律、法规，相关政策，以及廉政建设的各项规定。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（四）甲、乙双方严格执行建设工程项目承发包合同文件，自觉按合同办事。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（五）甲、乙双方业务活动必须坚持公开、公平、公正、诚信、透明的原则（除法律法规另有规定者外），不得为获取不正当的利益，损害国家、集体和利益，不得违反工程建设管理、工程监理的规章制度。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（六）甲、乙双方发现对方在业务活动中违规、违纪、违法行为的，应及时提醒对方，情节严重的，应向其上级主管部门或纪检监察、司法等有关机关举报。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第二条 甲方在廉政建设方面的责任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（一）不准向乙方和相关单位索要或接受回扣、礼金、有价证券、贵重物品和好处费、感谢费等。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（二）不准向乙方和相关单位报销任何应由甲方或个人支付的费用。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（三）不准要求、暗示和接受乙方和相关单位为个人装修住房、婚丧嫁娶、配偶子女的工作安排以及出国（境）、旅游等提供方便。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（四）不准发出或参加有可能影响公正执行公务的乙方和相关单位的宴请和健身、娱乐等活动。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（五）服从市场管理，并遵从有关规定，不提不合理的要求和条件；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（六）不准预定框框、照顾关系，造成不公平竞争；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（七）不准向评委施加任何倾向性影响；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第三条 乙方廉政建设方面的责任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（一）不准以任何理由向甲方、相关单位及其工作人员赠送礼金、有价证券、贵重物品等。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（二）不准以任何理由为甲方和相关单位报销应由对方或个人支付的费用。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（三）不准接受或暗示为甲方、相关单位或个人装修住房、婚丧嫁娶、配偶子女的工作安排以及出国（境）、旅游等提供方便。 </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（四）不准违反合同规定而使用甲方、相关单位提供的通信、交通工具和高档办公用品。</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（五）不准以任何理由为甲方、相关单位或个人组织有可能影响公正执行公务的宴请、健身、娱乐等活动。</w:t>
      </w:r>
    </w:p>
    <w:p>
      <w:pPr>
        <w:adjustRightInd w:val="0"/>
        <w:snapToGrid w:val="0"/>
        <w:spacing w:line="360" w:lineRule="auto"/>
        <w:ind w:left="735" w:leftChars="150" w:hanging="420" w:hangingChars="200"/>
        <w:rPr>
          <w:rFonts w:ascii="宋体" w:hAnsi="宋体" w:cs="宋体"/>
          <w:color w:val="auto"/>
          <w:szCs w:val="21"/>
          <w:highlight w:val="none"/>
        </w:rPr>
      </w:pPr>
      <w:r>
        <w:rPr>
          <w:rFonts w:hint="eastAsia" w:ascii="宋体" w:hAnsi="宋体" w:cs="宋体"/>
          <w:color w:val="auto"/>
          <w:szCs w:val="21"/>
          <w:highlight w:val="none"/>
        </w:rPr>
        <w:t>（六）不准通过关系对甲方、相关单位或个人施加影响。</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第四条 违约责任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一）甲方若有违反本合同的，视情节轻重，每次给予1至10万元的违约罚款；若严重违反本合同，按照管理权限，依据有关法律法规和规定，给予党纪、政纪处分或组织处理；涉嫌犯罪的，移交司法机关追究刑事责任；给乙方单位造成经济损失的，应予以赔偿。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二）乙方若有违反本合同的，视情节轻重。每次给予工程款的1％至10％的违约罚款；若严重违反本责任书，在1- 3年内不得进入扬州市工程建设市场；涉嫌犯罪的，移交司法机关追究刑事责任；给甲方单位造成经济损失的，应予以赔偿。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第五条 本合同作为工程监理合同的附件，与工程监理合同具有同等法律效力。经双方签署后立即生效。</w:t>
      </w:r>
    </w:p>
    <w:p>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第六条 本合同的有效期为双方签署之日起至该工程项目竣工验收合格时止。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第七条 本合同一式六份，甲方叁份，乙方贰份，见证方壹份。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甲方单位：（盖章）             乙方单位：（盖章）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                   法定代表人： </w:t>
      </w:r>
    </w:p>
    <w:p>
      <w:pPr>
        <w:spacing w:line="400" w:lineRule="exact"/>
        <w:ind w:firstLine="388" w:firstLineChars="200"/>
        <w:rPr>
          <w:rFonts w:ascii="宋体" w:hAnsi="宋体" w:cs="宋体"/>
          <w:color w:val="auto"/>
          <w:spacing w:val="-8"/>
          <w:szCs w:val="21"/>
          <w:highlight w:val="none"/>
        </w:rPr>
      </w:pPr>
      <w:r>
        <w:rPr>
          <w:rFonts w:hint="eastAsia" w:ascii="宋体" w:hAnsi="宋体" w:cs="宋体"/>
          <w:color w:val="auto"/>
          <w:spacing w:val="-8"/>
          <w:szCs w:val="21"/>
          <w:highlight w:val="none"/>
        </w:rPr>
        <w:t>地 址：                              地 址：</w:t>
      </w:r>
    </w:p>
    <w:p>
      <w:pPr>
        <w:spacing w:line="400" w:lineRule="exact"/>
        <w:ind w:firstLine="388" w:firstLineChars="200"/>
        <w:rPr>
          <w:rFonts w:ascii="宋体" w:hAnsi="宋体" w:cs="宋体"/>
          <w:color w:val="auto"/>
          <w:spacing w:val="-8"/>
          <w:szCs w:val="21"/>
          <w:highlight w:val="none"/>
        </w:rPr>
      </w:pPr>
      <w:r>
        <w:rPr>
          <w:rFonts w:hint="eastAsia" w:ascii="宋体" w:hAnsi="宋体" w:cs="宋体"/>
          <w:color w:val="auto"/>
          <w:spacing w:val="-8"/>
          <w:szCs w:val="21"/>
          <w:highlight w:val="none"/>
        </w:rPr>
        <w:t xml:space="preserve"> 电 话：                             电 话：  </w:t>
      </w:r>
    </w:p>
    <w:p>
      <w:pPr>
        <w:spacing w:line="400" w:lineRule="exact"/>
        <w:ind w:firstLine="388" w:firstLineChars="200"/>
        <w:rPr>
          <w:rFonts w:ascii="宋体" w:hAnsi="宋体" w:cs="宋体"/>
          <w:color w:val="auto"/>
          <w:spacing w:val="-8"/>
          <w:szCs w:val="21"/>
          <w:highlight w:val="none"/>
        </w:rPr>
      </w:pPr>
      <w:r>
        <w:rPr>
          <w:rFonts w:hint="eastAsia" w:ascii="宋体" w:hAnsi="宋体" w:cs="宋体"/>
          <w:color w:val="auto"/>
          <w:spacing w:val="-8"/>
          <w:szCs w:val="21"/>
          <w:highlight w:val="none"/>
        </w:rPr>
        <w:t>年   月   日                         年   月   日</w:t>
      </w:r>
    </w:p>
    <w:p>
      <w:pPr>
        <w:tabs>
          <w:tab w:val="right" w:pos="8486"/>
        </w:tabs>
        <w:spacing w:line="480" w:lineRule="exact"/>
        <w:jc w:val="center"/>
        <w:rPr>
          <w:rFonts w:ascii="宋体" w:hAnsi="宋体" w:cs="宋体"/>
          <w:b/>
          <w:bCs/>
          <w:color w:val="auto"/>
          <w:spacing w:val="-8"/>
          <w:sz w:val="48"/>
          <w:highlight w:val="none"/>
        </w:rPr>
      </w:pPr>
    </w:p>
    <w:p>
      <w:pPr>
        <w:adjustRightInd w:val="0"/>
        <w:snapToGrid w:val="0"/>
        <w:spacing w:beforeLines="50" w:afterLines="50" w:line="360" w:lineRule="auto"/>
        <w:rPr>
          <w:rStyle w:val="71"/>
          <w:rFonts w:ascii="宋体" w:hAnsi="宋体"/>
          <w:bCs w:val="0"/>
          <w:color w:val="auto"/>
          <w:highlight w:val="none"/>
        </w:rPr>
      </w:pPr>
    </w:p>
    <w:p>
      <w:pPr>
        <w:pStyle w:val="35"/>
        <w:ind w:firstLine="420"/>
        <w:rPr>
          <w:color w:val="auto"/>
          <w:highlight w:val="none"/>
        </w:rPr>
      </w:pPr>
    </w:p>
    <w:p>
      <w:pPr>
        <w:pStyle w:val="36"/>
        <w:ind w:left="480" w:hanging="480"/>
        <w:rPr>
          <w:color w:val="auto"/>
          <w:highlight w:val="none"/>
        </w:rPr>
      </w:pPr>
    </w:p>
    <w:p>
      <w:pPr>
        <w:pStyle w:val="37"/>
        <w:rPr>
          <w:color w:val="auto"/>
          <w:highlight w:val="none"/>
        </w:rPr>
      </w:pPr>
    </w:p>
    <w:p>
      <w:pPr>
        <w:pStyle w:val="38"/>
        <w:rPr>
          <w:color w:val="auto"/>
          <w:highlight w:val="none"/>
        </w:rPr>
      </w:pPr>
    </w:p>
    <w:p>
      <w:pPr>
        <w:pStyle w:val="39"/>
        <w:rPr>
          <w:color w:val="auto"/>
          <w:highlight w:val="none"/>
        </w:rPr>
      </w:pPr>
    </w:p>
    <w:p>
      <w:pPr>
        <w:pStyle w:val="40"/>
        <w:spacing w:after="78"/>
        <w:ind w:firstLine="440"/>
        <w:rPr>
          <w:color w:val="auto"/>
          <w:highlight w:val="none"/>
          <w:lang w:eastAsia="zh-CN"/>
        </w:rPr>
      </w:pPr>
    </w:p>
    <w:p>
      <w:pPr>
        <w:pStyle w:val="41"/>
        <w:rPr>
          <w:color w:val="auto"/>
          <w:highlight w:val="none"/>
        </w:rPr>
      </w:pPr>
    </w:p>
    <w:p>
      <w:pPr>
        <w:pStyle w:val="20"/>
        <w:rPr>
          <w:color w:val="auto"/>
          <w:highlight w:val="none"/>
        </w:rPr>
      </w:pPr>
    </w:p>
    <w:p>
      <w:pPr>
        <w:rPr>
          <w:color w:val="auto"/>
          <w:highlight w:val="none"/>
        </w:rPr>
      </w:pPr>
    </w:p>
    <w:p>
      <w:pPr>
        <w:adjustRightInd w:val="0"/>
        <w:snapToGrid w:val="0"/>
        <w:spacing w:beforeLines="50" w:afterLines="50" w:line="360" w:lineRule="auto"/>
        <w:rPr>
          <w:rStyle w:val="71"/>
          <w:rFonts w:ascii="宋体" w:hAnsi="宋体"/>
          <w:bCs w:val="0"/>
          <w:color w:val="auto"/>
          <w:highlight w:val="none"/>
        </w:rPr>
      </w:pPr>
    </w:p>
    <w:p>
      <w:pPr>
        <w:adjustRightInd w:val="0"/>
        <w:snapToGrid w:val="0"/>
        <w:spacing w:beforeLines="50" w:afterLines="50" w:line="360" w:lineRule="auto"/>
        <w:jc w:val="center"/>
        <w:rPr>
          <w:rFonts w:ascii="宋体" w:hAnsi="宋体"/>
          <w:bCs/>
          <w:color w:val="auto"/>
          <w:highlight w:val="none"/>
        </w:rPr>
      </w:pPr>
      <w:r>
        <w:rPr>
          <w:rStyle w:val="71"/>
          <w:rFonts w:hint="eastAsia" w:ascii="宋体" w:hAnsi="宋体"/>
          <w:bCs w:val="0"/>
          <w:color w:val="auto"/>
          <w:highlight w:val="none"/>
        </w:rPr>
        <w:t>附录A  相关服务的范围和内容</w:t>
      </w:r>
    </w:p>
    <w:p>
      <w:pPr>
        <w:snapToGrid w:val="0"/>
        <w:spacing w:beforeLines="50" w:afterLines="50"/>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A-1 勘察阶段：</w:t>
      </w:r>
      <w:r>
        <w:rPr>
          <w:rFonts w:hint="eastAsia" w:ascii="宋体" w:hAnsi="宋体" w:cs="宋体"/>
          <w:color w:val="auto"/>
          <w:szCs w:val="21"/>
          <w:highlight w:val="none"/>
          <w:u w:val="single"/>
        </w:rPr>
        <w:t xml:space="preserve">                                        </w:t>
      </w:r>
    </w:p>
    <w:p>
      <w:pPr>
        <w:snapToGrid w:val="0"/>
        <w:spacing w:beforeLines="50" w:afterLines="50"/>
        <w:ind w:firstLine="840" w:firstLineChars="400"/>
        <w:rPr>
          <w:rFonts w:ascii="宋体" w:hAnsi="宋体" w:cs="宋体"/>
          <w:color w:val="auto"/>
          <w:kern w:val="0"/>
          <w:szCs w:val="21"/>
          <w:highlight w:val="none"/>
        </w:rPr>
      </w:pPr>
    </w:p>
    <w:p>
      <w:pPr>
        <w:snapToGrid w:val="0"/>
        <w:spacing w:beforeLines="50" w:afterLines="50"/>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A-2 设计阶段：</w:t>
      </w:r>
      <w:r>
        <w:rPr>
          <w:rFonts w:hint="eastAsia" w:ascii="宋体" w:hAnsi="宋体" w:cs="宋体"/>
          <w:color w:val="auto"/>
          <w:szCs w:val="21"/>
          <w:highlight w:val="none"/>
          <w:u w:val="single"/>
        </w:rPr>
        <w:t xml:space="preserve">                                        </w:t>
      </w:r>
    </w:p>
    <w:p>
      <w:pPr>
        <w:snapToGrid w:val="0"/>
        <w:spacing w:beforeLines="50" w:afterLines="50"/>
        <w:ind w:firstLine="840" w:firstLineChars="400"/>
        <w:rPr>
          <w:rFonts w:ascii="宋体" w:hAnsi="宋体" w:cs="宋体"/>
          <w:color w:val="auto"/>
          <w:szCs w:val="21"/>
          <w:highlight w:val="none"/>
        </w:rPr>
      </w:pPr>
    </w:p>
    <w:p>
      <w:pPr>
        <w:snapToGrid w:val="0"/>
        <w:spacing w:beforeLines="50" w:afterLines="50"/>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A-3 保修阶段：</w:t>
      </w:r>
      <w:r>
        <w:rPr>
          <w:rFonts w:hint="eastAsia" w:ascii="宋体" w:hAnsi="宋体" w:cs="宋体"/>
          <w:color w:val="auto"/>
          <w:szCs w:val="21"/>
          <w:highlight w:val="none"/>
          <w:u w:val="single"/>
        </w:rPr>
        <w:t xml:space="preserve">   保修阶段的监管及维修费用审核          </w:t>
      </w:r>
    </w:p>
    <w:p>
      <w:pPr>
        <w:snapToGrid w:val="0"/>
        <w:spacing w:beforeLines="50" w:afterLines="50"/>
        <w:ind w:firstLine="840" w:firstLineChars="400"/>
        <w:rPr>
          <w:rFonts w:ascii="宋体" w:hAnsi="宋体" w:cs="宋体"/>
          <w:color w:val="auto"/>
          <w:szCs w:val="21"/>
          <w:highlight w:val="none"/>
        </w:rPr>
      </w:pPr>
    </w:p>
    <w:p>
      <w:pPr>
        <w:snapToGrid w:val="0"/>
        <w:spacing w:beforeLines="50" w:afterLines="50"/>
        <w:ind w:firstLine="840" w:firstLineChars="400"/>
        <w:rPr>
          <w:rFonts w:ascii="宋体" w:hAnsi="宋体" w:cs="宋体"/>
          <w:color w:val="auto"/>
          <w:szCs w:val="21"/>
          <w:highlight w:val="none"/>
          <w:u w:val="single"/>
        </w:rPr>
      </w:pPr>
      <w:r>
        <w:rPr>
          <w:rFonts w:hint="eastAsia" w:ascii="宋体" w:hAnsi="宋体" w:cs="宋体"/>
          <w:color w:val="auto"/>
          <w:kern w:val="0"/>
          <w:szCs w:val="21"/>
          <w:highlight w:val="none"/>
        </w:rPr>
        <w:t xml:space="preserve">A-4 </w:t>
      </w:r>
      <w:r>
        <w:rPr>
          <w:rFonts w:hint="eastAsia" w:ascii="宋体" w:hAnsi="宋体" w:cs="宋体"/>
          <w:color w:val="auto"/>
          <w:szCs w:val="21"/>
          <w:highlight w:val="none"/>
        </w:rPr>
        <w:t>其他（专业技术咨询、外部协调工作等）：</w:t>
      </w:r>
      <w:r>
        <w:rPr>
          <w:rFonts w:hint="eastAsia" w:ascii="宋体" w:hAnsi="宋体" w:cs="宋体"/>
          <w:color w:val="auto"/>
          <w:szCs w:val="21"/>
          <w:highlight w:val="none"/>
          <w:u w:val="single"/>
        </w:rPr>
        <w:t xml:space="preserve">          </w:t>
      </w: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tabs>
          <w:tab w:val="right" w:pos="8486"/>
        </w:tabs>
        <w:spacing w:line="480" w:lineRule="exact"/>
        <w:jc w:val="center"/>
        <w:rPr>
          <w:rFonts w:ascii="宋体" w:hAnsi="宋体"/>
          <w:b/>
          <w:bCs/>
          <w:color w:val="auto"/>
          <w:spacing w:val="-8"/>
          <w:sz w:val="48"/>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5"/>
        <w:spacing w:line="360" w:lineRule="auto"/>
        <w:rPr>
          <w:rFonts w:ascii="宋体" w:hAnsi="宋体"/>
          <w:color w:val="auto"/>
          <w:highlight w:val="none"/>
        </w:rPr>
      </w:pPr>
      <w:bookmarkStart w:id="168" w:name="_Toc398107920"/>
      <w:r>
        <w:rPr>
          <w:rStyle w:val="71"/>
          <w:rFonts w:hint="eastAsia" w:ascii="宋体" w:hAnsi="宋体"/>
          <w:b/>
          <w:bCs w:val="0"/>
          <w:color w:val="auto"/>
          <w:highlight w:val="none"/>
        </w:rPr>
        <w:t>附录B  委托人派遣的人员和提供的房屋、资料、设备</w:t>
      </w:r>
      <w:bookmarkEnd w:id="168"/>
    </w:p>
    <w:p>
      <w:pPr>
        <w:pStyle w:val="6"/>
        <w:spacing w:line="360" w:lineRule="auto"/>
        <w:rPr>
          <w:rFonts w:ascii="宋体" w:hAnsi="宋体"/>
          <w:color w:val="auto"/>
          <w:highlight w:val="none"/>
        </w:rPr>
      </w:pPr>
      <w:bookmarkStart w:id="169" w:name="_Toc398107921"/>
      <w:r>
        <w:rPr>
          <w:rFonts w:hint="eastAsia" w:ascii="宋体" w:hAnsi="宋体"/>
          <w:color w:val="auto"/>
          <w:highlight w:val="none"/>
        </w:rPr>
        <w:t>B-1  委托人派遣的人员</w:t>
      </w:r>
      <w:bookmarkEnd w:id="169"/>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874"/>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770" w:type="dxa"/>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30" w:type="dxa"/>
          </w:tcPr>
          <w:p>
            <w:pPr>
              <w:jc w:val="center"/>
              <w:rPr>
                <w:rFonts w:ascii="宋体" w:hAnsi="宋体" w:cs="宋体"/>
                <w:color w:val="auto"/>
                <w:szCs w:val="21"/>
                <w:highlight w:val="none"/>
              </w:rPr>
            </w:pPr>
            <w:r>
              <w:rPr>
                <w:rFonts w:hint="eastAsia" w:ascii="宋体" w:hAnsi="宋体" w:cs="宋体"/>
                <w:color w:val="auto"/>
                <w:szCs w:val="21"/>
                <w:highlight w:val="none"/>
              </w:rPr>
              <w:t>工作要求</w:t>
            </w:r>
          </w:p>
        </w:tc>
        <w:tc>
          <w:tcPr>
            <w:tcW w:w="1860" w:type="dxa"/>
          </w:tcPr>
          <w:p>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hAnsi="宋体" w:cs="宋体"/>
                <w:color w:val="auto"/>
                <w:szCs w:val="21"/>
                <w:highlight w:val="none"/>
              </w:rPr>
            </w:pPr>
            <w:r>
              <w:rPr>
                <w:rFonts w:hint="eastAsia" w:ascii="宋体" w:hAnsi="宋体" w:cs="宋体"/>
                <w:color w:val="auto"/>
                <w:szCs w:val="21"/>
                <w:highlight w:val="none"/>
              </w:rPr>
              <w:t xml:space="preserve">1. 工程技术人员 </w:t>
            </w:r>
          </w:p>
        </w:tc>
        <w:tc>
          <w:tcPr>
            <w:tcW w:w="177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hAnsi="宋体" w:cs="宋体"/>
                <w:color w:val="auto"/>
                <w:szCs w:val="21"/>
                <w:highlight w:val="none"/>
              </w:rPr>
            </w:pPr>
            <w:r>
              <w:rPr>
                <w:rFonts w:hint="eastAsia" w:ascii="宋体" w:hAnsi="宋体" w:cs="宋体"/>
                <w:color w:val="auto"/>
                <w:szCs w:val="21"/>
                <w:highlight w:val="none"/>
              </w:rPr>
              <w:t>2. 辅助工作人员</w:t>
            </w:r>
          </w:p>
        </w:tc>
        <w:tc>
          <w:tcPr>
            <w:tcW w:w="177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hAnsi="宋体" w:cs="宋体"/>
                <w:color w:val="auto"/>
                <w:szCs w:val="21"/>
                <w:highlight w:val="none"/>
              </w:rPr>
            </w:pPr>
            <w:r>
              <w:rPr>
                <w:rFonts w:hint="eastAsia" w:ascii="宋体" w:hAnsi="宋体" w:cs="宋体"/>
                <w:color w:val="auto"/>
                <w:szCs w:val="21"/>
                <w:highlight w:val="none"/>
              </w:rPr>
              <w:t>3. 其他人员</w:t>
            </w:r>
          </w:p>
        </w:tc>
        <w:tc>
          <w:tcPr>
            <w:tcW w:w="177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hAnsi="宋体" w:cs="宋体"/>
                <w:color w:val="auto"/>
                <w:szCs w:val="21"/>
                <w:highlight w:val="none"/>
              </w:rPr>
            </w:pPr>
          </w:p>
        </w:tc>
        <w:tc>
          <w:tcPr>
            <w:tcW w:w="177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bl>
    <w:p>
      <w:pPr>
        <w:pStyle w:val="6"/>
        <w:spacing w:line="360" w:lineRule="auto"/>
        <w:rPr>
          <w:rFonts w:ascii="宋体" w:hAnsi="宋体"/>
          <w:color w:val="auto"/>
          <w:highlight w:val="none"/>
        </w:rPr>
      </w:pPr>
      <w:bookmarkStart w:id="170" w:name="_Toc398107922"/>
      <w:r>
        <w:rPr>
          <w:rFonts w:hint="eastAsia" w:ascii="宋体" w:hAnsi="宋体"/>
          <w:color w:val="auto"/>
          <w:highlight w:val="none"/>
        </w:rPr>
        <w:t>B-2  委托人提供的房屋</w:t>
      </w:r>
      <w:bookmarkEnd w:id="170"/>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2255"/>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130" w:type="dxa"/>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30" w:type="dxa"/>
          </w:tcPr>
          <w:p>
            <w:pPr>
              <w:jc w:val="center"/>
              <w:rPr>
                <w:rFonts w:ascii="宋体" w:hAnsi="宋体" w:cs="宋体"/>
                <w:color w:val="auto"/>
                <w:szCs w:val="21"/>
                <w:highlight w:val="none"/>
              </w:rPr>
            </w:pPr>
            <w:r>
              <w:rPr>
                <w:rFonts w:hint="eastAsia" w:ascii="宋体" w:hAnsi="宋体" w:cs="宋体"/>
                <w:color w:val="auto"/>
                <w:szCs w:val="21"/>
                <w:highlight w:val="none"/>
              </w:rPr>
              <w:t>面积</w:t>
            </w:r>
          </w:p>
        </w:tc>
        <w:tc>
          <w:tcPr>
            <w:tcW w:w="1860" w:type="dxa"/>
          </w:tcPr>
          <w:p>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hAnsi="宋体" w:cs="宋体"/>
                <w:color w:val="auto"/>
                <w:szCs w:val="21"/>
                <w:highlight w:val="none"/>
              </w:rPr>
            </w:pPr>
            <w:r>
              <w:rPr>
                <w:rFonts w:hint="eastAsia" w:ascii="宋体" w:hAnsi="宋体" w:cs="宋体"/>
                <w:color w:val="auto"/>
                <w:szCs w:val="21"/>
                <w:highlight w:val="none"/>
              </w:rPr>
              <w:t>1. 办公用房</w:t>
            </w:r>
          </w:p>
        </w:tc>
        <w:tc>
          <w:tcPr>
            <w:tcW w:w="2130" w:type="dxa"/>
          </w:tcPr>
          <w:p>
            <w:pPr>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p>
        </w:tc>
        <w:tc>
          <w:tcPr>
            <w:tcW w:w="2130" w:type="dxa"/>
          </w:tcPr>
          <w:p>
            <w:pPr>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hAnsi="宋体" w:cs="宋体"/>
                <w:color w:val="auto"/>
                <w:szCs w:val="21"/>
                <w:highlight w:val="none"/>
              </w:rPr>
            </w:pPr>
            <w:r>
              <w:rPr>
                <w:rFonts w:hint="eastAsia" w:ascii="宋体" w:hAnsi="宋体" w:cs="宋体"/>
                <w:color w:val="auto"/>
                <w:szCs w:val="21"/>
                <w:highlight w:val="none"/>
              </w:rPr>
              <w:t>2. 生活用房</w:t>
            </w:r>
          </w:p>
        </w:tc>
        <w:tc>
          <w:tcPr>
            <w:tcW w:w="213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hAnsi="宋体" w:cs="宋体"/>
                <w:dstrike/>
                <w:color w:val="auto"/>
                <w:szCs w:val="21"/>
                <w:highlight w:val="none"/>
              </w:rPr>
            </w:pPr>
            <w:r>
              <w:rPr>
                <w:rFonts w:hint="eastAsia" w:ascii="宋体" w:hAnsi="宋体" w:cs="宋体"/>
                <w:color w:val="auto"/>
                <w:szCs w:val="21"/>
                <w:highlight w:val="none"/>
              </w:rPr>
              <w:t>3. 试验用房</w:t>
            </w:r>
          </w:p>
        </w:tc>
        <w:tc>
          <w:tcPr>
            <w:tcW w:w="213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hAnsi="宋体" w:cs="宋体"/>
                <w:color w:val="auto"/>
                <w:szCs w:val="21"/>
                <w:highlight w:val="none"/>
              </w:rPr>
            </w:pPr>
            <w:r>
              <w:rPr>
                <w:rFonts w:hint="eastAsia" w:ascii="宋体" w:hAnsi="宋体" w:cs="宋体"/>
                <w:color w:val="auto"/>
                <w:szCs w:val="21"/>
                <w:highlight w:val="none"/>
              </w:rPr>
              <w:t>4. 样品用房</w:t>
            </w:r>
          </w:p>
        </w:tc>
        <w:tc>
          <w:tcPr>
            <w:tcW w:w="213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2130" w:type="dxa"/>
          </w:tcPr>
          <w:p>
            <w:pPr>
              <w:rPr>
                <w:rFonts w:ascii="宋体" w:hAnsi="宋体" w:cs="宋体"/>
                <w:color w:val="auto"/>
                <w:szCs w:val="21"/>
                <w:highlight w:val="none"/>
              </w:rPr>
            </w:pPr>
          </w:p>
        </w:tc>
        <w:tc>
          <w:tcPr>
            <w:tcW w:w="186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hAnsi="宋体" w:cs="宋体"/>
                <w:color w:val="auto"/>
                <w:szCs w:val="21"/>
                <w:highlight w:val="none"/>
              </w:rPr>
            </w:pPr>
            <w:r>
              <w:rPr>
                <w:rFonts w:hint="eastAsia" w:ascii="宋体" w:hAnsi="宋体" w:cs="宋体"/>
                <w:color w:val="auto"/>
                <w:szCs w:val="21"/>
                <w:highlight w:val="none"/>
              </w:rPr>
              <w:t>用餐及其他生活条件</w:t>
            </w:r>
          </w:p>
        </w:tc>
        <w:tc>
          <w:tcPr>
            <w:tcW w:w="6120" w:type="dxa"/>
            <w:gridSpan w:val="3"/>
          </w:tcPr>
          <w:p>
            <w:pPr>
              <w:rPr>
                <w:rFonts w:ascii="宋体" w:hAnsi="宋体" w:cs="宋体"/>
                <w:color w:val="auto"/>
                <w:szCs w:val="21"/>
                <w:highlight w:val="none"/>
              </w:rPr>
            </w:pPr>
          </w:p>
        </w:tc>
      </w:tr>
    </w:tbl>
    <w:p>
      <w:pPr>
        <w:pStyle w:val="6"/>
        <w:spacing w:line="360" w:lineRule="auto"/>
        <w:rPr>
          <w:rFonts w:ascii="宋体" w:hAnsi="宋体"/>
          <w:color w:val="auto"/>
          <w:highlight w:val="none"/>
        </w:rPr>
      </w:pPr>
      <w:bookmarkStart w:id="171" w:name="_Toc398107923"/>
      <w:r>
        <w:rPr>
          <w:rFonts w:hint="eastAsia" w:ascii="宋体" w:hAnsi="宋体"/>
          <w:color w:val="auto"/>
          <w:highlight w:val="none"/>
        </w:rPr>
        <w:t>B-3  委托人提供的资料</w:t>
      </w:r>
      <w:bookmarkEnd w:id="171"/>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1587"/>
        <w:gridCol w:w="228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1587"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份数</w:t>
            </w:r>
          </w:p>
        </w:tc>
        <w:tc>
          <w:tcPr>
            <w:tcW w:w="2286"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提供时间</w:t>
            </w:r>
          </w:p>
        </w:tc>
        <w:tc>
          <w:tcPr>
            <w:tcW w:w="2216" w:type="dxa"/>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r>
              <w:rPr>
                <w:rFonts w:hint="eastAsia" w:ascii="宋体" w:hAnsi="宋体" w:cs="宋体"/>
                <w:color w:val="auto"/>
                <w:kern w:val="0"/>
                <w:szCs w:val="21"/>
                <w:highlight w:val="none"/>
              </w:rPr>
              <w:t>1. 工程立项文件</w:t>
            </w: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r>
              <w:rPr>
                <w:rFonts w:hint="eastAsia" w:ascii="宋体" w:hAnsi="宋体" w:cs="宋体"/>
                <w:color w:val="auto"/>
                <w:kern w:val="0"/>
                <w:szCs w:val="21"/>
                <w:highlight w:val="none"/>
              </w:rPr>
              <w:t>2. 工程勘察文件</w:t>
            </w: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r>
              <w:rPr>
                <w:rFonts w:hint="eastAsia" w:ascii="宋体" w:hAnsi="宋体" w:cs="宋体"/>
                <w:color w:val="auto"/>
                <w:kern w:val="0"/>
                <w:szCs w:val="21"/>
                <w:highlight w:val="none"/>
              </w:rPr>
              <w:t>3. 工程设计及施工图纸</w:t>
            </w: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r>
              <w:rPr>
                <w:rFonts w:hint="eastAsia" w:ascii="宋体" w:hAnsi="宋体" w:cs="宋体"/>
                <w:color w:val="auto"/>
                <w:kern w:val="0"/>
                <w:szCs w:val="21"/>
                <w:highlight w:val="none"/>
              </w:rPr>
              <w:t>4. 工程承包合同及其他相关合同</w:t>
            </w: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r>
              <w:rPr>
                <w:rFonts w:hint="eastAsia" w:ascii="宋体" w:hAnsi="宋体" w:cs="宋体"/>
                <w:color w:val="auto"/>
                <w:kern w:val="0"/>
                <w:szCs w:val="21"/>
                <w:highlight w:val="none"/>
              </w:rPr>
              <w:t>5. 施工许可文件</w:t>
            </w: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r>
              <w:rPr>
                <w:rFonts w:hint="eastAsia" w:ascii="宋体" w:hAnsi="宋体" w:cs="宋体"/>
                <w:color w:val="auto"/>
                <w:kern w:val="0"/>
                <w:szCs w:val="21"/>
                <w:highlight w:val="none"/>
              </w:rPr>
              <w:t>6. 其他文件</w:t>
            </w: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hAnsi="宋体" w:cs="宋体"/>
                <w:color w:val="auto"/>
                <w:kern w:val="0"/>
                <w:szCs w:val="21"/>
                <w:highlight w:val="none"/>
              </w:rPr>
            </w:pPr>
          </w:p>
        </w:tc>
        <w:tc>
          <w:tcPr>
            <w:tcW w:w="1587" w:type="dxa"/>
          </w:tcPr>
          <w:p>
            <w:pPr>
              <w:rPr>
                <w:rFonts w:ascii="宋体" w:hAnsi="宋体" w:cs="宋体"/>
                <w:color w:val="auto"/>
                <w:kern w:val="0"/>
                <w:szCs w:val="21"/>
                <w:highlight w:val="none"/>
              </w:rPr>
            </w:pPr>
          </w:p>
        </w:tc>
        <w:tc>
          <w:tcPr>
            <w:tcW w:w="2286" w:type="dxa"/>
          </w:tcPr>
          <w:p>
            <w:pPr>
              <w:rPr>
                <w:rFonts w:ascii="宋体" w:hAnsi="宋体" w:cs="宋体"/>
                <w:color w:val="auto"/>
                <w:kern w:val="0"/>
                <w:szCs w:val="21"/>
                <w:highlight w:val="none"/>
              </w:rPr>
            </w:pPr>
          </w:p>
        </w:tc>
        <w:tc>
          <w:tcPr>
            <w:tcW w:w="2216" w:type="dxa"/>
          </w:tcPr>
          <w:p>
            <w:pPr>
              <w:rPr>
                <w:rFonts w:ascii="宋体" w:hAnsi="宋体" w:cs="宋体"/>
                <w:color w:val="auto"/>
                <w:kern w:val="0"/>
                <w:szCs w:val="21"/>
                <w:highlight w:val="none"/>
              </w:rPr>
            </w:pPr>
          </w:p>
        </w:tc>
      </w:tr>
    </w:tbl>
    <w:p>
      <w:pPr>
        <w:pStyle w:val="6"/>
        <w:spacing w:line="360" w:lineRule="auto"/>
        <w:rPr>
          <w:rFonts w:ascii="宋体" w:hAnsi="宋体"/>
          <w:color w:val="auto"/>
          <w:highlight w:val="none"/>
        </w:rPr>
      </w:pPr>
      <w:bookmarkStart w:id="172" w:name="_Toc398107924"/>
      <w:r>
        <w:rPr>
          <w:rFonts w:hint="eastAsia" w:ascii="宋体" w:hAnsi="宋体"/>
          <w:color w:val="auto"/>
          <w:highlight w:val="none"/>
        </w:rPr>
        <w:t>B-4 委托人提供的设备</w:t>
      </w:r>
      <w:bookmarkEnd w:id="172"/>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684"/>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684" w:type="dxa"/>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255" w:type="dxa"/>
          </w:tcPr>
          <w:p>
            <w:pPr>
              <w:jc w:val="center"/>
              <w:rPr>
                <w:rFonts w:ascii="宋体" w:hAnsi="宋体" w:cs="宋体"/>
                <w:color w:val="auto"/>
                <w:szCs w:val="21"/>
                <w:highlight w:val="none"/>
              </w:rPr>
            </w:pPr>
            <w:r>
              <w:rPr>
                <w:rFonts w:hint="eastAsia" w:ascii="宋体" w:hAnsi="宋体" w:cs="宋体"/>
                <w:color w:val="auto"/>
                <w:szCs w:val="21"/>
                <w:highlight w:val="none"/>
              </w:rPr>
              <w:t>型号与规格</w:t>
            </w:r>
          </w:p>
        </w:tc>
        <w:tc>
          <w:tcPr>
            <w:tcW w:w="1969" w:type="dxa"/>
          </w:tcPr>
          <w:p>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hAnsi="宋体" w:cs="宋体"/>
                <w:color w:val="auto"/>
                <w:szCs w:val="21"/>
                <w:highlight w:val="none"/>
              </w:rPr>
            </w:pPr>
            <w:r>
              <w:rPr>
                <w:rFonts w:hint="eastAsia" w:ascii="宋体" w:hAnsi="宋体" w:cs="宋体"/>
                <w:color w:val="auto"/>
                <w:szCs w:val="21"/>
                <w:highlight w:val="none"/>
              </w:rPr>
              <w:t>1. 通讯设备</w:t>
            </w:r>
          </w:p>
        </w:tc>
        <w:tc>
          <w:tcPr>
            <w:tcW w:w="1684" w:type="dxa"/>
          </w:tcPr>
          <w:p>
            <w:pPr>
              <w:rPr>
                <w:rFonts w:ascii="宋体" w:hAnsi="宋体" w:cs="宋体"/>
                <w:color w:val="auto"/>
                <w:szCs w:val="21"/>
                <w:highlight w:val="none"/>
              </w:rPr>
            </w:pPr>
            <w:r>
              <w:rPr>
                <w:rFonts w:hint="eastAsia" w:ascii="宋体" w:hAnsi="宋体" w:cs="宋体"/>
                <w:color w:val="auto"/>
                <w:szCs w:val="21"/>
                <w:highlight w:val="none"/>
              </w:rPr>
              <w:t>/</w:t>
            </w:r>
          </w:p>
        </w:tc>
        <w:tc>
          <w:tcPr>
            <w:tcW w:w="2255" w:type="dxa"/>
          </w:tcPr>
          <w:p>
            <w:pPr>
              <w:rPr>
                <w:rFonts w:ascii="宋体" w:hAnsi="宋体" w:cs="宋体"/>
                <w:color w:val="auto"/>
                <w:szCs w:val="21"/>
                <w:highlight w:val="none"/>
              </w:rPr>
            </w:pPr>
          </w:p>
        </w:tc>
        <w:tc>
          <w:tcPr>
            <w:tcW w:w="1969"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hAnsi="宋体" w:cs="宋体"/>
                <w:color w:val="auto"/>
                <w:szCs w:val="21"/>
                <w:highlight w:val="none"/>
              </w:rPr>
            </w:pPr>
            <w:r>
              <w:rPr>
                <w:rFonts w:hint="eastAsia" w:ascii="宋体" w:hAnsi="宋体" w:cs="宋体"/>
                <w:color w:val="auto"/>
                <w:szCs w:val="21"/>
                <w:highlight w:val="none"/>
              </w:rPr>
              <w:t>2. 办公设备</w:t>
            </w:r>
          </w:p>
        </w:tc>
        <w:tc>
          <w:tcPr>
            <w:tcW w:w="1684" w:type="dxa"/>
          </w:tcPr>
          <w:p>
            <w:pPr>
              <w:rPr>
                <w:color w:val="auto"/>
                <w:highlight w:val="none"/>
              </w:rPr>
            </w:pPr>
            <w:r>
              <w:rPr>
                <w:rFonts w:hint="eastAsia" w:ascii="宋体" w:hAnsi="宋体" w:cs="宋体"/>
                <w:color w:val="auto"/>
                <w:szCs w:val="21"/>
                <w:highlight w:val="none"/>
              </w:rPr>
              <w:t>/</w:t>
            </w:r>
          </w:p>
        </w:tc>
        <w:tc>
          <w:tcPr>
            <w:tcW w:w="2255" w:type="dxa"/>
          </w:tcPr>
          <w:p>
            <w:pPr>
              <w:rPr>
                <w:rFonts w:ascii="宋体" w:hAnsi="宋体" w:cs="宋体"/>
                <w:color w:val="auto"/>
                <w:szCs w:val="21"/>
                <w:highlight w:val="none"/>
              </w:rPr>
            </w:pPr>
          </w:p>
        </w:tc>
        <w:tc>
          <w:tcPr>
            <w:tcW w:w="1969"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hAnsi="宋体" w:cs="宋体"/>
                <w:color w:val="auto"/>
                <w:szCs w:val="21"/>
                <w:highlight w:val="none"/>
              </w:rPr>
            </w:pPr>
            <w:r>
              <w:rPr>
                <w:rFonts w:hint="eastAsia" w:ascii="宋体" w:hAnsi="宋体" w:cs="宋体"/>
                <w:color w:val="auto"/>
                <w:szCs w:val="21"/>
                <w:highlight w:val="none"/>
              </w:rPr>
              <w:t>3. 交通工具</w:t>
            </w:r>
          </w:p>
        </w:tc>
        <w:tc>
          <w:tcPr>
            <w:tcW w:w="1684" w:type="dxa"/>
          </w:tcPr>
          <w:p>
            <w:pPr>
              <w:rPr>
                <w:color w:val="auto"/>
                <w:highlight w:val="none"/>
              </w:rPr>
            </w:pPr>
            <w:r>
              <w:rPr>
                <w:rFonts w:hint="eastAsia" w:ascii="宋体" w:hAnsi="宋体" w:cs="宋体"/>
                <w:color w:val="auto"/>
                <w:szCs w:val="21"/>
                <w:highlight w:val="none"/>
              </w:rPr>
              <w:t>/</w:t>
            </w:r>
          </w:p>
        </w:tc>
        <w:tc>
          <w:tcPr>
            <w:tcW w:w="2255" w:type="dxa"/>
          </w:tcPr>
          <w:p>
            <w:pPr>
              <w:rPr>
                <w:rFonts w:ascii="宋体" w:hAnsi="宋体" w:cs="宋体"/>
                <w:color w:val="auto"/>
                <w:szCs w:val="21"/>
                <w:highlight w:val="none"/>
              </w:rPr>
            </w:pPr>
          </w:p>
        </w:tc>
        <w:tc>
          <w:tcPr>
            <w:tcW w:w="1969"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hAnsi="宋体" w:cs="宋体"/>
                <w:color w:val="auto"/>
                <w:szCs w:val="21"/>
                <w:highlight w:val="none"/>
              </w:rPr>
            </w:pPr>
            <w:r>
              <w:rPr>
                <w:rFonts w:hint="eastAsia" w:ascii="宋体" w:hAnsi="宋体" w:cs="宋体"/>
                <w:color w:val="auto"/>
                <w:szCs w:val="21"/>
                <w:highlight w:val="none"/>
              </w:rPr>
              <w:t>4. 检测和试验设备</w:t>
            </w:r>
          </w:p>
        </w:tc>
        <w:tc>
          <w:tcPr>
            <w:tcW w:w="1684" w:type="dxa"/>
          </w:tcPr>
          <w:p>
            <w:pPr>
              <w:rPr>
                <w:color w:val="auto"/>
                <w:highlight w:val="none"/>
              </w:rPr>
            </w:pPr>
            <w:r>
              <w:rPr>
                <w:rFonts w:hint="eastAsia" w:ascii="宋体" w:hAnsi="宋体" w:cs="宋体"/>
                <w:color w:val="auto"/>
                <w:szCs w:val="21"/>
                <w:highlight w:val="none"/>
              </w:rPr>
              <w:t>/</w:t>
            </w:r>
          </w:p>
        </w:tc>
        <w:tc>
          <w:tcPr>
            <w:tcW w:w="2255" w:type="dxa"/>
          </w:tcPr>
          <w:p>
            <w:pPr>
              <w:rPr>
                <w:rFonts w:ascii="宋体" w:hAnsi="宋体" w:cs="宋体"/>
                <w:color w:val="auto"/>
                <w:szCs w:val="21"/>
                <w:highlight w:val="none"/>
              </w:rPr>
            </w:pPr>
          </w:p>
        </w:tc>
        <w:tc>
          <w:tcPr>
            <w:tcW w:w="1969"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hAnsi="宋体" w:cs="宋体"/>
                <w:color w:val="auto"/>
                <w:szCs w:val="21"/>
                <w:highlight w:val="none"/>
              </w:rPr>
            </w:pPr>
          </w:p>
        </w:tc>
        <w:tc>
          <w:tcPr>
            <w:tcW w:w="1684" w:type="dxa"/>
          </w:tcPr>
          <w:p>
            <w:pPr>
              <w:rPr>
                <w:color w:val="auto"/>
                <w:highlight w:val="none"/>
              </w:rPr>
            </w:pPr>
            <w:r>
              <w:rPr>
                <w:rFonts w:hint="eastAsia" w:ascii="宋体" w:hAnsi="宋体" w:cs="宋体"/>
                <w:color w:val="auto"/>
                <w:szCs w:val="21"/>
                <w:highlight w:val="none"/>
              </w:rPr>
              <w:t>/</w:t>
            </w:r>
          </w:p>
        </w:tc>
        <w:tc>
          <w:tcPr>
            <w:tcW w:w="2255" w:type="dxa"/>
          </w:tcPr>
          <w:p>
            <w:pPr>
              <w:rPr>
                <w:rFonts w:ascii="宋体" w:hAnsi="宋体" w:cs="宋体"/>
                <w:color w:val="auto"/>
                <w:szCs w:val="21"/>
                <w:highlight w:val="none"/>
              </w:rPr>
            </w:pPr>
          </w:p>
        </w:tc>
        <w:tc>
          <w:tcPr>
            <w:tcW w:w="1969" w:type="dxa"/>
          </w:tcPr>
          <w:p>
            <w:pPr>
              <w:rPr>
                <w:rFonts w:ascii="宋体" w:hAnsi="宋体" w:cs="宋体"/>
                <w:color w:val="auto"/>
                <w:szCs w:val="21"/>
                <w:highlight w:val="none"/>
              </w:rPr>
            </w:pPr>
          </w:p>
        </w:tc>
      </w:tr>
    </w:tbl>
    <w:p>
      <w:pPr>
        <w:pStyle w:val="5"/>
        <w:spacing w:line="360" w:lineRule="auto"/>
        <w:jc w:val="center"/>
        <w:rPr>
          <w:rFonts w:ascii="宋体" w:hAnsi="宋体" w:cs="Arial"/>
          <w:color w:val="auto"/>
          <w:sz w:val="36"/>
          <w:szCs w:val="36"/>
          <w:highlight w:val="none"/>
        </w:rPr>
      </w:pPr>
      <w:r>
        <w:rPr>
          <w:rFonts w:hint="eastAsia" w:ascii="宋体" w:hAnsi="宋体" w:cs="Arial"/>
          <w:color w:val="auto"/>
          <w:sz w:val="36"/>
          <w:szCs w:val="36"/>
          <w:highlight w:val="none"/>
        </w:rPr>
        <w:t>第四章 项目需求</w:t>
      </w:r>
    </w:p>
    <w:p>
      <w:pPr>
        <w:tabs>
          <w:tab w:val="left" w:pos="5250"/>
        </w:tabs>
        <w:autoSpaceDE w:val="0"/>
        <w:autoSpaceDN w:val="0"/>
        <w:adjustRightInd w:val="0"/>
        <w:spacing w:line="360" w:lineRule="auto"/>
        <w:ind w:firstLine="422" w:firstLineChars="200"/>
        <w:rPr>
          <w:rFonts w:ascii="宋体" w:hAnsi="宋体" w:cs="Arial"/>
          <w:b/>
          <w:color w:val="auto"/>
          <w:szCs w:val="21"/>
          <w:highlight w:val="none"/>
          <w:lang w:val="zh-CN"/>
        </w:rPr>
      </w:pPr>
      <w:r>
        <w:rPr>
          <w:rFonts w:hint="eastAsia" w:ascii="宋体" w:hAnsi="宋体" w:cs="Arial"/>
          <w:b/>
          <w:color w:val="auto"/>
          <w:szCs w:val="21"/>
          <w:highlight w:val="none"/>
          <w:lang w:val="zh-CN"/>
        </w:rPr>
        <w:t>（一）监理单位对监理工作适用的法规及监理依据</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1、通用施工监理规范。</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2、专用施工监理规范。</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2.1</w:t>
      </w:r>
      <w:r>
        <w:rPr>
          <w:rFonts w:hint="eastAsia" w:ascii="宋体" w:hAnsi="宋体" w:cs="Arial"/>
          <w:color w:val="auto"/>
          <w:szCs w:val="21"/>
          <w:highlight w:val="none"/>
        </w:rPr>
        <w:t xml:space="preserve"> </w:t>
      </w:r>
      <w:r>
        <w:rPr>
          <w:rFonts w:hint="eastAsia" w:ascii="宋体" w:hAnsi="宋体" w:cs="Arial"/>
          <w:color w:val="auto"/>
          <w:szCs w:val="21"/>
          <w:highlight w:val="none"/>
          <w:lang w:val="zh-CN"/>
        </w:rPr>
        <w:t>建设主管部门有最新规范、办法等，以最新规范、办法等为准；</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2.2</w:t>
      </w:r>
      <w:r>
        <w:rPr>
          <w:rFonts w:hint="eastAsia" w:ascii="宋体" w:hAnsi="宋体" w:cs="Arial"/>
          <w:color w:val="auto"/>
          <w:szCs w:val="21"/>
          <w:highlight w:val="none"/>
        </w:rPr>
        <w:t xml:space="preserve"> </w:t>
      </w:r>
      <w:r>
        <w:rPr>
          <w:rFonts w:hint="eastAsia" w:ascii="宋体" w:hAnsi="宋体" w:cs="Arial"/>
          <w:color w:val="auto"/>
          <w:szCs w:val="21"/>
          <w:highlight w:val="none"/>
          <w:lang w:val="zh-CN"/>
        </w:rPr>
        <w:t>采购人制定的指导意见。</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3、依法签订的施工监理合同；</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4、依法签订的施工承包合同；</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5、由采购人提供认可的施工图纸、施工组织设计；</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6、采购人认可的监理规范及监理实施细则；</w:t>
      </w:r>
    </w:p>
    <w:p>
      <w:pPr>
        <w:tabs>
          <w:tab w:val="left" w:pos="5250"/>
        </w:tabs>
        <w:autoSpaceDE w:val="0"/>
        <w:autoSpaceDN w:val="0"/>
        <w:adjustRightInd w:val="0"/>
        <w:spacing w:line="360" w:lineRule="auto"/>
        <w:ind w:firstLine="420" w:firstLineChars="200"/>
        <w:rPr>
          <w:rFonts w:ascii="宋体" w:hAnsi="宋体" w:cs="Arial"/>
          <w:color w:val="auto"/>
          <w:szCs w:val="21"/>
          <w:highlight w:val="none"/>
          <w:lang w:val="zh-CN"/>
        </w:rPr>
      </w:pPr>
      <w:r>
        <w:rPr>
          <w:rFonts w:hint="eastAsia" w:ascii="宋体" w:hAnsi="宋体" w:cs="Arial"/>
          <w:color w:val="auto"/>
          <w:szCs w:val="21"/>
          <w:highlight w:val="none"/>
          <w:lang w:val="zh-CN"/>
        </w:rPr>
        <w:t>7、国家、地方颁发的法规。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（二）监理服务范围与内容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监理实行总监理工程师负责制，总监理工程师行使监理合同委托的权限，全面负责受委托的监理工作。</w:t>
      </w:r>
    </w:p>
    <w:p>
      <w:pPr>
        <w:spacing w:line="360" w:lineRule="auto"/>
        <w:ind w:firstLine="420" w:firstLineChars="200"/>
        <w:outlineLvl w:val="0"/>
        <w:rPr>
          <w:rFonts w:ascii="宋体" w:hAnsi="宋体" w:cs="宋体"/>
          <w:color w:val="auto"/>
          <w:szCs w:val="21"/>
          <w:highlight w:val="none"/>
          <w:u w:val="single"/>
        </w:rPr>
      </w:pPr>
      <w:r>
        <w:rPr>
          <w:rFonts w:hint="eastAsia" w:ascii="宋体" w:hAnsi="宋体" w:cs="宋体"/>
          <w:color w:val="auto"/>
          <w:highlight w:val="none"/>
        </w:rPr>
        <w:t>监理范围</w:t>
      </w:r>
      <w:r>
        <w:rPr>
          <w:rFonts w:hint="eastAsia" w:ascii="宋体" w:hAnsi="宋体" w:cs="宋体"/>
          <w:color w:val="auto"/>
          <w:szCs w:val="21"/>
          <w:highlight w:val="none"/>
        </w:rPr>
        <w:t>：</w:t>
      </w:r>
      <w:r>
        <w:rPr>
          <w:rFonts w:hint="eastAsia" w:ascii="宋体" w:hAnsi="宋体" w:cs="宋体"/>
          <w:color w:val="auto"/>
          <w:szCs w:val="21"/>
          <w:highlight w:val="none"/>
          <w:u w:val="single"/>
        </w:rPr>
        <w:t>西峰玖墅北侧环境提升工程</w:t>
      </w:r>
      <w:r>
        <w:rPr>
          <w:rFonts w:hint="eastAsia" w:ascii="宋体" w:hAnsi="宋体" w:cs="宋体"/>
          <w:color w:val="auto"/>
          <w:highlight w:val="none"/>
          <w:u w:val="single"/>
        </w:rPr>
        <w:t>施工阶段全过程及保修阶段的全过程监理服务，包含</w:t>
      </w:r>
      <w:r>
        <w:rPr>
          <w:rFonts w:hint="eastAsia" w:ascii="宋体" w:hAnsi="宋体" w:cs="宋体"/>
          <w:color w:val="auto"/>
          <w:szCs w:val="21"/>
          <w:highlight w:val="none"/>
          <w:u w:val="single"/>
        </w:rPr>
        <w:t>西峰玖墅北侧环境提升工程</w:t>
      </w:r>
      <w:r>
        <w:rPr>
          <w:rFonts w:hint="eastAsia" w:ascii="宋体" w:hAnsi="宋体" w:cs="宋体"/>
          <w:color w:val="auto"/>
          <w:highlight w:val="none"/>
          <w:u w:val="single"/>
        </w:rPr>
        <w:t>设计施工图纸及工程量清单范围内的</w:t>
      </w:r>
      <w:r>
        <w:rPr>
          <w:rFonts w:hint="eastAsia" w:ascii="宋体" w:hAnsi="宋体" w:cs="宋体"/>
          <w:color w:val="auto"/>
          <w:szCs w:val="21"/>
          <w:highlight w:val="none"/>
          <w:u w:val="single"/>
        </w:rPr>
        <w:t>土方、景观绿化、道路、铺装、智能化、给排水、物业用房、厕所、商业等配套建筑物、构筑物、装饰、照明亮化、</w:t>
      </w:r>
      <w:r>
        <w:rPr>
          <w:rFonts w:hint="eastAsia" w:ascii="宋体" w:hAnsi="宋体" w:cs="宋体"/>
          <w:color w:val="auto"/>
          <w:kern w:val="0"/>
          <w:szCs w:val="21"/>
          <w:highlight w:val="none"/>
          <w:u w:val="single"/>
        </w:rPr>
        <w:t>供电管道、</w:t>
      </w:r>
      <w:r>
        <w:rPr>
          <w:rFonts w:hint="eastAsia" w:ascii="宋体" w:hAnsi="宋体" w:cs="宋体"/>
          <w:color w:val="auto"/>
          <w:szCs w:val="21"/>
          <w:highlight w:val="none"/>
          <w:u w:val="single"/>
        </w:rPr>
        <w:t>道闸、雕塑、标识标牌、导视系统及配套工程</w:t>
      </w:r>
      <w:r>
        <w:rPr>
          <w:rFonts w:hint="eastAsia" w:ascii="宋体" w:hAnsi="宋体" w:cs="宋体"/>
          <w:color w:val="auto"/>
          <w:kern w:val="0"/>
          <w:szCs w:val="21"/>
          <w:highlight w:val="none"/>
          <w:u w:val="single"/>
        </w:rPr>
        <w:t>等项目建议书、可行性研究报告批复中涉及到的所有工程的施工阶段全过程及保修阶段的监理。</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u w:val="single"/>
        </w:rPr>
        <w:t>施工阶段和保修阶段的四控制、两管理、一协调。包含但不限于以下事项：（1）投资控制（涉及工程造价的签证、设计变更、技术方案核定等事项须征得委托人书面签证批准）；（2）进度控制；（3）质量控制；（4）安全控制；（5）信息管理；（6）合同管理；（7）组织协调；（8）质量保修期的监理工作；（9）委托人委托的其他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具体内容为：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1、协助采购人与承包商编写开工报告，协助采购人办理开工手续。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2、确认承包商选择的分包商。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3、参加施工图会审。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4、审查承包商提出的施工组织设计、施工技术方案、施工进度计划、施工质量保证体系和施工安全保证体系。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5、督促、检查承包商严格执行承包合同和国家技术规范、标准，协调采购人和承包商之间的关系。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监理单位对本工程所使用的大宗材料和主要、重要材料的检测试验，做好见证取样工作，其方法和检测频率必须按照国家有关规定执行。如发生质量争议需送建设行业主管部门指定单位检测试验的，应事先报告采购人并经采购人代表同意后，检测费用由采购人支付或按合同约定结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7、根据施工进度计划协助采购人编制用款计划；审核经质量验收合格的工程量，并签证工程款支付申请表；协助采购人进行工程竣工结算工作。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8、审批承包商报送的施工总进度计划；审批承包商编制的年、季、月度施工计划；分阶段协调施工进度计划，及时提出调整意见，督促承包商实施进度计划。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9、督促承包商严格按现行规范、规程、强制性质量控制标准和设计要求施工、控制工程质量。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10、督促、检查承包商落实施工安全保证措施。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11、组织分项工程和隐蔽工程的检查、验收、签发工程付款凭证。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12、负责施工现场签证。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13、督促承包商整理合同文件和技术档案资料。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14、组织采购人和承包商进行工程竣工初步验收。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15、提出质量评估报告。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16、参加验收，协助采购人审查结算。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17、检查项目状况，参与鉴定质量责任。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18、督促承包商回访。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19、督促承包商及时完成未完尾项，维修出现的缺陷。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采购人视项目的具体情况，对监理工作内容可能会有一定的修改或调整，修改或调整事项在监理委托合同中予以明确。</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（三）监理单位的主要责任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质量责任：监理单位须承担工程施工监督检查义务，并用书面形式向采购人详细报告其监督和检查中发现的有关问题。监理应确保承包商按合同文件的要求进行施工，并努力确保施工质量达到合同约定的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全管理责任：监理单位须对承包商所提交的安全措施计划进行审核，制订一份综合安全措施计划递交采购人；施工期间，监理单位须监督承包商遵守安全措施中的各项要求；监理单位须与代表政府的安全检查部门进行合作以保证职工安全和健康条例的贯彻实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度控制责任：监理单位为保证工程在计划完工日期内完工，须制订一份符合实际的综合性的工程进度计划，但为使该进度计划得以实施的最终权力仍由采购人控制。在进度方面监理单位与各承包商之间出现任何分歧时，监理单位负责立即以书面形式将有关的详细情况，适用的合同条款以及建议采购人应采取的行动方案告知采购人。在收到采购人的书面解释或答复之后，监理单位须迅速将其转达给承包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4、投资控制责任：承包商虚报了已完工程量，但监理单位（无论是否故意）仍然如数签发了承包商所申请的工程款而不作任何反应，则监理单位应承担工程款签发不当的责任。</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监理单位不得具有下列行为：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1、与被监理的承包单位串通，弄虚作假，降低质量标准；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2、转让监理业务；</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3、与项目的承包单位或建筑材料、构配件和设备供应单位有隶属关系、经营性服务关系或其他利害关系，接受该建设工程承包单位的监理委托。</w:t>
      </w:r>
    </w:p>
    <w:p>
      <w:pPr>
        <w:pStyle w:val="21"/>
        <w:widowControl w:val="0"/>
        <w:spacing w:before="0" w:beforeAutospacing="0" w:after="0" w:afterAutospacing="0" w:line="360" w:lineRule="auto"/>
        <w:ind w:firstLine="422" w:firstLineChars="200"/>
        <w:jc w:val="both"/>
        <w:rPr>
          <w:color w:val="auto"/>
          <w:sz w:val="21"/>
          <w:szCs w:val="21"/>
          <w:highlight w:val="none"/>
        </w:rPr>
      </w:pPr>
      <w:r>
        <w:rPr>
          <w:rFonts w:hint="eastAsia"/>
          <w:b/>
          <w:color w:val="auto"/>
          <w:kern w:val="2"/>
          <w:sz w:val="21"/>
          <w:szCs w:val="21"/>
          <w:highlight w:val="none"/>
        </w:rPr>
        <w:t>（四）监理单位的工作方法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监理工作方法主要包括：日巡、日查、月检（考评）、现场拍照、记录等。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1、监理人员在监理过程中，应及时做好监理日记，并保存好相关资料。当采购人及有关部门检查某项施工内容时，监理单位必须积极配合，主动提供监理日记检查部位的工程记录和相关资料；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2、监理单位和监理人员必须对所签证工程量的真实性负责，所签证的内容必须有相关记录；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监理单位和监理人员对于施工单位上报的期间计量、设计变更和结算资料必须进行复核，保证资料的真实性和完整性，对于涉及的工程价款必须进行审核确认。工程结算经监理审核确认后上报审计、财政部门审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4、呈报表格必须及时送到本项目采购方及有关管理负责人，反映意见表的呈送时间不得超过合同约定的时间。</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（五）监理单位项目组及有关配备设施要求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监理单位针对本项目应专门成立监理工作组常驻现场管理，包括但不限于：</w:t>
      </w:r>
      <w:r>
        <w:rPr>
          <w:rFonts w:hint="eastAsia" w:ascii="宋体" w:hAnsi="宋体" w:cs="宋体"/>
          <w:bCs/>
          <w:color w:val="auto"/>
          <w:szCs w:val="21"/>
          <w:highlight w:val="none"/>
          <w:u w:val="single"/>
        </w:rPr>
        <w:t>监理工作组不少于4人，包括总监理工程师1名，全职在岗；</w:t>
      </w:r>
      <w:r>
        <w:rPr>
          <w:rFonts w:hint="eastAsia" w:ascii="宋体" w:hAnsi="宋体"/>
          <w:color w:val="auto"/>
          <w:highlight w:val="none"/>
          <w:u w:val="single"/>
        </w:rPr>
        <w:t>主专业监理工程师：1 人，专业要求：</w:t>
      </w:r>
      <w:r>
        <w:rPr>
          <w:rFonts w:hint="eastAsia" w:ascii="宋体" w:hAnsi="宋体"/>
          <w:color w:val="auto"/>
          <w:szCs w:val="21"/>
          <w:highlight w:val="none"/>
          <w:u w:val="single"/>
        </w:rPr>
        <w:t>风景园林、观赏园艺、园林绿化、园林建筑、现代园艺、景观绿化等</w:t>
      </w:r>
      <w:r>
        <w:rPr>
          <w:rFonts w:hint="eastAsia" w:ascii="宋体" w:hAnsi="宋体" w:cs="宋体"/>
          <w:color w:val="auto"/>
          <w:szCs w:val="21"/>
          <w:highlight w:val="none"/>
          <w:u w:val="single"/>
        </w:rPr>
        <w:t>相关或相近专业；</w:t>
      </w:r>
      <w:r>
        <w:rPr>
          <w:rFonts w:hint="eastAsia" w:ascii="宋体" w:hAnsi="宋体"/>
          <w:color w:val="auto"/>
          <w:highlight w:val="none"/>
          <w:u w:val="single"/>
        </w:rPr>
        <w:t>注：国家注册监理工程师担任主专业监理工程师的，其注册专业为市政公用工程专业即可，无需提供学历专业；专业监理工程师及工程类其他注册执业资格人员担任主专业监理工程师的，专业认定以毕业证书所学专业为准；配套专业监理工程师专业认定以毕业证书所学专业为准，</w:t>
      </w:r>
      <w:r>
        <w:rPr>
          <w:rFonts w:hint="eastAsia" w:ascii="宋体" w:hAnsi="宋体" w:cs="宋体"/>
          <w:bCs/>
          <w:color w:val="auto"/>
          <w:szCs w:val="21"/>
          <w:highlight w:val="none"/>
          <w:u w:val="single"/>
        </w:rPr>
        <w:t>全职在岗；监理员2名，全职在岗；</w:t>
      </w:r>
      <w:r>
        <w:rPr>
          <w:rFonts w:hint="eastAsia" w:ascii="宋体" w:hAnsi="宋体" w:cs="宋体"/>
          <w:color w:val="auto"/>
          <w:szCs w:val="21"/>
          <w:highlight w:val="none"/>
        </w:rPr>
        <w:t>配备服务项目所需的检测设备及办公设备。施工单位免费向监理单位提供办公用房一间。</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lang w:val="zh-CN"/>
        </w:rPr>
        <w:t>（六）</w:t>
      </w:r>
      <w:r>
        <w:rPr>
          <w:rFonts w:hint="eastAsia" w:ascii="宋体" w:hAnsi="宋体" w:cs="宋体"/>
          <w:b/>
          <w:color w:val="auto"/>
          <w:kern w:val="0"/>
          <w:szCs w:val="21"/>
          <w:highlight w:val="none"/>
        </w:rPr>
        <w:t>工作协调</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接受采购人委托，负责协调本项目所涉及的各单位之间的工作关系，并协调解决项目过程中的各类纠纷及安全事故的协调处理。</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（七）监理服务准则要求</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1、维护国家的荣誉和利益，按照“守法、诚信、公正、科学”的准则执业。</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2、执行有关项目建设的法律、法规、规范、标准和制度，履行监理合同规定的义务和职责。</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3、不收受被监理单位的任何礼金等。</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4、不泄漏所监理项目各方认为需要保密的事项。</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5、遵守国家的法律和政府的有关条例、规定和办法等。</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6、认真履行项目建设监理合同所承诺的义务和承担约定的责任。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7、坚持公正的立场，公平地处理有关各方的争议。</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8、坚持科学的态度和实事求是的原则。</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9、在坚持按监理合同的规定向采购单位提供技术服务的同时，帮助被监理者完成其担负的建设任务。</w:t>
      </w:r>
    </w:p>
    <w:p>
      <w:pPr>
        <w:pStyle w:val="21"/>
        <w:widowControl w:val="0"/>
        <w:tabs>
          <w:tab w:val="left" w:pos="425"/>
        </w:tabs>
        <w:adjustRightInd w:val="0"/>
        <w:snapToGrid w:val="0"/>
        <w:spacing w:before="0" w:beforeAutospacing="0" w:after="0" w:afterAutospacing="0" w:line="360" w:lineRule="auto"/>
        <w:ind w:firstLine="398" w:firstLineChars="200"/>
        <w:jc w:val="both"/>
        <w:rPr>
          <w:color w:val="auto"/>
          <w:spacing w:val="-6"/>
          <w:sz w:val="21"/>
          <w:szCs w:val="21"/>
          <w:highlight w:val="none"/>
        </w:rPr>
      </w:pPr>
      <w:r>
        <w:rPr>
          <w:rFonts w:hint="eastAsia"/>
          <w:b/>
          <w:color w:val="auto"/>
          <w:spacing w:val="-6"/>
          <w:sz w:val="21"/>
          <w:szCs w:val="21"/>
          <w:highlight w:val="none"/>
        </w:rPr>
        <w:t>（八）服务期限：</w:t>
      </w:r>
      <w:r>
        <w:rPr>
          <w:rFonts w:hint="eastAsia"/>
          <w:color w:val="auto"/>
          <w:spacing w:val="-6"/>
          <w:kern w:val="2"/>
          <w:sz w:val="21"/>
          <w:szCs w:val="21"/>
          <w:highlight w:val="none"/>
          <w:lang w:val="zh-CN"/>
        </w:rPr>
        <w:t>从签订监理合同之日起，至所有项目验收并通过审计直至</w:t>
      </w:r>
      <w:r>
        <w:rPr>
          <w:rFonts w:hint="eastAsia"/>
          <w:color w:val="auto"/>
          <w:sz w:val="21"/>
          <w:szCs w:val="21"/>
          <w:highlight w:val="none"/>
        </w:rPr>
        <w:t>缺陷服务期满</w:t>
      </w:r>
      <w:r>
        <w:rPr>
          <w:rFonts w:hint="eastAsia"/>
          <w:color w:val="auto"/>
          <w:spacing w:val="-6"/>
          <w:kern w:val="2"/>
          <w:sz w:val="21"/>
          <w:szCs w:val="21"/>
          <w:highlight w:val="none"/>
          <w:lang w:val="zh-CN"/>
        </w:rPr>
        <w:t>。</w:t>
      </w:r>
      <w:r>
        <w:rPr>
          <w:rFonts w:hint="eastAsia"/>
          <w:color w:val="auto"/>
          <w:spacing w:val="-6"/>
          <w:sz w:val="21"/>
          <w:szCs w:val="21"/>
          <w:highlight w:val="none"/>
        </w:rPr>
        <w:t>履行合同的过程中，确因在现有水平和条件下难以克服的技术困难，导致部分或全部失败所造成的损失，风险责任由成交供应商全部承担。</w:t>
      </w:r>
    </w:p>
    <w:p>
      <w:pPr>
        <w:autoSpaceDE w:val="0"/>
        <w:autoSpaceDN w:val="0"/>
        <w:adjustRightInd w:val="0"/>
        <w:snapToGrid w:val="0"/>
        <w:spacing w:line="360" w:lineRule="auto"/>
        <w:ind w:firstLine="422" w:firstLineChars="200"/>
        <w:rPr>
          <w:rFonts w:ascii="宋体" w:hAnsi="宋体" w:cs="仿宋_GB2312"/>
          <w:color w:val="auto"/>
          <w:szCs w:val="21"/>
          <w:highlight w:val="none"/>
        </w:rPr>
      </w:pPr>
      <w:r>
        <w:rPr>
          <w:rFonts w:hint="eastAsia" w:ascii="宋体" w:hAnsi="宋体" w:cs="仿宋_GB2312"/>
          <w:b/>
          <w:color w:val="auto"/>
          <w:szCs w:val="21"/>
          <w:highlight w:val="none"/>
        </w:rPr>
        <w:t>（九）其它要求：</w:t>
      </w:r>
    </w:p>
    <w:p>
      <w:pPr>
        <w:pStyle w:val="72"/>
        <w:widowControl/>
        <w:snapToGrid w:val="0"/>
        <w:spacing w:line="360" w:lineRule="auto"/>
        <w:ind w:firstLine="420" w:firstLineChars="200"/>
        <w:rPr>
          <w:rFonts w:hint="default" w:hAnsi="宋体" w:eastAsia="宋体"/>
          <w:color w:val="auto"/>
          <w:sz w:val="21"/>
          <w:szCs w:val="21"/>
          <w:highlight w:val="none"/>
        </w:rPr>
      </w:pPr>
      <w:r>
        <w:rPr>
          <w:rFonts w:hint="default" w:hAnsi="宋体" w:eastAsia="宋体"/>
          <w:color w:val="auto"/>
          <w:sz w:val="21"/>
          <w:szCs w:val="21"/>
          <w:highlight w:val="none"/>
        </w:rPr>
        <w:t>1</w:t>
      </w:r>
      <w:r>
        <w:rPr>
          <w:rFonts w:hAnsi="宋体" w:eastAsia="宋体"/>
          <w:color w:val="auto"/>
          <w:sz w:val="21"/>
          <w:szCs w:val="21"/>
          <w:highlight w:val="none"/>
        </w:rPr>
        <w:t>、成交供应商应对所投项目的全部内容进行报价，只投其中部分内容者，其响应文件将被拒绝。</w:t>
      </w:r>
    </w:p>
    <w:p>
      <w:pPr>
        <w:pStyle w:val="72"/>
        <w:widowControl/>
        <w:snapToGrid w:val="0"/>
        <w:spacing w:line="360" w:lineRule="auto"/>
        <w:ind w:firstLine="420" w:firstLineChars="200"/>
        <w:rPr>
          <w:rFonts w:hint="default" w:hAnsi="宋体" w:eastAsia="宋体"/>
          <w:color w:val="auto"/>
          <w:sz w:val="21"/>
          <w:szCs w:val="21"/>
          <w:highlight w:val="none"/>
        </w:rPr>
      </w:pPr>
      <w:r>
        <w:rPr>
          <w:rFonts w:hint="default" w:hAnsi="宋体" w:eastAsia="宋体"/>
          <w:color w:val="auto"/>
          <w:sz w:val="21"/>
          <w:szCs w:val="21"/>
          <w:highlight w:val="none"/>
        </w:rPr>
        <w:t>2、成交</w:t>
      </w:r>
      <w:r>
        <w:rPr>
          <w:rFonts w:hAnsi="宋体" w:eastAsia="宋体"/>
          <w:color w:val="auto"/>
          <w:sz w:val="21"/>
          <w:szCs w:val="21"/>
          <w:highlight w:val="none"/>
        </w:rPr>
        <w:t>供应商</w:t>
      </w:r>
      <w:r>
        <w:rPr>
          <w:rFonts w:hint="default" w:hAnsi="宋体" w:eastAsia="宋体"/>
          <w:color w:val="auto"/>
          <w:sz w:val="21"/>
          <w:szCs w:val="21"/>
          <w:highlight w:val="none"/>
        </w:rPr>
        <w:t>对服务缺陷不予更正，采购</w:t>
      </w:r>
      <w:r>
        <w:rPr>
          <w:rFonts w:hAnsi="宋体" w:eastAsia="宋体"/>
          <w:color w:val="auto"/>
          <w:sz w:val="21"/>
          <w:szCs w:val="21"/>
          <w:highlight w:val="none"/>
        </w:rPr>
        <w:t>人</w:t>
      </w:r>
      <w:r>
        <w:rPr>
          <w:rFonts w:hint="default" w:hAnsi="宋体" w:eastAsia="宋体"/>
          <w:color w:val="auto"/>
          <w:sz w:val="21"/>
          <w:szCs w:val="21"/>
          <w:highlight w:val="none"/>
        </w:rPr>
        <w:t>有权另请其他</w:t>
      </w:r>
      <w:r>
        <w:rPr>
          <w:rFonts w:hAnsi="宋体" w:eastAsia="宋体"/>
          <w:color w:val="auto"/>
          <w:sz w:val="21"/>
          <w:szCs w:val="21"/>
          <w:highlight w:val="none"/>
        </w:rPr>
        <w:t>供应商</w:t>
      </w:r>
      <w:r>
        <w:rPr>
          <w:rFonts w:hint="default" w:hAnsi="宋体" w:eastAsia="宋体"/>
          <w:color w:val="auto"/>
          <w:sz w:val="21"/>
          <w:szCs w:val="21"/>
          <w:highlight w:val="none"/>
        </w:rPr>
        <w:t>更正，所发生的费用在剩余服务费用中扣除。</w:t>
      </w:r>
    </w:p>
    <w:p>
      <w:pPr>
        <w:pStyle w:val="72"/>
        <w:widowControl/>
        <w:snapToGrid w:val="0"/>
        <w:spacing w:line="360" w:lineRule="auto"/>
        <w:ind w:firstLine="420" w:firstLineChars="200"/>
        <w:rPr>
          <w:rFonts w:hint="default" w:hAnsi="宋体" w:eastAsia="宋体"/>
          <w:color w:val="auto"/>
          <w:sz w:val="21"/>
          <w:szCs w:val="21"/>
          <w:highlight w:val="none"/>
        </w:rPr>
      </w:pPr>
      <w:r>
        <w:rPr>
          <w:rFonts w:hint="default" w:hAnsi="宋体" w:eastAsia="宋体"/>
          <w:color w:val="auto"/>
          <w:sz w:val="21"/>
          <w:szCs w:val="21"/>
          <w:highlight w:val="none"/>
        </w:rPr>
        <w:t>3</w:t>
      </w:r>
      <w:r>
        <w:rPr>
          <w:rFonts w:hAnsi="宋体" w:eastAsia="宋体"/>
          <w:color w:val="auto"/>
          <w:sz w:val="21"/>
          <w:szCs w:val="21"/>
          <w:highlight w:val="none"/>
        </w:rPr>
        <w:t>、成交供应商须按照采购人的要求对该采购项目进行服务工作。成交供应商如出现重大责任问题，采购人有权取消其成交资格。</w:t>
      </w:r>
    </w:p>
    <w:p>
      <w:pPr>
        <w:pStyle w:val="12"/>
        <w:spacing w:line="360" w:lineRule="auto"/>
        <w:ind w:firstLine="420" w:firstLineChars="200"/>
        <w:rPr>
          <w:rFonts w:hAnsi="宋体" w:cs="宋体"/>
          <w:color w:val="auto"/>
          <w:sz w:val="21"/>
          <w:highlight w:val="none"/>
        </w:rPr>
      </w:pPr>
    </w:p>
    <w:p>
      <w:pPr>
        <w:spacing w:beforeLines="50" w:afterLines="50"/>
        <w:jc w:val="center"/>
        <w:outlineLvl w:val="0"/>
        <w:rPr>
          <w:rFonts w:ascii="宋体" w:cs="宋体"/>
          <w:b/>
          <w:color w:val="auto"/>
          <w:szCs w:val="21"/>
          <w:highlight w:val="none"/>
        </w:rPr>
      </w:pPr>
    </w:p>
    <w:p>
      <w:pPr>
        <w:spacing w:beforeLines="50" w:afterLines="50"/>
        <w:jc w:val="center"/>
        <w:outlineLvl w:val="0"/>
        <w:rPr>
          <w:rFonts w:ascii="宋体" w:cs="宋体"/>
          <w:b/>
          <w:color w:val="auto"/>
          <w:sz w:val="28"/>
          <w:szCs w:val="28"/>
          <w:highlight w:val="none"/>
        </w:rPr>
      </w:pPr>
    </w:p>
    <w:bookmarkEnd w:id="149"/>
    <w:p>
      <w:pPr>
        <w:pStyle w:val="39"/>
        <w:rPr>
          <w:color w:val="auto"/>
          <w:highlight w:val="none"/>
        </w:rPr>
      </w:pPr>
      <w:bookmarkStart w:id="173" w:name="_Toc508646227"/>
      <w:bookmarkStart w:id="174" w:name="_Toc528836794"/>
      <w:bookmarkStart w:id="175" w:name="_Toc503874597"/>
    </w:p>
    <w:p>
      <w:pPr>
        <w:pStyle w:val="40"/>
        <w:spacing w:after="78"/>
        <w:ind w:firstLine="440"/>
        <w:rPr>
          <w:color w:val="auto"/>
          <w:highlight w:val="none"/>
          <w:lang w:eastAsia="zh-CN"/>
        </w:rPr>
      </w:pPr>
    </w:p>
    <w:p>
      <w:pPr>
        <w:pStyle w:val="41"/>
        <w:rPr>
          <w:color w:val="auto"/>
          <w:highlight w:val="none"/>
        </w:rPr>
      </w:pPr>
    </w:p>
    <w:p>
      <w:pPr>
        <w:pStyle w:val="20"/>
        <w:rPr>
          <w:color w:val="auto"/>
          <w:highlight w:val="none"/>
        </w:rPr>
      </w:pPr>
    </w:p>
    <w:p>
      <w:pPr>
        <w:rPr>
          <w:color w:val="auto"/>
          <w:highlight w:val="none"/>
        </w:rPr>
      </w:pPr>
    </w:p>
    <w:p>
      <w:pPr>
        <w:pStyle w:val="35"/>
        <w:ind w:firstLine="420"/>
        <w:rPr>
          <w:color w:val="auto"/>
          <w:highlight w:val="none"/>
        </w:rPr>
      </w:pPr>
    </w:p>
    <w:p>
      <w:pPr>
        <w:pStyle w:val="36"/>
        <w:ind w:left="480" w:hanging="480"/>
        <w:rPr>
          <w:color w:val="auto"/>
          <w:highlight w:val="none"/>
        </w:rPr>
      </w:pPr>
    </w:p>
    <w:p>
      <w:pPr>
        <w:pStyle w:val="37"/>
        <w:rPr>
          <w:color w:val="auto"/>
          <w:highlight w:val="none"/>
        </w:rPr>
      </w:pPr>
    </w:p>
    <w:p>
      <w:pPr>
        <w:pStyle w:val="38"/>
        <w:rPr>
          <w:color w:val="auto"/>
          <w:highlight w:val="none"/>
        </w:rPr>
      </w:pPr>
    </w:p>
    <w:p>
      <w:pPr>
        <w:pStyle w:val="40"/>
        <w:spacing w:after="78"/>
        <w:ind w:firstLine="440"/>
        <w:rPr>
          <w:color w:val="auto"/>
          <w:highlight w:val="none"/>
          <w:lang w:eastAsia="zh-CN"/>
        </w:rPr>
      </w:pPr>
    </w:p>
    <w:p>
      <w:pPr>
        <w:pStyle w:val="41"/>
        <w:rPr>
          <w:color w:val="auto"/>
          <w:highlight w:val="none"/>
        </w:rPr>
      </w:pPr>
    </w:p>
    <w:p>
      <w:pPr>
        <w:pStyle w:val="20"/>
        <w:rPr>
          <w:color w:val="auto"/>
          <w:highlight w:val="none"/>
        </w:rPr>
      </w:pPr>
    </w:p>
    <w:p>
      <w:pPr>
        <w:pStyle w:val="38"/>
        <w:rPr>
          <w:color w:val="auto"/>
          <w:highlight w:val="none"/>
        </w:rPr>
      </w:pPr>
    </w:p>
    <w:p>
      <w:pPr>
        <w:pStyle w:val="37"/>
        <w:ind w:left="0" w:firstLine="0"/>
        <w:rPr>
          <w:rFonts w:ascii="宋体"/>
          <w:color w:val="auto"/>
          <w:highlight w:val="none"/>
          <w:lang w:val="zh-CN"/>
        </w:rPr>
      </w:pPr>
    </w:p>
    <w:p>
      <w:pPr>
        <w:pStyle w:val="38"/>
        <w:rPr>
          <w:rFonts w:ascii="宋体"/>
          <w:color w:val="auto"/>
          <w:highlight w:val="none"/>
        </w:rPr>
      </w:pPr>
    </w:p>
    <w:p>
      <w:pPr>
        <w:widowControl/>
        <w:jc w:val="center"/>
        <w:rPr>
          <w:rFonts w:ascii="宋体" w:cs="宋体"/>
          <w:b/>
          <w:bCs/>
          <w:color w:val="auto"/>
          <w:sz w:val="36"/>
          <w:highlight w:val="none"/>
        </w:rPr>
      </w:pPr>
      <w:r>
        <w:rPr>
          <w:rFonts w:hint="eastAsia" w:ascii="宋体" w:hAnsi="宋体" w:cs="宋体"/>
          <w:b/>
          <w:bCs/>
          <w:color w:val="auto"/>
          <w:sz w:val="36"/>
          <w:highlight w:val="none"/>
        </w:rPr>
        <w:t>第五章</w:t>
      </w:r>
      <w:r>
        <w:rPr>
          <w:rFonts w:ascii="宋体" w:hAnsi="宋体" w:cs="宋体"/>
          <w:b/>
          <w:bCs/>
          <w:color w:val="auto"/>
          <w:sz w:val="36"/>
          <w:highlight w:val="none"/>
        </w:rPr>
        <w:t xml:space="preserve"> </w:t>
      </w:r>
      <w:r>
        <w:rPr>
          <w:rFonts w:hint="eastAsia" w:ascii="宋体" w:hAnsi="宋体" w:cs="宋体"/>
          <w:b/>
          <w:bCs/>
          <w:color w:val="auto"/>
          <w:sz w:val="36"/>
          <w:highlight w:val="none"/>
        </w:rPr>
        <w:t>评审方法和评审标准</w:t>
      </w:r>
    </w:p>
    <w:p>
      <w:pPr>
        <w:pStyle w:val="19"/>
        <w:spacing w:before="0" w:after="0" w:line="480" w:lineRule="auto"/>
        <w:jc w:val="both"/>
        <w:rPr>
          <w:rFonts w:ascii="宋体" w:cs="宋体"/>
          <w:bCs w:val="0"/>
          <w:color w:val="auto"/>
          <w:kern w:val="2"/>
          <w:sz w:val="21"/>
          <w:szCs w:val="21"/>
          <w:highlight w:val="none"/>
        </w:rPr>
      </w:pPr>
      <w:r>
        <w:rPr>
          <w:rFonts w:hint="eastAsia" w:ascii="宋体" w:hAnsi="宋体" w:cs="宋体"/>
          <w:bCs w:val="0"/>
          <w:color w:val="auto"/>
          <w:kern w:val="2"/>
          <w:sz w:val="21"/>
          <w:szCs w:val="21"/>
          <w:highlight w:val="none"/>
        </w:rPr>
        <w:t>一、评标方法</w:t>
      </w:r>
      <w:bookmarkEnd w:id="173"/>
      <w:bookmarkEnd w:id="174"/>
      <w:bookmarkEnd w:id="175"/>
    </w:p>
    <w:p>
      <w:pPr>
        <w:pStyle w:val="59"/>
        <w:spacing w:before="0" w:after="0" w:line="400" w:lineRule="exact"/>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投标人为排名第一的中标候选人。</w:t>
      </w:r>
    </w:p>
    <w:p>
      <w:pPr>
        <w:spacing w:line="400" w:lineRule="exact"/>
        <w:rPr>
          <w:rFonts w:ascii="宋体" w:cs="宋体"/>
          <w:b/>
          <w:color w:val="auto"/>
          <w:szCs w:val="21"/>
          <w:highlight w:val="none"/>
        </w:rPr>
      </w:pPr>
      <w:bookmarkStart w:id="176" w:name="_Toc449017024"/>
      <w:bookmarkStart w:id="177" w:name="_Toc449016388"/>
      <w:r>
        <w:rPr>
          <w:rFonts w:hint="eastAsia" w:ascii="宋体" w:hAnsi="宋体" w:cs="宋体"/>
          <w:b/>
          <w:color w:val="auto"/>
          <w:szCs w:val="21"/>
          <w:highlight w:val="none"/>
        </w:rPr>
        <w:t>二、小型和微型企业产品价格扣除及政府采购不诚信记录扣分评审</w:t>
      </w:r>
      <w:bookmarkEnd w:id="176"/>
      <w:bookmarkEnd w:id="177"/>
    </w:p>
    <w:p>
      <w:pPr>
        <w:spacing w:line="360" w:lineRule="auto"/>
        <w:ind w:firstLine="420" w:firstLineChars="200"/>
        <w:rPr>
          <w:rFonts w:ascii="宋体" w:cs="宋体"/>
          <w:b/>
          <w:color w:val="auto"/>
          <w:szCs w:val="21"/>
          <w:highlight w:val="none"/>
        </w:rPr>
      </w:pPr>
      <w:r>
        <w:rPr>
          <w:rFonts w:hint="eastAsia" w:ascii="宋体" w:hAnsi="宋体" w:cs="宋体"/>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59"/>
        <w:spacing w:before="0" w:after="0"/>
        <w:ind w:left="420" w:leftChars="200" w:firstLine="0"/>
        <w:rPr>
          <w:rFonts w:ascii="宋体" w:cs="宋体"/>
          <w:color w:val="auto"/>
          <w:kern w:val="2"/>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、小微型企业价格扣除</w:t>
      </w:r>
      <w:r>
        <w:rPr>
          <w:rFonts w:ascii="宋体" w:cs="宋体"/>
          <w:color w:val="auto"/>
          <w:kern w:val="2"/>
          <w:sz w:val="21"/>
          <w:szCs w:val="21"/>
          <w:highlight w:val="none"/>
        </w:rPr>
        <w:br w:type="textWrapping"/>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）本项目对小型和微型企业产品给予</w:t>
      </w:r>
      <w:r>
        <w:rPr>
          <w:rFonts w:ascii="宋体" w:hAnsi="宋体" w:cs="宋体"/>
          <w:color w:val="auto"/>
          <w:kern w:val="2"/>
          <w:sz w:val="21"/>
          <w:szCs w:val="21"/>
          <w:highlight w:val="none"/>
        </w:rPr>
        <w:t>10%</w:t>
      </w:r>
      <w:r>
        <w:rPr>
          <w:rFonts w:hint="eastAsia" w:ascii="宋体" w:hAnsi="宋体" w:cs="宋体"/>
          <w:color w:val="auto"/>
          <w:kern w:val="2"/>
          <w:sz w:val="21"/>
          <w:szCs w:val="21"/>
          <w:highlight w:val="none"/>
        </w:rPr>
        <w:t>的扣除价格，用扣除后的价格参与评审。</w:t>
      </w:r>
    </w:p>
    <w:p>
      <w:pPr>
        <w:pStyle w:val="59"/>
        <w:spacing w:before="0" w:after="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）供应商需按照采购文件的要求提供相应的《企业声明函》。</w:t>
      </w:r>
    </w:p>
    <w:p>
      <w:pPr>
        <w:pStyle w:val="59"/>
        <w:spacing w:before="0" w:after="0" w:line="400" w:lineRule="exact"/>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 xml:space="preserve"> 2</w:t>
      </w:r>
      <w:r>
        <w:rPr>
          <w:rFonts w:hint="eastAsia" w:ascii="宋体" w:hAnsi="宋体" w:cs="宋体"/>
          <w:color w:val="auto"/>
          <w:kern w:val="2"/>
          <w:sz w:val="21"/>
          <w:szCs w:val="21"/>
          <w:highlight w:val="none"/>
        </w:rPr>
        <w:t>、残疾人福利单位价格扣除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）本项目对残疾人福利性单位视同小型、微型企业，给予</w:t>
      </w:r>
      <w:r>
        <w:rPr>
          <w:rFonts w:ascii="宋体" w:hAnsi="宋体" w:cs="宋体"/>
          <w:color w:val="auto"/>
          <w:kern w:val="2"/>
          <w:sz w:val="21"/>
          <w:szCs w:val="21"/>
          <w:highlight w:val="none"/>
        </w:rPr>
        <w:t>10%</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）残疾人福利单位需按照采购文件的要求提供《残疾人福利性单位声明函》。</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）残疾人福利单位标准请参照《关于促进残疾人就业政府采购政策的通知》（财库〔</w:t>
      </w:r>
      <w:r>
        <w:rPr>
          <w:rFonts w:ascii="宋体" w:hAnsi="宋体" w:cs="宋体"/>
          <w:color w:val="auto"/>
          <w:kern w:val="2"/>
          <w:sz w:val="21"/>
          <w:szCs w:val="21"/>
          <w:highlight w:val="none"/>
        </w:rPr>
        <w:t>2017</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141</w:t>
      </w:r>
      <w:r>
        <w:rPr>
          <w:rFonts w:hint="eastAsia" w:ascii="宋体" w:hAnsi="宋体" w:cs="宋体"/>
          <w:color w:val="auto"/>
          <w:kern w:val="2"/>
          <w:sz w:val="21"/>
          <w:szCs w:val="21"/>
          <w:highlight w:val="none"/>
        </w:rPr>
        <w:t>号）。</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3</w:t>
      </w:r>
      <w:r>
        <w:rPr>
          <w:rFonts w:hint="eastAsia" w:ascii="宋体" w:hAnsi="宋体" w:cs="宋体"/>
          <w:color w:val="auto"/>
          <w:kern w:val="2"/>
          <w:sz w:val="21"/>
          <w:szCs w:val="21"/>
          <w:highlight w:val="none"/>
        </w:rPr>
        <w:t>、监狱和戒毒企业价格扣除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）本项目对监狱和戒毒企业（简称监狱企业）视同小型、微型企业，给予</w:t>
      </w:r>
      <w:r>
        <w:rPr>
          <w:rFonts w:ascii="宋体" w:hAnsi="宋体" w:cs="宋体"/>
          <w:color w:val="auto"/>
          <w:kern w:val="2"/>
          <w:sz w:val="21"/>
          <w:szCs w:val="21"/>
          <w:highlight w:val="none"/>
        </w:rPr>
        <w:t>10%</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）监狱企业参加政府采购活动时，需提供由省级以上监狱管理局、戒毒管理局</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含新疆生产建设兵团</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出具的属于监狱企业的证明文件。供应商如不提供上述证明文件，价格将不做相应扣除。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）监狱企业标准请参照《关于政府采购支持监狱企业发展有关问题的通知》（财库</w:t>
      </w:r>
      <w:r>
        <w:rPr>
          <w:rFonts w:ascii="宋体" w:hAnsi="宋体" w:cs="宋体"/>
          <w:color w:val="auto"/>
          <w:kern w:val="2"/>
          <w:sz w:val="21"/>
          <w:szCs w:val="21"/>
          <w:highlight w:val="none"/>
        </w:rPr>
        <w:t>[2014]68</w:t>
      </w:r>
      <w:r>
        <w:rPr>
          <w:rFonts w:hint="eastAsia" w:ascii="宋体" w:hAnsi="宋体" w:cs="宋体"/>
          <w:color w:val="auto"/>
          <w:kern w:val="2"/>
          <w:sz w:val="21"/>
          <w:szCs w:val="21"/>
          <w:highlight w:val="none"/>
        </w:rPr>
        <w:t>号）。</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4</w:t>
      </w:r>
      <w:r>
        <w:rPr>
          <w:rFonts w:hint="eastAsia" w:ascii="宋体" w:hAnsi="宋体" w:cs="宋体"/>
          <w:color w:val="auto"/>
          <w:kern w:val="2"/>
          <w:sz w:val="21"/>
          <w:szCs w:val="21"/>
          <w:highlight w:val="none"/>
        </w:rPr>
        <w:t>、残疾人福利单位、监狱企业属于小型、微型企业的，不重复享受政策。</w:t>
      </w:r>
    </w:p>
    <w:p>
      <w:pPr>
        <w:pStyle w:val="59"/>
        <w:spacing w:before="0" w:after="0" w:line="400" w:lineRule="exact"/>
        <w:ind w:firstLine="396" w:firstLineChars="200"/>
        <w:rPr>
          <w:rFonts w:ascii="宋体" w:cs="宋体"/>
          <w:color w:val="auto"/>
          <w:kern w:val="2"/>
          <w:sz w:val="21"/>
          <w:szCs w:val="21"/>
          <w:highlight w:val="none"/>
        </w:rPr>
      </w:pPr>
      <w:r>
        <w:rPr>
          <w:rFonts w:ascii="宋体" w:hAnsi="宋体" w:cs="宋体"/>
          <w:color w:val="auto"/>
          <w:spacing w:val="-6"/>
          <w:kern w:val="2"/>
          <w:sz w:val="21"/>
          <w:szCs w:val="21"/>
          <w:highlight w:val="none"/>
        </w:rPr>
        <w:t>5</w:t>
      </w:r>
      <w:r>
        <w:rPr>
          <w:rFonts w:hint="eastAsia" w:ascii="宋体" w:hAnsi="宋体" w:cs="宋体"/>
          <w:color w:val="auto"/>
          <w:spacing w:val="-6"/>
          <w:kern w:val="2"/>
          <w:sz w:val="21"/>
          <w:szCs w:val="21"/>
          <w:highlight w:val="none"/>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cs="宋体"/>
          <w:color w:val="auto"/>
          <w:spacing w:val="-6"/>
          <w:kern w:val="2"/>
          <w:sz w:val="21"/>
          <w:szCs w:val="21"/>
          <w:highlight w:val="none"/>
        </w:rPr>
        <w:t>30%</w:t>
      </w:r>
      <w:r>
        <w:rPr>
          <w:rFonts w:hint="eastAsia" w:ascii="宋体" w:hAnsi="宋体" w:cs="宋体"/>
          <w:color w:val="auto"/>
          <w:spacing w:val="-6"/>
          <w:kern w:val="2"/>
          <w:sz w:val="21"/>
          <w:szCs w:val="21"/>
          <w:highlight w:val="none"/>
        </w:rPr>
        <w:t>以上的，给予联合体</w:t>
      </w:r>
      <w:r>
        <w:rPr>
          <w:rFonts w:ascii="宋体" w:hAnsi="宋体" w:cs="宋体"/>
          <w:color w:val="auto"/>
          <w:spacing w:val="-6"/>
          <w:kern w:val="2"/>
          <w:sz w:val="21"/>
          <w:szCs w:val="21"/>
          <w:highlight w:val="none"/>
        </w:rPr>
        <w:t>2%</w:t>
      </w:r>
      <w:r>
        <w:rPr>
          <w:rFonts w:hint="eastAsia" w:ascii="宋体" w:hAnsi="宋体" w:cs="宋体"/>
          <w:color w:val="auto"/>
          <w:spacing w:val="-6"/>
          <w:kern w:val="2"/>
          <w:sz w:val="21"/>
          <w:szCs w:val="21"/>
          <w:highlight w:val="none"/>
        </w:rPr>
        <w:t>的价格扣除，用扣除后的价格参与评审。</w:t>
      </w:r>
      <w:r>
        <w:rPr>
          <w:rFonts w:ascii="宋体" w:cs="宋体"/>
          <w:color w:val="auto"/>
          <w:kern w:val="2"/>
          <w:sz w:val="21"/>
          <w:szCs w:val="21"/>
          <w:highlight w:val="none"/>
        </w:rPr>
        <w:t> </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6</w:t>
      </w:r>
      <w:r>
        <w:rPr>
          <w:rFonts w:hint="eastAsia" w:ascii="宋体" w:hAnsi="宋体" w:cs="宋体"/>
          <w:color w:val="auto"/>
          <w:kern w:val="2"/>
          <w:sz w:val="21"/>
          <w:szCs w:val="21"/>
          <w:highlight w:val="none"/>
        </w:rPr>
        <w:t>、联合体各方均为小型、微型企业（残疾人福利单位、监狱企业）的，联合体享受</w:t>
      </w:r>
      <w:r>
        <w:rPr>
          <w:rFonts w:ascii="宋体" w:hAnsi="宋体" w:cs="宋体"/>
          <w:color w:val="auto"/>
          <w:kern w:val="2"/>
          <w:sz w:val="21"/>
          <w:szCs w:val="21"/>
          <w:highlight w:val="none"/>
        </w:rPr>
        <w:t>10%</w:t>
      </w:r>
      <w:r>
        <w:rPr>
          <w:rFonts w:hint="eastAsia" w:ascii="宋体" w:hAnsi="宋体" w:cs="宋体"/>
          <w:color w:val="auto"/>
          <w:kern w:val="2"/>
          <w:sz w:val="21"/>
          <w:szCs w:val="21"/>
          <w:highlight w:val="none"/>
        </w:rPr>
        <w:t>价格扣除，用扣除后的价格参与评审。</w:t>
      </w:r>
    </w:p>
    <w:p>
      <w:pPr>
        <w:pStyle w:val="59"/>
        <w:spacing w:before="0" w:after="0" w:line="400" w:lineRule="exact"/>
        <w:ind w:firstLine="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三、评标标准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8646" w:type="dxa"/>
            <w:gridSpan w:val="2"/>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报价</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15分</w:t>
            </w:r>
          </w:p>
        </w:tc>
        <w:tc>
          <w:tcPr>
            <w:tcW w:w="8646" w:type="dxa"/>
            <w:gridSpan w:val="2"/>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以满足磋商文件要求且最终报价最低的价格为磋商基准价，得满分15分。</w:t>
            </w:r>
          </w:p>
          <w:p>
            <w:pPr>
              <w:adjustRightInd w:val="0"/>
              <w:spacing w:line="400" w:lineRule="exact"/>
              <w:textAlignment w:val="baseline"/>
              <w:rPr>
                <w:rFonts w:ascii="宋体" w:hAnsi="宋体" w:cs="宋体"/>
                <w:color w:val="auto"/>
                <w:spacing w:val="-6"/>
                <w:szCs w:val="21"/>
                <w:highlight w:val="none"/>
              </w:rPr>
            </w:pPr>
            <w:r>
              <w:rPr>
                <w:rFonts w:hint="eastAsia" w:ascii="宋体" w:hAnsi="宋体" w:cs="宋体"/>
                <w:color w:val="auto"/>
                <w:spacing w:val="-6"/>
                <w:szCs w:val="21"/>
                <w:highlight w:val="none"/>
              </w:rPr>
              <w:t>其他磋商报价得分=（磋商基准价/其他最后磋商报价）×15×100%（四舍五入，保留2位小数）</w:t>
            </w:r>
          </w:p>
          <w:p>
            <w:pPr>
              <w:pStyle w:val="35"/>
              <w:spacing w:line="400" w:lineRule="exact"/>
              <w:ind w:firstLine="0" w:firstLineChars="0"/>
              <w:rPr>
                <w:rFonts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93" w:type="dxa"/>
            <w:vMerge w:val="restart"/>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技术服务方案</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45分</w:t>
            </w: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监理大纲</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4分</w:t>
            </w:r>
          </w:p>
        </w:tc>
        <w:tc>
          <w:tcPr>
            <w:tcW w:w="7087" w:type="dxa"/>
            <w:vAlign w:val="center"/>
          </w:tcPr>
          <w:p>
            <w:pPr>
              <w:adjustRightInd w:val="0"/>
              <w:spacing w:line="400" w:lineRule="exact"/>
              <w:textAlignment w:val="baseline"/>
              <w:rPr>
                <w:rFonts w:ascii="宋体" w:hAnsi="宋体" w:cs="宋体"/>
                <w:color w:val="auto"/>
                <w:spacing w:val="-6"/>
                <w:szCs w:val="21"/>
                <w:highlight w:val="none"/>
              </w:rPr>
            </w:pPr>
            <w:r>
              <w:rPr>
                <w:rFonts w:hint="eastAsia" w:ascii="宋体" w:hAnsi="宋体" w:cs="宋体"/>
                <w:color w:val="auto"/>
                <w:spacing w:val="-6"/>
                <w:szCs w:val="21"/>
                <w:highlight w:val="none"/>
              </w:rPr>
              <w:t>监理大纲要求，项目目标、范围、任务和依据明确具体，可实施性强为优得4分；</w:t>
            </w:r>
          </w:p>
          <w:p>
            <w:pPr>
              <w:pStyle w:val="35"/>
              <w:spacing w:line="400" w:lineRule="exact"/>
              <w:ind w:firstLine="0" w:firstLineChars="0"/>
              <w:rPr>
                <w:rFonts w:cs="宋体"/>
                <w:color w:val="auto"/>
                <w:szCs w:val="21"/>
                <w:highlight w:val="none"/>
              </w:rPr>
            </w:pPr>
            <w:r>
              <w:rPr>
                <w:rFonts w:hint="eastAsia" w:cs="宋体"/>
                <w:color w:val="auto"/>
                <w:szCs w:val="21"/>
                <w:highlight w:val="none"/>
              </w:rPr>
              <w:t>监理大纲要求，项目目标、范围、任务和依据较为具体，可实施性较强，可实施性较强为良好得2分；</w:t>
            </w:r>
          </w:p>
          <w:p>
            <w:pPr>
              <w:pStyle w:val="35"/>
              <w:spacing w:line="400" w:lineRule="exact"/>
              <w:ind w:firstLine="0" w:firstLineChars="0"/>
              <w:rPr>
                <w:rFonts w:cs="宋体"/>
                <w:color w:val="auto"/>
                <w:szCs w:val="21"/>
                <w:highlight w:val="none"/>
              </w:rPr>
            </w:pPr>
            <w:r>
              <w:rPr>
                <w:rFonts w:hint="eastAsia" w:cs="宋体"/>
                <w:color w:val="auto"/>
                <w:szCs w:val="21"/>
                <w:highlight w:val="none"/>
              </w:rPr>
              <w:t>监理大纲要求，项目目标、范围、任务和依据不够明确具体，可实施性一般为一般得1分。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93" w:type="dxa"/>
            <w:vMerge w:val="continue"/>
            <w:vAlign w:val="center"/>
          </w:tcPr>
          <w:p>
            <w:pPr>
              <w:adjustRightInd w:val="0"/>
              <w:spacing w:line="400" w:lineRule="exact"/>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pacing w:val="-11"/>
                <w:szCs w:val="21"/>
                <w:highlight w:val="none"/>
              </w:rPr>
            </w:pPr>
            <w:r>
              <w:rPr>
                <w:rFonts w:hint="eastAsia" w:ascii="宋体" w:hAnsi="宋体" w:cs="宋体"/>
                <w:color w:val="auto"/>
                <w:spacing w:val="-11"/>
                <w:szCs w:val="21"/>
                <w:highlight w:val="none"/>
              </w:rPr>
              <w:t>项目监理机构成员职责任务划分</w:t>
            </w:r>
          </w:p>
          <w:p>
            <w:pPr>
              <w:pStyle w:val="35"/>
              <w:spacing w:line="400" w:lineRule="exact"/>
              <w:ind w:firstLine="420"/>
              <w:rPr>
                <w:rFonts w:cs="宋体"/>
                <w:color w:val="auto"/>
                <w:szCs w:val="21"/>
                <w:highlight w:val="none"/>
              </w:rPr>
            </w:pPr>
            <w:r>
              <w:rPr>
                <w:rFonts w:hint="eastAsia" w:cs="宋体"/>
                <w:color w:val="auto"/>
                <w:szCs w:val="21"/>
                <w:highlight w:val="none"/>
              </w:rPr>
              <w:t>4分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项目监理机构成员职责任务明确，可实施性强为优得4分；</w:t>
            </w:r>
          </w:p>
          <w:p>
            <w:pPr>
              <w:pStyle w:val="35"/>
              <w:spacing w:line="400" w:lineRule="exact"/>
              <w:ind w:firstLine="0" w:firstLineChars="0"/>
              <w:rPr>
                <w:rFonts w:cs="宋体"/>
                <w:color w:val="auto"/>
                <w:szCs w:val="21"/>
                <w:highlight w:val="none"/>
              </w:rPr>
            </w:pPr>
            <w:r>
              <w:rPr>
                <w:rFonts w:hint="eastAsia" w:cs="宋体"/>
                <w:color w:val="auto"/>
                <w:szCs w:val="21"/>
                <w:highlight w:val="none"/>
              </w:rPr>
              <w:t>项目监理机构成员职责任务较明确，可实施性较强为良好得2分；</w:t>
            </w:r>
          </w:p>
          <w:p>
            <w:pPr>
              <w:pStyle w:val="35"/>
              <w:spacing w:line="400" w:lineRule="exact"/>
              <w:ind w:firstLine="0" w:firstLineChars="0"/>
              <w:rPr>
                <w:rFonts w:cs="宋体"/>
                <w:color w:val="auto"/>
                <w:szCs w:val="21"/>
                <w:highlight w:val="none"/>
              </w:rPr>
            </w:pPr>
            <w:r>
              <w:rPr>
                <w:rFonts w:hint="eastAsia" w:cs="宋体"/>
                <w:color w:val="auto"/>
                <w:szCs w:val="21"/>
                <w:highlight w:val="none"/>
              </w:rPr>
              <w:t>项目监理机构成员职责任务不够明确，可实施性不够强为一般得1分。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5分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质量控制目标及控制措施阐述详实具体、可实施性强的为优得5分；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质量控制目标及控制措施阐述较为详细具有可实施性的为良好得3分；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进度控制目标及控制措施</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5分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进度控制目标及控制措施阐述详实具体、可实施性强的为优得5分；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进度控制目标及控制措施阐述较为详细具有可实施性的为良好得3分；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进度控制目标及控制措施阐述不够详细具体可实施性一般得1分。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安全、文明施工（包括扬尘防控）控制目标及控制措施4分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安全、文明施工（包括扬尘防控）控制目标及控制措施阐述详实、明确、具体、可实施性强的为优得4分；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安全、文明施工（包括扬尘防控）控制目标及控制措施阐述较为详细具有可实施性的为良好得2分；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安全、文明施工（包括扬尘防控）控制目标及控制措施阐述不够详细具体可实施性一般得1分。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缺陷责任期的监理措施</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4分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缺陷责任期的监理措施阐述详实、明确、具体、可实施性强的为优得4分；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缺陷责任期的监理措施阐述较为详细具有可实施性的为良好得2分；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缺陷责任期的监理措施阐述不够详细具体可实施性一般得1分。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pacing w:val="-11"/>
                <w:szCs w:val="21"/>
                <w:highlight w:val="none"/>
              </w:rPr>
            </w:pPr>
            <w:r>
              <w:rPr>
                <w:rFonts w:hint="eastAsia" w:ascii="宋体" w:hAnsi="宋体" w:cs="宋体"/>
                <w:color w:val="auto"/>
                <w:spacing w:val="-11"/>
                <w:szCs w:val="21"/>
                <w:highlight w:val="none"/>
              </w:rPr>
              <w:t>工程造价控制目标及控制措施</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5分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工程造价控制目标及控制措施质量控制目标及控制措施阐述详实具体、可实施性强的为优得5分；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工程造价控制目标及控制措施阐述较为详细具有可实施性的为良好得3分；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工程造价控制目标及控制措施阐述不够详细具体可实施性一般得1分。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合同与信息管理控制目标及控制措施</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5分</w:t>
            </w:r>
          </w:p>
        </w:tc>
        <w:tc>
          <w:tcPr>
            <w:tcW w:w="7087" w:type="dxa"/>
            <w:vAlign w:val="center"/>
          </w:tcPr>
          <w:p>
            <w:pPr>
              <w:adjustRightInd w:val="0"/>
              <w:spacing w:line="400" w:lineRule="exact"/>
              <w:textAlignment w:val="baseline"/>
              <w:rPr>
                <w:rFonts w:ascii="宋体" w:hAnsi="宋体" w:cs="宋体"/>
                <w:color w:val="auto"/>
                <w:spacing w:val="-6"/>
                <w:szCs w:val="21"/>
                <w:highlight w:val="none"/>
              </w:rPr>
            </w:pPr>
            <w:r>
              <w:rPr>
                <w:rFonts w:hint="eastAsia" w:ascii="宋体" w:hAnsi="宋体" w:cs="宋体"/>
                <w:color w:val="auto"/>
                <w:spacing w:val="-6"/>
                <w:szCs w:val="21"/>
                <w:highlight w:val="none"/>
              </w:rPr>
              <w:t>合同与信息管理控制目标及控制措施阐述详实具体、可实施性强的为优得5分；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合同与信息管理控制目标及控制措施阐述较为详细具有可实施性的为良好得3分；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pacing w:val="-6"/>
                <w:szCs w:val="21"/>
                <w:highlight w:val="none"/>
              </w:rPr>
              <w:t>合同与信息管理控制目标及控制措施阐述不够详细具体可实施性一般得1分。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对本工程监理重点、难点和关键部分的阐明及监理实施意见5分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重点、难点和关键部分的阐明及监理实施意见阐述贴合项目实际情况、重难点分析和关键工作阐述具有针对性、监理实施意见详实具体、可实施性强的为优得5分；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重点、难点和关键部分的阐明及监理实施意见阐述基本符合项目的情况，阐述较为详细具有可实施性的为良好得3分；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重点、难点和关键部分的阐明及监理实施意见阐述不够详细具体可实施性一般得1分。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vAlign w:val="center"/>
          </w:tcPr>
          <w:p>
            <w:pPr>
              <w:adjustRightInd w:val="0"/>
              <w:spacing w:line="400" w:lineRule="exact"/>
              <w:ind w:firstLine="420" w:firstLineChars="200"/>
              <w:jc w:val="center"/>
              <w:textAlignment w:val="baseline"/>
              <w:rPr>
                <w:rFonts w:ascii="宋体" w:hAnsi="宋体" w:cs="宋体"/>
                <w:color w:val="auto"/>
                <w:szCs w:val="21"/>
                <w:highlight w:val="none"/>
              </w:rPr>
            </w:pPr>
          </w:p>
        </w:tc>
        <w:tc>
          <w:tcPr>
            <w:tcW w:w="1559"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pacing w:val="-6"/>
                <w:szCs w:val="21"/>
                <w:highlight w:val="none"/>
              </w:rPr>
              <w:t>各项工作制度的建立与现场组织、协调措施</w:t>
            </w:r>
            <w:r>
              <w:rPr>
                <w:rFonts w:hint="eastAsia" w:ascii="宋体" w:hAnsi="宋体" w:cs="宋体"/>
                <w:color w:val="auto"/>
                <w:szCs w:val="21"/>
                <w:highlight w:val="none"/>
              </w:rPr>
              <w:t>4分</w:t>
            </w:r>
          </w:p>
        </w:tc>
        <w:tc>
          <w:tcPr>
            <w:tcW w:w="7087" w:type="dxa"/>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质量控制目标及控制措施阐述详实具体、可实施性强的为优得4分；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质量控制目标及控制措施阐述较为详细具有可实施性的为良好得2分；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质量控制目标及控制措施阐述不够详细具体可实施性一般得1分。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Align w:val="center"/>
          </w:tcPr>
          <w:p>
            <w:pPr>
              <w:adjustRightInd w:val="0"/>
              <w:spacing w:line="400" w:lineRule="exact"/>
              <w:jc w:val="center"/>
              <w:textAlignment w:val="baseline"/>
              <w:rPr>
                <w:rFonts w:ascii="宋体" w:hAnsi="宋体" w:cs="宋体"/>
                <w:color w:val="auto"/>
                <w:spacing w:val="-23"/>
                <w:szCs w:val="21"/>
                <w:highlight w:val="none"/>
              </w:rPr>
            </w:pPr>
            <w:r>
              <w:rPr>
                <w:rFonts w:hint="eastAsia" w:ascii="宋体" w:hAnsi="宋体" w:cs="宋体"/>
                <w:color w:val="auto"/>
                <w:spacing w:val="-23"/>
                <w:szCs w:val="21"/>
                <w:highlight w:val="none"/>
              </w:rPr>
              <w:t>项目组人员的技术能力及配置</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25分</w:t>
            </w:r>
          </w:p>
        </w:tc>
        <w:tc>
          <w:tcPr>
            <w:tcW w:w="8646" w:type="dxa"/>
            <w:gridSpan w:val="2"/>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1、拟派项目总监具备国家注册一级建造师资格的得4分；具备国家注册造价师执业资格得4分；具备工程建设类高级职称及以上的得4分，中级职称的得2分；满分12分；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 xml:space="preserve"> 2、国家注册监理工程师（总监除外）人数占总监外的现场监理人员（总监除外）总数的40%及以上得5分，30%-40%之间的得3分，低于30%不得分；项目组人员（总监除外）具有国家注册造价工程师或一级建造师证书的有1人次得2分，最高4分；满分9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3、专业监理工程师具备工程建设类高级职称及以上的有1人得2分，满分4分。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注：提供相关证书复印件加盖投标人公章，原件备查。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3"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企业综合实力</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5分</w:t>
            </w:r>
          </w:p>
        </w:tc>
        <w:tc>
          <w:tcPr>
            <w:tcW w:w="8646" w:type="dxa"/>
            <w:gridSpan w:val="2"/>
            <w:vAlign w:val="center"/>
          </w:tcPr>
          <w:p>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以扬州市建设行政主管部门的《扬州市2021年度建筑市场各方主体及从业人员信用评价成果》的评定等级为基础：</w:t>
            </w:r>
          </w:p>
          <w:p>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绿色信用等级优秀的得 5 分；</w:t>
            </w:r>
          </w:p>
          <w:p>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蓝色信用等级良好的得 3分；</w:t>
            </w:r>
          </w:p>
          <w:p>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首次来扬企业无信用等级的按蓝色信用等级计算，得3分。</w:t>
            </w:r>
          </w:p>
          <w:p>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本项目不接受《扬州市 2021年度建筑市场各方主体及从业人员信用评价成果》中黄牌、红牌企业与个人，且处于被限制招投标活动期限内的单位与个人参与投标。</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注：提供相关证书复印件加盖投标人公章，原件备查。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3" w:type="dxa"/>
            <w:vAlign w:val="center"/>
          </w:tcPr>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业绩</w:t>
            </w:r>
          </w:p>
          <w:p>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10分</w:t>
            </w:r>
          </w:p>
        </w:tc>
        <w:tc>
          <w:tcPr>
            <w:tcW w:w="8646" w:type="dxa"/>
            <w:gridSpan w:val="2"/>
            <w:vAlign w:val="center"/>
          </w:tcPr>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1、企业自2019年1月1日以来承担过类似景观绿化工程监理业绩的，每承担过一个得2分，最高得6分。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2、拟派项目总监自2019年1月1日以来承担类似景观绿化工程监理业绩的，每承担过一个得2分，最高得4分。</w:t>
            </w:r>
          </w:p>
          <w:p>
            <w:pPr>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注：1、依法承发包的交易结果（中标或成交）文件；2、合同；3、符合国家规定的竣工验收证明材料（时间以竣工验收证明为准，面积、造价以合同为准）4、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以数额较小的为准；交易结果（中标或成交）文件、施工合同、竣工验收证明中所注明的项目总监名称应与拟投标项目总监名称一致，如有变更，应附变更备案资料）（如有）；5、若企业业绩和总监业绩为同一业绩的可重复计分。</w:t>
            </w:r>
          </w:p>
          <w:p>
            <w:pPr>
              <w:pStyle w:val="35"/>
              <w:spacing w:line="400" w:lineRule="exact"/>
              <w:ind w:firstLine="0" w:firstLineChars="0"/>
              <w:rPr>
                <w:rFonts w:cs="宋体"/>
                <w:color w:val="auto"/>
                <w:szCs w:val="21"/>
                <w:highlight w:val="none"/>
              </w:rPr>
            </w:pPr>
            <w:r>
              <w:rPr>
                <w:rFonts w:hint="eastAsia" w:cs="宋体"/>
                <w:color w:val="auto"/>
                <w:szCs w:val="21"/>
                <w:highlight w:val="none"/>
              </w:rPr>
              <w:t>注：提供相关证明材料复印件加盖投标人公章，原件备查。</w:t>
            </w:r>
          </w:p>
        </w:tc>
      </w:tr>
    </w:tbl>
    <w:p>
      <w:pPr>
        <w:pStyle w:val="35"/>
        <w:spacing w:line="400" w:lineRule="exact"/>
        <w:ind w:firstLine="0" w:firstLineChars="0"/>
        <w:rPr>
          <w:rFonts w:cs="宋体"/>
          <w:color w:val="auto"/>
          <w:szCs w:val="21"/>
          <w:highlight w:val="none"/>
        </w:rPr>
      </w:pPr>
      <w:r>
        <w:rPr>
          <w:rFonts w:hint="eastAsia" w:cs="宋体"/>
          <w:color w:val="auto"/>
          <w:szCs w:val="21"/>
          <w:highlight w:val="none"/>
        </w:rPr>
        <w:t>备注：1、评分标准中要求提供原件备查的，投标人必须提供相关原件，否则与之对应项不得分。</w:t>
      </w:r>
    </w:p>
    <w:p>
      <w:pPr>
        <w:pStyle w:val="35"/>
        <w:spacing w:line="400" w:lineRule="exact"/>
        <w:ind w:firstLine="630" w:firstLineChars="300"/>
        <w:rPr>
          <w:rFonts w:cs="宋体"/>
          <w:color w:val="auto"/>
          <w:szCs w:val="21"/>
          <w:highlight w:val="none"/>
        </w:rPr>
      </w:pPr>
      <w:r>
        <w:rPr>
          <w:rFonts w:hint="eastAsia" w:cs="宋体"/>
          <w:color w:val="auto"/>
          <w:szCs w:val="21"/>
          <w:highlight w:val="none"/>
        </w:rPr>
        <w:t>2、提供的材料中涉及评标的相关数据不一致的，以数额较小的为准。上述工程不是投标人承接的工程，不予计分。</w:t>
      </w:r>
    </w:p>
    <w:p>
      <w:pPr>
        <w:pStyle w:val="35"/>
        <w:spacing w:line="400" w:lineRule="exact"/>
        <w:ind w:firstLine="630" w:firstLineChars="300"/>
        <w:rPr>
          <w:rFonts w:cs="宋体"/>
          <w:color w:val="auto"/>
          <w:szCs w:val="21"/>
          <w:highlight w:val="none"/>
        </w:rPr>
      </w:pPr>
      <w:r>
        <w:rPr>
          <w:rFonts w:hint="eastAsia" w:cs="宋体"/>
          <w:color w:val="auto"/>
          <w:szCs w:val="21"/>
          <w:highlight w:val="none"/>
        </w:rPr>
        <w:t>3、响应文件的正本和副本中均需提供相关原件的复印件加盖投标人公章。</w:t>
      </w:r>
    </w:p>
    <w:p>
      <w:pPr>
        <w:pStyle w:val="35"/>
        <w:spacing w:line="400" w:lineRule="exact"/>
        <w:ind w:firstLine="630" w:firstLineChars="300"/>
        <w:rPr>
          <w:rFonts w:cs="宋体"/>
          <w:color w:val="auto"/>
          <w:szCs w:val="21"/>
          <w:highlight w:val="none"/>
        </w:rPr>
      </w:pPr>
      <w:r>
        <w:rPr>
          <w:rFonts w:hint="eastAsia" w:cs="宋体"/>
          <w:color w:val="auto"/>
          <w:szCs w:val="21"/>
          <w:highlight w:val="none"/>
        </w:rPr>
        <w:t>4、若发现有提供虚假的证明材料，视为无效投标，并追究相关责任。</w:t>
      </w:r>
    </w:p>
    <w:p>
      <w:pPr>
        <w:rPr>
          <w:rFonts w:ascii="宋体" w:cs="宋体"/>
          <w:color w:val="auto"/>
          <w:highlight w:val="none"/>
        </w:rPr>
      </w:pPr>
    </w:p>
    <w:p>
      <w:pPr>
        <w:widowControl/>
        <w:jc w:val="center"/>
        <w:rPr>
          <w:rFonts w:ascii="宋体" w:cs="宋体"/>
          <w:b/>
          <w:color w:val="auto"/>
          <w:sz w:val="36"/>
          <w:highlight w:val="none"/>
        </w:rPr>
      </w:pPr>
    </w:p>
    <w:p>
      <w:pPr>
        <w:pStyle w:val="35"/>
        <w:ind w:firstLine="723"/>
        <w:rPr>
          <w:rFonts w:cs="宋体"/>
          <w:b/>
          <w:color w:val="auto"/>
          <w:sz w:val="36"/>
          <w:highlight w:val="none"/>
        </w:rPr>
      </w:pPr>
    </w:p>
    <w:p>
      <w:pPr>
        <w:pStyle w:val="36"/>
        <w:ind w:left="723" w:hanging="723"/>
        <w:rPr>
          <w:rFonts w:ascii="宋体"/>
          <w:b/>
          <w:color w:val="auto"/>
          <w:sz w:val="36"/>
          <w:highlight w:val="none"/>
        </w:rPr>
      </w:pPr>
    </w:p>
    <w:p>
      <w:pPr>
        <w:pStyle w:val="37"/>
        <w:rPr>
          <w:rFonts w:ascii="宋体"/>
          <w:b/>
          <w:color w:val="auto"/>
          <w:sz w:val="36"/>
          <w:highlight w:val="none"/>
        </w:rPr>
      </w:pPr>
    </w:p>
    <w:p>
      <w:pPr>
        <w:pStyle w:val="38"/>
        <w:rPr>
          <w:rFonts w:ascii="宋体"/>
          <w:b/>
          <w:color w:val="auto"/>
          <w:sz w:val="36"/>
          <w:highlight w:val="none"/>
        </w:rPr>
      </w:pPr>
    </w:p>
    <w:p>
      <w:pPr>
        <w:pStyle w:val="39"/>
        <w:ind w:firstLine="723"/>
        <w:rPr>
          <w:rFonts w:ascii="宋体" w:cs="宋体"/>
          <w:b/>
          <w:color w:val="auto"/>
          <w:sz w:val="36"/>
          <w:highlight w:val="none"/>
        </w:rPr>
      </w:pPr>
    </w:p>
    <w:p>
      <w:pPr>
        <w:pStyle w:val="40"/>
        <w:spacing w:after="78"/>
        <w:ind w:firstLine="723"/>
        <w:rPr>
          <w:rFonts w:ascii="宋体"/>
          <w:b/>
          <w:color w:val="auto"/>
          <w:sz w:val="36"/>
          <w:highlight w:val="none"/>
          <w:lang w:eastAsia="zh-CN"/>
        </w:rPr>
      </w:pPr>
    </w:p>
    <w:p>
      <w:pPr>
        <w:pStyle w:val="41"/>
        <w:rPr>
          <w:rFonts w:ascii="宋体" w:cs="宋体"/>
          <w:b/>
          <w:color w:val="auto"/>
          <w:sz w:val="36"/>
          <w:highlight w:val="none"/>
        </w:rPr>
      </w:pPr>
    </w:p>
    <w:p>
      <w:pPr>
        <w:pStyle w:val="20"/>
        <w:rPr>
          <w:rFonts w:ascii="宋体" w:cs="宋体"/>
          <w:b/>
          <w:color w:val="auto"/>
          <w:sz w:val="36"/>
          <w:highlight w:val="none"/>
        </w:rPr>
      </w:pPr>
    </w:p>
    <w:p>
      <w:pPr>
        <w:rPr>
          <w:rFonts w:ascii="宋体" w:cs="宋体"/>
          <w:b/>
          <w:color w:val="auto"/>
          <w:sz w:val="36"/>
          <w:highlight w:val="none"/>
        </w:rPr>
      </w:pPr>
    </w:p>
    <w:p>
      <w:pPr>
        <w:pStyle w:val="35"/>
        <w:ind w:firstLine="723"/>
        <w:rPr>
          <w:rFonts w:cs="宋体"/>
          <w:b/>
          <w:color w:val="auto"/>
          <w:sz w:val="36"/>
          <w:highlight w:val="none"/>
        </w:rPr>
      </w:pPr>
    </w:p>
    <w:p>
      <w:pPr>
        <w:pStyle w:val="36"/>
        <w:ind w:left="723" w:hanging="723"/>
        <w:rPr>
          <w:rFonts w:ascii="宋体"/>
          <w:b/>
          <w:color w:val="auto"/>
          <w:sz w:val="36"/>
          <w:highlight w:val="none"/>
        </w:rPr>
      </w:pPr>
    </w:p>
    <w:p>
      <w:pPr>
        <w:pStyle w:val="37"/>
        <w:rPr>
          <w:rFonts w:ascii="宋体"/>
          <w:b/>
          <w:color w:val="auto"/>
          <w:sz w:val="36"/>
          <w:highlight w:val="none"/>
        </w:rPr>
      </w:pPr>
    </w:p>
    <w:p>
      <w:pPr>
        <w:pStyle w:val="39"/>
        <w:ind w:firstLine="0" w:firstLineChars="0"/>
        <w:rPr>
          <w:rFonts w:ascii="宋体" w:cs="宋体"/>
          <w:b/>
          <w:color w:val="auto"/>
          <w:sz w:val="36"/>
          <w:highlight w:val="none"/>
        </w:rPr>
      </w:pPr>
    </w:p>
    <w:p>
      <w:pPr>
        <w:pStyle w:val="40"/>
      </w:pPr>
      <w:bookmarkStart w:id="178" w:name="_GoBack"/>
      <w:bookmarkEnd w:id="178"/>
    </w:p>
    <w:p>
      <w:pPr>
        <w:pStyle w:val="40"/>
        <w:spacing w:after="78"/>
        <w:ind w:firstLine="440"/>
        <w:rPr>
          <w:color w:val="auto"/>
          <w:highlight w:val="none"/>
          <w:lang w:eastAsia="zh-CN"/>
        </w:rPr>
      </w:pPr>
    </w:p>
    <w:p>
      <w:pPr>
        <w:widowControl/>
        <w:jc w:val="center"/>
        <w:rPr>
          <w:rFonts w:ascii="宋体" w:cs="宋体"/>
          <w:b/>
          <w:color w:val="auto"/>
          <w:highlight w:val="none"/>
        </w:rPr>
      </w:pPr>
      <w:r>
        <w:rPr>
          <w:rFonts w:hint="eastAsia" w:ascii="宋体" w:hAnsi="宋体" w:cs="宋体"/>
          <w:b/>
          <w:color w:val="auto"/>
          <w:sz w:val="36"/>
          <w:highlight w:val="none"/>
        </w:rPr>
        <w:t>第六章</w:t>
      </w:r>
      <w:r>
        <w:rPr>
          <w:rFonts w:ascii="宋体" w:hAnsi="宋体" w:cs="宋体"/>
          <w:b/>
          <w:color w:val="auto"/>
          <w:sz w:val="36"/>
          <w:highlight w:val="none"/>
        </w:rPr>
        <w:t xml:space="preserve"> </w:t>
      </w:r>
      <w:r>
        <w:rPr>
          <w:rFonts w:hint="eastAsia" w:ascii="宋体" w:hAnsi="宋体" w:cs="宋体"/>
          <w:b/>
          <w:color w:val="auto"/>
          <w:sz w:val="36"/>
          <w:highlight w:val="none"/>
        </w:rPr>
        <w:t>竞争性磋商响应文件格式</w:t>
      </w:r>
      <w:bookmarkEnd w:id="2"/>
    </w:p>
    <w:p>
      <w:pPr>
        <w:jc w:val="center"/>
        <w:rPr>
          <w:rFonts w:ascii="宋体" w:cs="宋体"/>
          <w:b/>
          <w:color w:val="auto"/>
          <w:sz w:val="36"/>
          <w:highlight w:val="none"/>
        </w:rPr>
      </w:pPr>
    </w:p>
    <w:p>
      <w:pPr>
        <w:jc w:val="center"/>
        <w:rPr>
          <w:rFonts w:ascii="宋体" w:cs="宋体"/>
          <w:b/>
          <w:color w:val="auto"/>
          <w:szCs w:val="21"/>
          <w:highlight w:val="none"/>
        </w:rPr>
      </w:pPr>
    </w:p>
    <w:p>
      <w:pPr>
        <w:jc w:val="center"/>
        <w:rPr>
          <w:rFonts w:ascii="宋体" w:cs="宋体"/>
          <w:b/>
          <w:color w:val="auto"/>
          <w:sz w:val="22"/>
          <w:szCs w:val="21"/>
          <w:highlight w:val="none"/>
        </w:rPr>
      </w:pPr>
    </w:p>
    <w:p>
      <w:pPr>
        <w:jc w:val="center"/>
        <w:rPr>
          <w:rFonts w:ascii="宋体" w:cs="宋体"/>
          <w:b/>
          <w:bCs/>
          <w:color w:val="auto"/>
          <w:sz w:val="44"/>
          <w:szCs w:val="44"/>
          <w:highlight w:val="none"/>
        </w:rPr>
      </w:pPr>
      <w:r>
        <w:rPr>
          <w:rFonts w:hint="eastAsia" w:ascii="宋体" w:hAnsi="宋体" w:cs="宋体"/>
          <w:b/>
          <w:bCs/>
          <w:color w:val="auto"/>
          <w:sz w:val="44"/>
          <w:szCs w:val="44"/>
          <w:highlight w:val="none"/>
        </w:rPr>
        <w:t>竞争性磋商响应文件</w:t>
      </w:r>
    </w:p>
    <w:p>
      <w:pPr>
        <w:jc w:val="center"/>
        <w:rPr>
          <w:rFonts w:ascii="宋体" w:cs="宋体"/>
          <w:b/>
          <w:color w:val="auto"/>
          <w:sz w:val="72"/>
          <w:highlight w:val="none"/>
        </w:rPr>
      </w:pPr>
    </w:p>
    <w:p>
      <w:pPr>
        <w:jc w:val="center"/>
        <w:rPr>
          <w:rFonts w:ascii="宋体" w:cs="宋体"/>
          <w:b/>
          <w:color w:val="auto"/>
          <w:sz w:val="44"/>
          <w:szCs w:val="44"/>
          <w:highlight w:val="none"/>
        </w:rPr>
      </w:pPr>
      <w:r>
        <w:rPr>
          <w:rFonts w:hint="eastAsia" w:ascii="宋体" w:hAnsi="宋体" w:cs="宋体"/>
          <w:b/>
          <w:bCs/>
          <w:color w:val="auto"/>
          <w:sz w:val="44"/>
          <w:szCs w:val="44"/>
          <w:highlight w:val="none"/>
        </w:rPr>
        <w:t>（正或副本）</w:t>
      </w: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ind w:firstLine="1084" w:firstLineChars="300"/>
        <w:rPr>
          <w:rFonts w:ascii="宋体" w:cs="宋体"/>
          <w:color w:val="auto"/>
          <w:sz w:val="36"/>
          <w:szCs w:val="36"/>
          <w:highlight w:val="none"/>
        </w:rPr>
      </w:pPr>
      <w:r>
        <w:rPr>
          <w:rFonts w:hint="eastAsia" w:ascii="宋体" w:hAnsi="宋体" w:cs="宋体"/>
          <w:b/>
          <w:color w:val="auto"/>
          <w:sz w:val="36"/>
          <w:highlight w:val="none"/>
        </w:rPr>
        <w:t>项</w:t>
      </w:r>
      <w:r>
        <w:rPr>
          <w:rFonts w:ascii="宋体" w:hAnsi="宋体" w:cs="宋体"/>
          <w:b/>
          <w:color w:val="auto"/>
          <w:sz w:val="36"/>
          <w:highlight w:val="none"/>
        </w:rPr>
        <w:t xml:space="preserve"> </w:t>
      </w:r>
      <w:r>
        <w:rPr>
          <w:rFonts w:hint="eastAsia" w:ascii="宋体" w:hAnsi="宋体" w:cs="宋体"/>
          <w:b/>
          <w:color w:val="auto"/>
          <w:sz w:val="36"/>
          <w:highlight w:val="none"/>
        </w:rPr>
        <w:t>目</w:t>
      </w:r>
      <w:r>
        <w:rPr>
          <w:rFonts w:ascii="宋体" w:hAnsi="宋体" w:cs="宋体"/>
          <w:b/>
          <w:color w:val="auto"/>
          <w:sz w:val="36"/>
          <w:highlight w:val="none"/>
        </w:rPr>
        <w:t xml:space="preserve"> </w:t>
      </w:r>
      <w:r>
        <w:rPr>
          <w:rFonts w:hint="eastAsia" w:ascii="宋体" w:hAnsi="宋体" w:cs="宋体"/>
          <w:b/>
          <w:color w:val="auto"/>
          <w:sz w:val="36"/>
          <w:highlight w:val="none"/>
        </w:rPr>
        <w:t>名</w:t>
      </w:r>
      <w:r>
        <w:rPr>
          <w:rFonts w:ascii="宋体" w:hAnsi="宋体" w:cs="宋体"/>
          <w:b/>
          <w:color w:val="auto"/>
          <w:sz w:val="36"/>
          <w:highlight w:val="none"/>
        </w:rPr>
        <w:t xml:space="preserve"> </w:t>
      </w:r>
      <w:r>
        <w:rPr>
          <w:rFonts w:hint="eastAsia" w:ascii="宋体" w:hAnsi="宋体" w:cs="宋体"/>
          <w:b/>
          <w:color w:val="auto"/>
          <w:sz w:val="36"/>
          <w:highlight w:val="none"/>
        </w:rPr>
        <w:t>称：</w:t>
      </w:r>
    </w:p>
    <w:p>
      <w:pPr>
        <w:ind w:firstLine="1084" w:firstLineChars="300"/>
        <w:rPr>
          <w:rFonts w:ascii="宋体" w:cs="宋体"/>
          <w:b/>
          <w:color w:val="auto"/>
          <w:sz w:val="36"/>
          <w:highlight w:val="none"/>
          <w:u w:val="single"/>
        </w:rPr>
      </w:pPr>
      <w:r>
        <w:rPr>
          <w:rFonts w:hint="eastAsia" w:ascii="宋体" w:hAnsi="宋体" w:cs="宋体"/>
          <w:b/>
          <w:color w:val="auto"/>
          <w:sz w:val="36"/>
          <w:highlight w:val="none"/>
        </w:rPr>
        <w:t>项</w:t>
      </w:r>
      <w:r>
        <w:rPr>
          <w:rFonts w:ascii="宋体" w:hAnsi="宋体" w:cs="宋体"/>
          <w:b/>
          <w:color w:val="auto"/>
          <w:sz w:val="36"/>
          <w:highlight w:val="none"/>
        </w:rPr>
        <w:t xml:space="preserve"> </w:t>
      </w:r>
      <w:r>
        <w:rPr>
          <w:rFonts w:hint="eastAsia" w:ascii="宋体" w:hAnsi="宋体" w:cs="宋体"/>
          <w:b/>
          <w:color w:val="auto"/>
          <w:sz w:val="36"/>
          <w:highlight w:val="none"/>
        </w:rPr>
        <w:t>目</w:t>
      </w:r>
      <w:r>
        <w:rPr>
          <w:rFonts w:ascii="宋体" w:hAnsi="宋体" w:cs="宋体"/>
          <w:b/>
          <w:color w:val="auto"/>
          <w:sz w:val="36"/>
          <w:highlight w:val="none"/>
        </w:rPr>
        <w:t xml:space="preserve"> </w:t>
      </w:r>
      <w:r>
        <w:rPr>
          <w:rFonts w:hint="eastAsia" w:ascii="宋体" w:hAnsi="宋体" w:cs="宋体"/>
          <w:b/>
          <w:color w:val="auto"/>
          <w:sz w:val="36"/>
          <w:highlight w:val="none"/>
        </w:rPr>
        <w:t>编</w:t>
      </w:r>
      <w:r>
        <w:rPr>
          <w:rFonts w:ascii="宋体" w:hAnsi="宋体" w:cs="宋体"/>
          <w:b/>
          <w:color w:val="auto"/>
          <w:sz w:val="36"/>
          <w:highlight w:val="none"/>
        </w:rPr>
        <w:t xml:space="preserve"> </w:t>
      </w:r>
      <w:r>
        <w:rPr>
          <w:rFonts w:hint="eastAsia" w:ascii="宋体" w:hAnsi="宋体" w:cs="宋体"/>
          <w:b/>
          <w:color w:val="auto"/>
          <w:sz w:val="36"/>
          <w:highlight w:val="none"/>
        </w:rPr>
        <w:t>号：</w:t>
      </w:r>
    </w:p>
    <w:p>
      <w:pPr>
        <w:rPr>
          <w:rFonts w:ascii="宋体" w:cs="宋体"/>
          <w:b/>
          <w:color w:val="auto"/>
          <w:sz w:val="36"/>
          <w:highlight w:val="none"/>
          <w:u w:val="single"/>
        </w:rPr>
      </w:pPr>
      <w:r>
        <w:rPr>
          <w:rFonts w:ascii="宋体" w:hAnsi="宋体" w:cs="宋体"/>
          <w:b/>
          <w:color w:val="auto"/>
          <w:sz w:val="36"/>
          <w:highlight w:val="none"/>
        </w:rPr>
        <w:t xml:space="preserve">      </w:t>
      </w:r>
      <w:r>
        <w:rPr>
          <w:rFonts w:hint="eastAsia" w:ascii="宋体" w:hAnsi="宋体" w:cs="宋体"/>
          <w:b/>
          <w:color w:val="auto"/>
          <w:sz w:val="36"/>
          <w:highlight w:val="none"/>
        </w:rPr>
        <w:t>磋商供应商名称</w:t>
      </w:r>
      <w:r>
        <w:rPr>
          <w:rFonts w:ascii="宋体" w:hAnsi="宋体" w:cs="宋体"/>
          <w:b/>
          <w:color w:val="auto"/>
          <w:sz w:val="36"/>
          <w:highlight w:val="none"/>
        </w:rPr>
        <w:t xml:space="preserve"> </w:t>
      </w:r>
      <w:r>
        <w:rPr>
          <w:rFonts w:hint="eastAsia" w:ascii="宋体" w:hAnsi="宋体" w:cs="宋体"/>
          <w:b/>
          <w:color w:val="auto"/>
          <w:sz w:val="36"/>
          <w:highlight w:val="none"/>
        </w:rPr>
        <w:t>：</w:t>
      </w:r>
    </w:p>
    <w:p>
      <w:pPr>
        <w:rPr>
          <w:rFonts w:ascii="宋体" w:cs="宋体"/>
          <w:b/>
          <w:color w:val="auto"/>
          <w:sz w:val="36"/>
          <w:highlight w:val="none"/>
        </w:rPr>
      </w:pPr>
      <w:r>
        <w:rPr>
          <w:rFonts w:ascii="宋体" w:hAnsi="宋体" w:cs="宋体"/>
          <w:b/>
          <w:color w:val="auto"/>
          <w:sz w:val="36"/>
          <w:highlight w:val="none"/>
        </w:rPr>
        <w:t xml:space="preserve">      </w:t>
      </w:r>
      <w:r>
        <w:rPr>
          <w:rFonts w:hint="eastAsia" w:ascii="宋体" w:hAnsi="宋体" w:cs="宋体"/>
          <w:b/>
          <w:color w:val="auto"/>
          <w:sz w:val="36"/>
          <w:highlight w:val="none"/>
        </w:rPr>
        <w:t>日</w:t>
      </w:r>
      <w:r>
        <w:rPr>
          <w:rFonts w:ascii="宋体" w:hAnsi="宋体" w:cs="宋体"/>
          <w:b/>
          <w:color w:val="auto"/>
          <w:sz w:val="36"/>
          <w:highlight w:val="none"/>
        </w:rPr>
        <w:t xml:space="preserve">      </w:t>
      </w:r>
      <w:r>
        <w:rPr>
          <w:rFonts w:hint="eastAsia" w:ascii="宋体" w:hAnsi="宋体" w:cs="宋体"/>
          <w:b/>
          <w:color w:val="auto"/>
          <w:sz w:val="36"/>
          <w:highlight w:val="none"/>
        </w:rPr>
        <w:t>期</w:t>
      </w:r>
      <w:r>
        <w:rPr>
          <w:rFonts w:ascii="宋体" w:hAnsi="宋体" w:cs="宋体"/>
          <w:b/>
          <w:color w:val="auto"/>
          <w:sz w:val="36"/>
          <w:highlight w:val="none"/>
        </w:rPr>
        <w:t xml:space="preserve"> </w:t>
      </w:r>
      <w:r>
        <w:rPr>
          <w:rFonts w:hint="eastAsia" w:ascii="宋体" w:hAnsi="宋体" w:cs="宋体"/>
          <w:b/>
          <w:color w:val="auto"/>
          <w:sz w:val="36"/>
          <w:highlight w:val="none"/>
        </w:rPr>
        <w:t>：</w:t>
      </w:r>
    </w:p>
    <w:p>
      <w:pPr>
        <w:spacing w:line="360" w:lineRule="auto"/>
        <w:jc w:val="left"/>
        <w:rPr>
          <w:rFonts w:ascii="宋体" w:cs="宋体"/>
          <w:b/>
          <w:color w:val="auto"/>
          <w:sz w:val="24"/>
          <w:highlight w:val="none"/>
        </w:rPr>
      </w:pPr>
      <w:r>
        <w:rPr>
          <w:rFonts w:hint="eastAsia" w:ascii="宋体" w:hAnsi="宋体" w:cs="宋体"/>
          <w:b/>
          <w:color w:val="auto"/>
          <w:sz w:val="24"/>
          <w:highlight w:val="none"/>
        </w:rPr>
        <w:t>说明：</w:t>
      </w:r>
    </w:p>
    <w:p>
      <w:pPr>
        <w:spacing w:line="360" w:lineRule="auto"/>
        <w:ind w:firstLine="482" w:firstLineChars="200"/>
        <w:jc w:val="left"/>
        <w:rPr>
          <w:rFonts w:ascii="宋体" w:cs="宋体"/>
          <w:color w:val="auto"/>
          <w:sz w:val="24"/>
          <w:highlight w:val="none"/>
        </w:rPr>
      </w:pPr>
      <w:r>
        <w:rPr>
          <w:rFonts w:hint="eastAsia" w:ascii="宋体" w:hAnsi="宋体" w:cs="宋体"/>
          <w:b/>
          <w:color w:val="auto"/>
          <w:sz w:val="24"/>
          <w:highlight w:val="none"/>
        </w:rPr>
        <w:t>对本章所有的响应文件格式，供应商可根据自身情况进行补充和修改，但补充和修改不得造成与本格式内容有实质性的违背。</w:t>
      </w:r>
      <w:r>
        <w:rPr>
          <w:rFonts w:ascii="宋体" w:cs="宋体"/>
          <w:color w:val="auto"/>
          <w:sz w:val="24"/>
          <w:highlight w:val="none"/>
        </w:rPr>
        <w:br w:type="page"/>
      </w:r>
    </w:p>
    <w:p>
      <w:pPr>
        <w:spacing w:line="360" w:lineRule="auto"/>
        <w:ind w:firstLine="422" w:firstLineChars="200"/>
        <w:jc w:val="center"/>
        <w:rPr>
          <w:rFonts w:ascii="宋体" w:cs="宋体"/>
          <w:b/>
          <w:color w:val="auto"/>
          <w:szCs w:val="21"/>
          <w:highlight w:val="none"/>
        </w:rPr>
      </w:pPr>
    </w:p>
    <w:p>
      <w:pPr>
        <w:spacing w:line="360" w:lineRule="auto"/>
        <w:ind w:firstLine="422" w:firstLineChars="200"/>
        <w:jc w:val="center"/>
        <w:rPr>
          <w:rFonts w:ascii="宋体" w:cs="宋体"/>
          <w:b/>
          <w:color w:val="auto"/>
          <w:szCs w:val="21"/>
          <w:highlight w:val="none"/>
        </w:rPr>
      </w:pPr>
      <w:r>
        <w:rPr>
          <w:rFonts w:hint="eastAsia" w:ascii="宋体" w:hAnsi="宋体" w:cs="宋体"/>
          <w:b/>
          <w:color w:val="auto"/>
          <w:szCs w:val="21"/>
          <w:highlight w:val="none"/>
        </w:rPr>
        <w:t>评分索引表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5"/>
              <w:shd w:val="clear" w:color="auto" w:fill="FFFFFF"/>
              <w:spacing w:line="265" w:lineRule="atLeast"/>
              <w:ind w:left="420"/>
              <w:jc w:val="center"/>
              <w:rPr>
                <w:rFonts w:ascii="宋体" w:cs="宋体"/>
                <w:b/>
                <w:bCs/>
                <w:color w:val="auto"/>
                <w:kern w:val="2"/>
                <w:sz w:val="21"/>
                <w:szCs w:val="21"/>
                <w:highlight w:val="none"/>
                <w:lang w:eastAsia="zh-CN"/>
              </w:rPr>
            </w:pPr>
            <w:r>
              <w:rPr>
                <w:rFonts w:hint="eastAsia" w:ascii="宋体" w:hAnsi="宋体" w:cs="宋体"/>
                <w:b/>
                <w:color w:val="auto"/>
                <w:kern w:val="2"/>
                <w:sz w:val="21"/>
                <w:szCs w:val="21"/>
                <w:highlight w:val="none"/>
              </w:rPr>
              <w:t>评分项目</w:t>
            </w:r>
          </w:p>
        </w:tc>
        <w:tc>
          <w:tcPr>
            <w:tcW w:w="3570" w:type="dxa"/>
          </w:tcPr>
          <w:p>
            <w:pPr>
              <w:adjustRightInd w:val="0"/>
              <w:snapToGrid w:val="0"/>
              <w:spacing w:after="200" w:line="220" w:lineRule="atLeast"/>
              <w:jc w:val="center"/>
              <w:rPr>
                <w:rFonts w:ascii="宋体" w:cs="宋体"/>
                <w:b/>
                <w:color w:val="auto"/>
                <w:szCs w:val="21"/>
                <w:highlight w:val="none"/>
              </w:rPr>
            </w:pPr>
            <w:r>
              <w:rPr>
                <w:rFonts w:hint="eastAsia" w:ascii="宋体" w:hAnsi="宋体" w:cs="宋体"/>
                <w:b/>
                <w:color w:val="auto"/>
                <w:kern w:val="0"/>
                <w:szCs w:val="21"/>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pStyle w:val="55"/>
              <w:shd w:val="clear" w:color="auto" w:fill="FFFFFF"/>
              <w:spacing w:line="265" w:lineRule="atLeast"/>
              <w:ind w:left="420"/>
              <w:jc w:val="both"/>
              <w:rPr>
                <w:rFonts w:ascii="宋体" w:cs="宋体"/>
                <w:b/>
                <w:color w:val="auto"/>
                <w:kern w:val="2"/>
                <w:szCs w:val="24"/>
                <w:highlight w:val="none"/>
                <w:lang w:eastAsia="zh-CN"/>
              </w:rPr>
            </w:pPr>
          </w:p>
        </w:tc>
        <w:tc>
          <w:tcPr>
            <w:tcW w:w="3570" w:type="dxa"/>
          </w:tcPr>
          <w:p>
            <w:pPr>
              <w:adjustRightInd w:val="0"/>
              <w:snapToGrid w:val="0"/>
              <w:spacing w:after="200" w:line="220" w:lineRule="atLeast"/>
              <w:rPr>
                <w:rFonts w:asci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55"/>
              <w:shd w:val="clear" w:color="auto" w:fill="FFFFFF"/>
              <w:spacing w:line="265" w:lineRule="atLeast"/>
              <w:ind w:left="420"/>
              <w:jc w:val="both"/>
              <w:rPr>
                <w:rFonts w:ascii="宋体" w:cs="宋体"/>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9240" w:type="dxa"/>
            <w:gridSpan w:val="2"/>
          </w:tcPr>
          <w:p>
            <w:pPr>
              <w:pStyle w:val="55"/>
              <w:shd w:val="clear" w:color="auto" w:fill="FFFFFF"/>
              <w:spacing w:line="265" w:lineRule="atLeast"/>
              <w:ind w:left="420"/>
              <w:jc w:val="both"/>
              <w:rPr>
                <w:rFonts w:ascii="宋体" w:cs="宋体"/>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pStyle w:val="55"/>
              <w:shd w:val="clear" w:color="auto" w:fill="FFFFFF"/>
              <w:spacing w:line="265" w:lineRule="atLeast"/>
              <w:ind w:left="420"/>
              <w:jc w:val="both"/>
              <w:rPr>
                <w:rFonts w:ascii="宋体" w:cs="宋体"/>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670" w:type="dxa"/>
          </w:tcPr>
          <w:p>
            <w:pPr>
              <w:pStyle w:val="55"/>
              <w:shd w:val="clear" w:color="auto" w:fill="FFFFFF"/>
              <w:spacing w:line="265" w:lineRule="atLeast"/>
              <w:ind w:left="420"/>
              <w:rPr>
                <w:rFonts w:ascii="宋体" w:cs="宋体"/>
                <w:b/>
                <w:bCs/>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0" w:type="dxa"/>
          </w:tcPr>
          <w:p>
            <w:pPr>
              <w:pStyle w:val="55"/>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5"/>
              <w:shd w:val="clear" w:color="auto" w:fill="FFFFFF"/>
              <w:spacing w:line="265" w:lineRule="atLeast"/>
              <w:ind w:left="420"/>
              <w:rPr>
                <w:rFonts w:ascii="宋体" w:cs="宋体"/>
                <w:b/>
                <w:bCs/>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pStyle w:val="55"/>
              <w:shd w:val="clear" w:color="auto" w:fill="FFFFFF"/>
              <w:spacing w:line="265" w:lineRule="atLeast"/>
              <w:ind w:left="420"/>
              <w:jc w:val="both"/>
              <w:rPr>
                <w:rFonts w:ascii="宋体" w:cs="宋体"/>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670" w:type="dxa"/>
          </w:tcPr>
          <w:p>
            <w:pPr>
              <w:pStyle w:val="55"/>
              <w:shd w:val="clear" w:color="auto" w:fill="FFFFFF"/>
              <w:spacing w:line="265" w:lineRule="atLeast"/>
              <w:ind w:left="0" w:firstLine="480" w:firstLineChars="200"/>
              <w:rPr>
                <w:rFonts w:ascii="宋体" w:cs="宋体"/>
                <w:color w:val="auto"/>
                <w:kern w:val="2"/>
                <w:szCs w:val="21"/>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Pr>
          <w:p>
            <w:pPr>
              <w:pStyle w:val="55"/>
              <w:shd w:val="clear" w:color="auto" w:fill="FFFFFF"/>
              <w:spacing w:line="265" w:lineRule="atLeast"/>
              <w:ind w:left="0" w:firstLine="480" w:firstLineChars="20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bl>
    <w:p>
      <w:pPr>
        <w:rPr>
          <w:rFonts w:ascii="宋体" w:cs="宋体"/>
          <w:color w:val="auto"/>
          <w:highlight w:val="none"/>
        </w:rPr>
      </w:pPr>
    </w:p>
    <w:p>
      <w:pPr>
        <w:spacing w:afterLines="100" w:line="360" w:lineRule="auto"/>
        <w:jc w:val="center"/>
        <w:rPr>
          <w:rFonts w:ascii="宋体" w:cs="宋体"/>
          <w:b/>
          <w:bCs/>
          <w:color w:val="auto"/>
          <w:szCs w:val="21"/>
          <w:highlight w:val="none"/>
        </w:rPr>
      </w:pPr>
    </w:p>
    <w:p>
      <w:pPr>
        <w:spacing w:afterLines="100" w:line="360" w:lineRule="auto"/>
        <w:jc w:val="center"/>
        <w:rPr>
          <w:rFonts w:ascii="宋体" w:cs="宋体"/>
          <w:b/>
          <w:bCs/>
          <w:color w:val="auto"/>
          <w:szCs w:val="21"/>
          <w:highlight w:val="none"/>
        </w:rPr>
      </w:pPr>
    </w:p>
    <w:p>
      <w:pPr>
        <w:spacing w:afterLines="100" w:line="360" w:lineRule="auto"/>
        <w:jc w:val="center"/>
        <w:rPr>
          <w:rFonts w:ascii="宋体" w:cs="宋体"/>
          <w:b/>
          <w:bCs/>
          <w:color w:val="auto"/>
          <w:szCs w:val="21"/>
          <w:highlight w:val="none"/>
        </w:rPr>
      </w:pPr>
    </w:p>
    <w:p>
      <w:pPr>
        <w:spacing w:afterLines="100" w:line="360" w:lineRule="auto"/>
        <w:jc w:val="center"/>
        <w:rPr>
          <w:rFonts w:ascii="宋体" w:cs="宋体"/>
          <w:b/>
          <w:bCs/>
          <w:color w:val="auto"/>
          <w:kern w:val="0"/>
          <w:szCs w:val="21"/>
          <w:highlight w:val="none"/>
        </w:rPr>
      </w:pPr>
      <w:r>
        <w:rPr>
          <w:rFonts w:hint="eastAsia" w:ascii="宋体" w:hAnsi="宋体" w:cs="宋体"/>
          <w:b/>
          <w:bCs/>
          <w:color w:val="auto"/>
          <w:szCs w:val="21"/>
          <w:highlight w:val="none"/>
        </w:rPr>
        <w:t>响应文件主要目录</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一、资格性和符合性检查响应对照表</w:t>
      </w:r>
    </w:p>
    <w:p>
      <w:pPr>
        <w:spacing w:line="480" w:lineRule="auto"/>
        <w:ind w:firstLine="422" w:firstLineChars="200"/>
        <w:rPr>
          <w:rFonts w:ascii="宋体" w:cs="宋体"/>
          <w:bCs/>
          <w:color w:val="auto"/>
          <w:szCs w:val="21"/>
          <w:highlight w:val="none"/>
        </w:rPr>
      </w:pPr>
      <w:r>
        <w:rPr>
          <w:rFonts w:hint="eastAsia" w:ascii="宋体" w:hAnsi="宋体" w:cs="宋体"/>
          <w:b/>
          <w:bCs/>
          <w:color w:val="auto"/>
          <w:szCs w:val="21"/>
          <w:highlight w:val="none"/>
        </w:rPr>
        <w:t>二</w:t>
      </w:r>
      <w:r>
        <w:rPr>
          <w:rFonts w:hint="eastAsia" w:ascii="宋体" w:hAnsi="宋体" w:cs="宋体"/>
          <w:color w:val="auto"/>
          <w:szCs w:val="21"/>
          <w:highlight w:val="none"/>
        </w:rPr>
        <w:t>、</w:t>
      </w:r>
      <w:r>
        <w:rPr>
          <w:rFonts w:hint="eastAsia" w:ascii="宋体" w:hAnsi="宋体" w:cs="宋体"/>
          <w:bCs/>
          <w:color w:val="auto"/>
          <w:szCs w:val="21"/>
          <w:highlight w:val="none"/>
        </w:rPr>
        <w:t>资信证明文件</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三、磋商响应报价表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四、项目需求响应表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五、商务条款响应及偏离表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六、项目技术服务方案</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七、项目组人员表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八、类似业绩一览表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九、供应商参加磋商确认函</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十、……</w:t>
      </w:r>
    </w:p>
    <w:p>
      <w:pPr>
        <w:spacing w:line="440" w:lineRule="exact"/>
        <w:ind w:firstLine="480" w:firstLineChars="200"/>
        <w:rPr>
          <w:rFonts w:ascii="宋体" w:cs="宋体"/>
          <w:color w:val="auto"/>
          <w:sz w:val="24"/>
          <w:szCs w:val="24"/>
          <w:highlight w:val="none"/>
        </w:rPr>
      </w:pPr>
    </w:p>
    <w:p>
      <w:pPr>
        <w:spacing w:line="440" w:lineRule="exact"/>
        <w:ind w:firstLine="480" w:firstLineChars="200"/>
        <w:rPr>
          <w:rFonts w:ascii="宋体" w:cs="宋体"/>
          <w:color w:val="auto"/>
          <w:sz w:val="24"/>
          <w:szCs w:val="24"/>
          <w:highlight w:val="none"/>
        </w:rPr>
      </w:pPr>
    </w:p>
    <w:p>
      <w:pPr>
        <w:jc w:val="left"/>
        <w:rPr>
          <w:rFonts w:ascii="宋体" w:cs="宋体"/>
          <w:b/>
          <w:color w:val="auto"/>
          <w:szCs w:val="21"/>
          <w:highlight w:val="none"/>
        </w:rPr>
      </w:pPr>
    </w:p>
    <w:p>
      <w:pPr>
        <w:jc w:val="left"/>
        <w:rPr>
          <w:rFonts w:ascii="宋体" w:cs="宋体"/>
          <w:b/>
          <w:color w:val="auto"/>
          <w:sz w:val="22"/>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spacing w:line="360" w:lineRule="auto"/>
        <w:jc w:val="center"/>
        <w:rPr>
          <w:rFonts w:ascii="宋体" w:cs="宋体"/>
          <w:b/>
          <w:color w:val="auto"/>
          <w:szCs w:val="21"/>
          <w:highlight w:val="none"/>
        </w:rPr>
      </w:pPr>
    </w:p>
    <w:p>
      <w:pPr>
        <w:pStyle w:val="35"/>
        <w:ind w:firstLine="420"/>
        <w:rPr>
          <w:color w:val="auto"/>
          <w:highlight w:val="none"/>
        </w:rPr>
      </w:pPr>
    </w:p>
    <w:p>
      <w:pPr>
        <w:spacing w:line="360" w:lineRule="auto"/>
        <w:jc w:val="center"/>
        <w:rPr>
          <w:rFonts w:asci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一、资格性和符合性检查响应对照表</w:t>
      </w:r>
    </w:p>
    <w:p>
      <w:pPr>
        <w:spacing w:line="360" w:lineRule="auto"/>
        <w:rPr>
          <w:rFonts w:ascii="宋体" w:cs="宋体"/>
          <w:color w:val="auto"/>
          <w:szCs w:val="21"/>
          <w:highlight w:val="none"/>
        </w:rPr>
      </w:pPr>
      <w:r>
        <w:rPr>
          <w:rFonts w:hint="eastAsia" w:ascii="宋体" w:hAnsi="宋体" w:cs="宋体"/>
          <w:color w:val="auto"/>
          <w:szCs w:val="21"/>
          <w:highlight w:val="none"/>
        </w:rPr>
        <w:t>磋商供应商全称（加盖公章）：</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493"/>
        <w:gridCol w:w="169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5447"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资格和符合性检查响应内容</w:t>
            </w:r>
          </w:p>
        </w:tc>
        <w:tc>
          <w:tcPr>
            <w:tcW w:w="1680"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是否响应</w:t>
            </w:r>
          </w:p>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（填是或者否）</w:t>
            </w:r>
          </w:p>
        </w:tc>
        <w:tc>
          <w:tcPr>
            <w:tcW w:w="1785"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响应文件中的</w:t>
            </w:r>
          </w:p>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1</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2</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3</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4</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5</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6</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7</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8</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9</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10</w:t>
            </w:r>
          </w:p>
        </w:tc>
        <w:tc>
          <w:tcPr>
            <w:tcW w:w="5447" w:type="dxa"/>
            <w:vAlign w:val="center"/>
          </w:tcPr>
          <w:p>
            <w:pPr>
              <w:snapToGrid w:val="0"/>
              <w:spacing w:line="360" w:lineRule="auto"/>
              <w:rPr>
                <w:rFonts w:ascii="宋体" w:cs="宋体"/>
                <w:b/>
                <w:i/>
                <w:iCs/>
                <w:color w:val="auto"/>
                <w:szCs w:val="21"/>
                <w:highlight w:val="none"/>
                <w:u w:val="single"/>
              </w:rPr>
            </w:pPr>
            <w:r>
              <w:rPr>
                <w:rFonts w:hint="eastAsia" w:ascii="宋体" w:hAnsi="宋体" w:cs="宋体"/>
                <w:b/>
                <w:i/>
                <w:iCs/>
                <w:color w:val="auto"/>
                <w:szCs w:val="21"/>
                <w:highlight w:val="none"/>
                <w:u w:val="single"/>
              </w:rPr>
              <w:t>磋商文件中的其他实质性要求</w:t>
            </w: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bl>
    <w:p>
      <w:pPr>
        <w:spacing w:line="360" w:lineRule="auto"/>
        <w:ind w:firstLine="420" w:firstLineChars="200"/>
        <w:rPr>
          <w:rFonts w:ascii="宋体" w:cs="宋体"/>
          <w:color w:val="auto"/>
          <w:szCs w:val="21"/>
          <w:highlight w:val="none"/>
        </w:rPr>
      </w:pPr>
    </w:p>
    <w:p>
      <w:pPr>
        <w:spacing w:before="50" w:after="50"/>
        <w:rPr>
          <w:rFonts w:ascii="宋体" w:cs="宋体"/>
          <w:color w:val="auto"/>
          <w:kern w:val="0"/>
          <w:sz w:val="22"/>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pStyle w:val="35"/>
        <w:ind w:firstLine="420"/>
        <w:rPr>
          <w:color w:val="auto"/>
          <w:highlight w:val="none"/>
        </w:rPr>
      </w:pPr>
    </w:p>
    <w:p>
      <w:pPr>
        <w:pStyle w:val="36"/>
        <w:ind w:left="480" w:hanging="480"/>
        <w:rPr>
          <w:color w:val="auto"/>
          <w:highlight w:val="none"/>
        </w:rPr>
      </w:pPr>
    </w:p>
    <w:p>
      <w:pPr>
        <w:spacing w:line="360" w:lineRule="auto"/>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二、资信证明文件</w:t>
      </w:r>
    </w:p>
    <w:p>
      <w:pPr>
        <w:spacing w:line="34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、满足以下规定，并提供下列材料：</w:t>
      </w:r>
    </w:p>
    <w:p>
      <w:pPr>
        <w:spacing w:line="34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1.1</w:t>
      </w:r>
      <w:r>
        <w:rPr>
          <w:rFonts w:hint="eastAsia" w:ascii="宋体" w:hAnsi="宋体" w:cs="宋体"/>
          <w:i/>
          <w:color w:val="auto"/>
          <w:szCs w:val="21"/>
          <w:highlight w:val="none"/>
          <w:u w:val="single"/>
        </w:rPr>
        <w:t>磋商响应函</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4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1.2</w:t>
      </w:r>
      <w:r>
        <w:rPr>
          <w:rFonts w:hint="eastAsia" w:ascii="宋体" w:hAnsi="宋体" w:cs="宋体"/>
          <w:i/>
          <w:color w:val="auto"/>
          <w:szCs w:val="21"/>
          <w:highlight w:val="none"/>
          <w:u w:val="single"/>
        </w:rPr>
        <w:t>资格声明</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spacing w:line="34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1.3</w:t>
      </w:r>
      <w:r>
        <w:rPr>
          <w:rFonts w:hint="eastAsia" w:ascii="宋体" w:hAnsi="宋体" w:cs="宋体"/>
          <w:i/>
          <w:color w:val="auto"/>
          <w:szCs w:val="21"/>
          <w:highlight w:val="none"/>
          <w:u w:val="single"/>
        </w:rPr>
        <w:t>若法定代表人参加磋商的，须提供本人身份证复印件</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r>
        <w:rPr>
          <w:rFonts w:hint="eastAsia" w:ascii="宋体" w:hAnsi="宋体" w:cs="宋体"/>
          <w:i/>
          <w:color w:val="auto"/>
          <w:szCs w:val="21"/>
          <w:highlight w:val="none"/>
          <w:u w:val="single"/>
        </w:rPr>
        <w:t>；若授权代表参加磋商的，须提供《法人授权书》原件和授权代表身份证复印件</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p>
    <w:p>
      <w:pPr>
        <w:spacing w:line="340" w:lineRule="exact"/>
        <w:ind w:firstLine="420" w:firstLineChars="200"/>
        <w:outlineLvl w:val="0"/>
        <w:rPr>
          <w:rFonts w:ascii="宋体" w:cs="宋体"/>
          <w:i/>
          <w:color w:val="auto"/>
          <w:szCs w:val="21"/>
          <w:highlight w:val="none"/>
          <w:u w:val="single"/>
        </w:rPr>
      </w:pPr>
      <w:r>
        <w:rPr>
          <w:rFonts w:ascii="宋体" w:hAnsi="宋体" w:cs="宋体"/>
          <w:i/>
          <w:color w:val="auto"/>
          <w:szCs w:val="21"/>
          <w:highlight w:val="none"/>
          <w:u w:val="single"/>
        </w:rPr>
        <w:t>1.4</w:t>
      </w:r>
      <w:r>
        <w:rPr>
          <w:rFonts w:hint="eastAsia" w:ascii="宋体" w:hAnsi="宋体" w:cs="宋体"/>
          <w:i/>
          <w:color w:val="auto"/>
          <w:szCs w:val="21"/>
          <w:highlight w:val="none"/>
          <w:u w:val="single"/>
        </w:rPr>
        <w:t>营业执照副本</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40" w:lineRule="exact"/>
        <w:ind w:firstLine="420" w:firstLineChars="200"/>
        <w:rPr>
          <w:rFonts w:ascii="宋体" w:cs="宋体"/>
          <w:i/>
          <w:color w:val="auto"/>
          <w:szCs w:val="21"/>
          <w:highlight w:val="none"/>
        </w:rPr>
      </w:pPr>
      <w:r>
        <w:rPr>
          <w:rFonts w:ascii="宋体" w:hAnsi="宋体" w:cs="宋体"/>
          <w:i/>
          <w:color w:val="auto"/>
          <w:szCs w:val="21"/>
          <w:highlight w:val="none"/>
          <w:u w:val="single"/>
        </w:rPr>
        <w:t>1.5</w:t>
      </w:r>
      <w:r>
        <w:rPr>
          <w:rFonts w:hint="eastAsia" w:ascii="宋体" w:hAnsi="宋体" w:cs="宋体"/>
          <w:i/>
          <w:color w:val="auto"/>
          <w:szCs w:val="21"/>
          <w:highlight w:val="none"/>
          <w:u w:val="single"/>
        </w:rPr>
        <w:t>依法缴纳职工社会保障资金的证明材料</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r>
        <w:rPr>
          <w:rFonts w:ascii="宋体" w:hAnsi="宋体" w:cs="宋体"/>
          <w:i/>
          <w:color w:val="auto"/>
          <w:szCs w:val="21"/>
          <w:highlight w:val="none"/>
          <w:u w:val="single"/>
        </w:rPr>
        <w:t>(</w:t>
      </w:r>
      <w:r>
        <w:rPr>
          <w:rFonts w:hint="eastAsia" w:ascii="宋体" w:hAnsi="宋体" w:cs="宋体"/>
          <w:i/>
          <w:color w:val="auto"/>
          <w:szCs w:val="21"/>
          <w:highlight w:val="none"/>
          <w:u w:val="single"/>
        </w:rPr>
        <w:t>税务、银行或社会保险基金管理部门出具的</w:t>
      </w:r>
      <w:r>
        <w:rPr>
          <w:rFonts w:ascii="宋体" w:hAnsi="宋体" w:cs="宋体"/>
          <w:i/>
          <w:color w:val="auto"/>
          <w:szCs w:val="21"/>
          <w:highlight w:val="none"/>
          <w:u w:val="single"/>
        </w:rPr>
        <w:t>202</w:t>
      </w:r>
      <w:r>
        <w:rPr>
          <w:rFonts w:hint="eastAsia" w:ascii="宋体" w:hAnsi="宋体" w:cs="宋体"/>
          <w:i/>
          <w:color w:val="auto"/>
          <w:szCs w:val="21"/>
          <w:highlight w:val="none"/>
          <w:u w:val="single"/>
        </w:rPr>
        <w:t>2年4月</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年6月三个月内任意一个月缴纳职工社会保障资金的缴款凭证或缴款证明</w:t>
      </w:r>
      <w:r>
        <w:rPr>
          <w:rFonts w:ascii="宋体" w:hAnsi="宋体" w:cs="宋体"/>
          <w:i/>
          <w:color w:val="auto"/>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40" w:lineRule="exact"/>
        <w:ind w:firstLine="396" w:firstLineChars="200"/>
        <w:rPr>
          <w:rFonts w:ascii="宋体" w:cs="宋体"/>
          <w:i/>
          <w:color w:val="auto"/>
          <w:spacing w:val="-6"/>
          <w:szCs w:val="21"/>
          <w:highlight w:val="none"/>
        </w:rPr>
      </w:pPr>
      <w:r>
        <w:rPr>
          <w:rFonts w:ascii="宋体" w:hAnsi="宋体" w:cs="宋体"/>
          <w:i/>
          <w:color w:val="auto"/>
          <w:spacing w:val="-6"/>
          <w:szCs w:val="21"/>
          <w:highlight w:val="none"/>
          <w:u w:val="single"/>
        </w:rPr>
        <w:t>1.6</w:t>
      </w:r>
      <w:r>
        <w:rPr>
          <w:rFonts w:hint="eastAsia" w:ascii="宋体" w:hAnsi="宋体" w:cs="宋体"/>
          <w:i/>
          <w:color w:val="auto"/>
          <w:spacing w:val="-6"/>
          <w:szCs w:val="21"/>
          <w:highlight w:val="none"/>
          <w:u w:val="single"/>
        </w:rPr>
        <w:t>供应商提供</w:t>
      </w:r>
      <w:r>
        <w:rPr>
          <w:rFonts w:ascii="宋体" w:hAnsi="宋体" w:cs="宋体"/>
          <w:i/>
          <w:color w:val="auto"/>
          <w:spacing w:val="-6"/>
          <w:szCs w:val="21"/>
          <w:highlight w:val="none"/>
          <w:u w:val="single"/>
        </w:rPr>
        <w:t>202</w:t>
      </w:r>
      <w:r>
        <w:rPr>
          <w:rFonts w:hint="eastAsia" w:ascii="宋体" w:hAnsi="宋体" w:cs="宋体"/>
          <w:i/>
          <w:color w:val="auto"/>
          <w:spacing w:val="-6"/>
          <w:szCs w:val="21"/>
          <w:highlight w:val="none"/>
          <w:u w:val="single"/>
        </w:rPr>
        <w:t>2年4月</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年6月三个月内任意一份依法纳税的缴款凭证</w:t>
      </w:r>
      <w:r>
        <w:rPr>
          <w:rFonts w:ascii="宋体" w:hAnsi="宋体" w:cs="宋体"/>
          <w:b/>
          <w:i/>
          <w:color w:val="auto"/>
          <w:spacing w:val="-6"/>
          <w:szCs w:val="21"/>
          <w:highlight w:val="none"/>
          <w:u w:val="single"/>
        </w:rPr>
        <w:t>(</w:t>
      </w:r>
      <w:r>
        <w:rPr>
          <w:rFonts w:hint="eastAsia" w:ascii="宋体" w:hAnsi="宋体" w:cs="宋体"/>
          <w:b/>
          <w:i/>
          <w:color w:val="auto"/>
          <w:spacing w:val="-6"/>
          <w:szCs w:val="21"/>
          <w:highlight w:val="none"/>
          <w:u w:val="single"/>
        </w:rPr>
        <w:t>复印件加盖供应商公章</w:t>
      </w:r>
      <w:r>
        <w:rPr>
          <w:rFonts w:ascii="宋体" w:hAnsi="宋体" w:cs="宋体"/>
          <w:b/>
          <w:i/>
          <w:color w:val="auto"/>
          <w:spacing w:val="-6"/>
          <w:szCs w:val="21"/>
          <w:highlight w:val="none"/>
          <w:u w:val="single"/>
        </w:rPr>
        <w:t>)</w:t>
      </w:r>
      <w:r>
        <w:rPr>
          <w:rFonts w:hint="eastAsia" w:ascii="宋体" w:hAnsi="宋体" w:cs="宋体"/>
          <w:b/>
          <w:i/>
          <w:color w:val="auto"/>
          <w:szCs w:val="21"/>
          <w:highlight w:val="none"/>
          <w:u w:val="single"/>
        </w:rPr>
        <w:t>（供应商依法享受缓缴、免缴的提供证明材料）</w:t>
      </w:r>
    </w:p>
    <w:p>
      <w:pPr>
        <w:spacing w:line="340" w:lineRule="exact"/>
        <w:ind w:firstLine="420" w:firstLineChars="200"/>
        <w:rPr>
          <w:rFonts w:ascii="宋体" w:cs="宋体"/>
          <w:b/>
          <w:i/>
          <w:color w:val="auto"/>
          <w:szCs w:val="21"/>
          <w:highlight w:val="none"/>
          <w:u w:val="single"/>
        </w:rPr>
      </w:pPr>
      <w:r>
        <w:rPr>
          <w:rFonts w:ascii="宋体" w:hAnsi="宋体" w:cs="宋体"/>
          <w:i/>
          <w:color w:val="auto"/>
          <w:szCs w:val="21"/>
          <w:highlight w:val="none"/>
          <w:u w:val="single"/>
        </w:rPr>
        <w:t>1.7</w:t>
      </w:r>
      <w:r>
        <w:rPr>
          <w:rFonts w:hint="eastAsia" w:ascii="宋体" w:hAnsi="宋体" w:cs="宋体"/>
          <w:i/>
          <w:color w:val="auto"/>
          <w:spacing w:val="-6"/>
          <w:szCs w:val="21"/>
          <w:highlight w:val="none"/>
          <w:u w:val="single"/>
        </w:rPr>
        <w:t>上一年度的</w:t>
      </w:r>
      <w:r>
        <w:rPr>
          <w:rFonts w:hint="eastAsia" w:ascii="宋体" w:hAnsi="宋体" w:cs="宋体"/>
          <w:i/>
          <w:color w:val="auto"/>
          <w:szCs w:val="21"/>
          <w:highlight w:val="none"/>
          <w:u w:val="single"/>
        </w:rPr>
        <w:t>财务报告情况</w:t>
      </w:r>
      <w:r>
        <w:rPr>
          <w:rFonts w:hint="eastAsia" w:ascii="宋体" w:hAnsi="宋体" w:cs="宋体"/>
          <w:b/>
          <w:bCs/>
          <w:i/>
          <w:color w:val="auto"/>
          <w:szCs w:val="21"/>
          <w:highlight w:val="none"/>
          <w:u w:val="single"/>
        </w:rPr>
        <w:t>（成立不满一年不需提供）</w:t>
      </w:r>
      <w:r>
        <w:rPr>
          <w:rFonts w:ascii="宋体" w:hAnsi="宋体" w:cs="宋体"/>
          <w:b/>
          <w:i/>
          <w:color w:val="auto"/>
          <w:szCs w:val="21"/>
          <w:highlight w:val="none"/>
          <w:u w:val="single"/>
        </w:rPr>
        <w:t xml:space="preserve"> (</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spacing w:line="340" w:lineRule="exact"/>
        <w:ind w:firstLine="525" w:firstLineChars="250"/>
        <w:rPr>
          <w:rFonts w:ascii="宋体" w:cs="宋体"/>
          <w:i/>
          <w:color w:val="auto"/>
          <w:szCs w:val="21"/>
          <w:highlight w:val="none"/>
          <w:u w:val="single"/>
        </w:rPr>
      </w:pPr>
      <w:r>
        <w:rPr>
          <w:rFonts w:ascii="宋体" w:hAnsi="宋体" w:cs="宋体"/>
          <w:i/>
          <w:color w:val="auto"/>
          <w:szCs w:val="21"/>
          <w:highlight w:val="none"/>
          <w:u w:val="single"/>
        </w:rPr>
        <w:t>1.8</w:t>
      </w:r>
      <w:r>
        <w:rPr>
          <w:rFonts w:hint="eastAsia" w:ascii="宋体" w:hAnsi="宋体" w:cs="宋体"/>
          <w:i/>
          <w:color w:val="auto"/>
          <w:szCs w:val="21"/>
          <w:highlight w:val="none"/>
          <w:u w:val="single"/>
        </w:rPr>
        <w:t>具备履行合同所必需的设备和专业技术能力的证明材料（原件）</w:t>
      </w:r>
    </w:p>
    <w:p>
      <w:pPr>
        <w:spacing w:line="340" w:lineRule="exact"/>
        <w:ind w:firstLine="420" w:firstLineChars="200"/>
        <w:outlineLvl w:val="0"/>
        <w:rPr>
          <w:rFonts w:ascii="宋体" w:cs="宋体"/>
          <w:b/>
          <w:i/>
          <w:color w:val="auto"/>
          <w:szCs w:val="21"/>
          <w:highlight w:val="none"/>
          <w:u w:val="single"/>
        </w:rPr>
      </w:pPr>
      <w:r>
        <w:rPr>
          <w:rFonts w:ascii="宋体" w:hAnsi="宋体" w:cs="宋体"/>
          <w:i/>
          <w:color w:val="auto"/>
          <w:szCs w:val="21"/>
          <w:highlight w:val="none"/>
          <w:u w:val="single"/>
        </w:rPr>
        <w:t>1.9</w:t>
      </w:r>
      <w:r>
        <w:rPr>
          <w:rFonts w:hint="eastAsia" w:ascii="宋体" w:hAnsi="宋体" w:cs="宋体"/>
          <w:i/>
          <w:color w:val="auto"/>
          <w:szCs w:val="21"/>
          <w:highlight w:val="none"/>
          <w:u w:val="single"/>
        </w:rPr>
        <w:t>供应商参加本次采购活动前</w:t>
      </w:r>
      <w:r>
        <w:rPr>
          <w:rFonts w:ascii="宋体" w:hAnsi="宋体" w:cs="宋体"/>
          <w:i/>
          <w:color w:val="auto"/>
          <w:szCs w:val="21"/>
          <w:highlight w:val="none"/>
          <w:u w:val="single"/>
        </w:rPr>
        <w:t>3</w:t>
      </w:r>
      <w:r>
        <w:rPr>
          <w:rFonts w:hint="eastAsia" w:ascii="宋体" w:hAnsi="宋体" w:cs="宋体"/>
          <w:i/>
          <w:color w:val="auto"/>
          <w:szCs w:val="21"/>
          <w:highlight w:val="none"/>
          <w:u w:val="single"/>
        </w:rPr>
        <w:t>年内在经营活动中没有重大违法记录的书面声明</w:t>
      </w:r>
      <w:r>
        <w:rPr>
          <w:rFonts w:hint="eastAsia" w:ascii="宋体" w:hAnsi="宋体" w:cs="宋体"/>
          <w:b/>
          <w:i/>
          <w:color w:val="auto"/>
          <w:szCs w:val="21"/>
          <w:highlight w:val="none"/>
          <w:u w:val="single"/>
        </w:rPr>
        <w:t>（原件）</w:t>
      </w:r>
    </w:p>
    <w:p>
      <w:pPr>
        <w:spacing w:line="340" w:lineRule="exact"/>
        <w:ind w:firstLine="422" w:firstLineChars="200"/>
        <w:outlineLvl w:val="0"/>
        <w:rPr>
          <w:rFonts w:ascii="宋体" w:cs="宋体"/>
          <w:b/>
          <w:bCs/>
          <w:i/>
          <w:color w:val="auto"/>
          <w:szCs w:val="21"/>
          <w:highlight w:val="none"/>
          <w:u w:val="single"/>
        </w:rPr>
      </w:pPr>
      <w:r>
        <w:rPr>
          <w:rFonts w:ascii="宋体" w:hAnsi="宋体" w:cs="宋体"/>
          <w:b/>
          <w:i/>
          <w:color w:val="auto"/>
          <w:szCs w:val="21"/>
          <w:highlight w:val="none"/>
          <w:u w:val="single"/>
        </w:rPr>
        <w:t>1.10</w:t>
      </w:r>
      <w:r>
        <w:rPr>
          <w:rFonts w:hint="eastAsia" w:ascii="宋体" w:hAnsi="宋体" w:cs="宋体"/>
          <w:i/>
          <w:color w:val="auto"/>
          <w:szCs w:val="21"/>
          <w:highlight w:val="none"/>
          <w:u w:val="single"/>
        </w:rPr>
        <w:t>未被“信用中国”网站（</w:t>
      </w:r>
      <w:r>
        <w:rPr>
          <w:rFonts w:ascii="宋体" w:hAnsi="宋体" w:cs="宋体"/>
          <w:i/>
          <w:color w:val="auto"/>
          <w:szCs w:val="21"/>
          <w:highlight w:val="none"/>
          <w:u w:val="single"/>
        </w:rPr>
        <w:t>www.creditchina.gov.cn</w:t>
      </w:r>
      <w:r>
        <w:rPr>
          <w:rFonts w:hint="eastAsia" w:ascii="宋体" w:hAnsi="宋体" w:cs="宋体"/>
          <w:i/>
          <w:color w:val="auto"/>
          <w:szCs w:val="21"/>
          <w:highlight w:val="none"/>
          <w:u w:val="single"/>
        </w:rPr>
        <w:t>）、“中国政府采购网</w:t>
      </w:r>
      <w:r>
        <w:rPr>
          <w:rFonts w:ascii="宋体" w:hAnsi="宋体" w:cs="宋体"/>
          <w:i/>
          <w:color w:val="auto"/>
          <w:szCs w:val="21"/>
          <w:highlight w:val="none"/>
          <w:u w:val="single"/>
        </w:rPr>
        <w:t>"(www.ccgp.gov.cn)</w:t>
      </w:r>
      <w:r>
        <w:rPr>
          <w:rFonts w:hint="eastAsia" w:ascii="宋体" w:hAnsi="宋体" w:cs="宋体"/>
          <w:i/>
          <w:color w:val="auto"/>
          <w:szCs w:val="21"/>
          <w:highlight w:val="none"/>
          <w:u w:val="single"/>
        </w:rPr>
        <w:t>列入失信被执行人、重大税收违法案件当事人名单、政府采购严重违法失信行为记录名单</w:t>
      </w:r>
      <w:r>
        <w:rPr>
          <w:rFonts w:hint="eastAsia" w:ascii="宋体" w:hAnsi="宋体" w:cs="宋体"/>
          <w:b/>
          <w:bCs/>
          <w:i/>
          <w:color w:val="auto"/>
          <w:szCs w:val="21"/>
          <w:highlight w:val="none"/>
          <w:u w:val="single"/>
        </w:rPr>
        <w:t>（提供网页截图加盖供应商公章）</w:t>
      </w:r>
    </w:p>
    <w:p>
      <w:pPr>
        <w:spacing w:line="340" w:lineRule="exact"/>
        <w:ind w:firstLine="420" w:firstLineChars="200"/>
        <w:outlineLvl w:val="0"/>
        <w:rPr>
          <w:rFonts w:ascii="宋体" w:cs="宋体"/>
          <w:b/>
          <w:bCs/>
          <w:i/>
          <w:color w:val="auto"/>
          <w:szCs w:val="21"/>
          <w:highlight w:val="none"/>
          <w:u w:val="single"/>
        </w:rPr>
      </w:pPr>
      <w:r>
        <w:rPr>
          <w:rFonts w:ascii="宋体" w:hAnsi="宋体" w:cs="宋体"/>
          <w:i/>
          <w:color w:val="auto"/>
          <w:szCs w:val="21"/>
          <w:highlight w:val="none"/>
          <w:u w:val="single"/>
        </w:rPr>
        <w:t>1.11</w:t>
      </w:r>
      <w:r>
        <w:rPr>
          <w:rFonts w:hint="eastAsia" w:ascii="宋体" w:hAnsi="宋体" w:cs="宋体"/>
          <w:i/>
          <w:color w:val="auto"/>
          <w:szCs w:val="21"/>
          <w:highlight w:val="none"/>
          <w:u w:val="single"/>
        </w:rPr>
        <w:t>供应商信用承诺函</w:t>
      </w:r>
      <w:r>
        <w:rPr>
          <w:rFonts w:hint="eastAsia" w:ascii="宋体" w:hAnsi="宋体" w:cs="宋体"/>
          <w:b/>
          <w:bCs/>
          <w:i/>
          <w:color w:val="auto"/>
          <w:szCs w:val="21"/>
          <w:highlight w:val="none"/>
          <w:u w:val="single"/>
        </w:rPr>
        <w:t>（原件）</w:t>
      </w:r>
    </w:p>
    <w:p>
      <w:pPr>
        <w:snapToGrid w:val="0"/>
        <w:spacing w:line="34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：如参加本项目的供应商为个体工商户、自然人或事业法人等非企业法人，响应文件中</w:t>
      </w:r>
      <w:r>
        <w:rPr>
          <w:rFonts w:ascii="宋体" w:hAnsi="宋体" w:cs="宋体"/>
          <w:color w:val="auto"/>
          <w:szCs w:val="21"/>
          <w:highlight w:val="none"/>
        </w:rPr>
        <w:t>1.5-1.7</w:t>
      </w:r>
      <w:r>
        <w:rPr>
          <w:rFonts w:hint="eastAsia" w:ascii="宋体" w:hAnsi="宋体" w:cs="宋体"/>
          <w:color w:val="auto"/>
          <w:szCs w:val="21"/>
          <w:highlight w:val="none"/>
        </w:rPr>
        <w:t>项中证明材料需用相应文件证明替代。</w:t>
      </w:r>
    </w:p>
    <w:p>
      <w:pPr>
        <w:snapToGrid w:val="0"/>
        <w:spacing w:line="340" w:lineRule="exact"/>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2</w:t>
      </w:r>
      <w:r>
        <w:rPr>
          <w:rFonts w:hint="eastAsia" w:ascii="宋体" w:hAnsi="宋体" w:cs="宋体"/>
          <w:color w:val="auto"/>
          <w:szCs w:val="21"/>
          <w:highlight w:val="none"/>
        </w:rPr>
        <w:t>：响应文件的正本和副本中均须提供上述资格证明文件。资格证明文件须清晰可辨，若有缺失或不清晰，将导致投标被拒绝且不允许在开标后补正。</w:t>
      </w:r>
    </w:p>
    <w:p>
      <w:pPr>
        <w:snapToGrid w:val="0"/>
        <w:spacing w:line="34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、落实采购政策需满足的资格要求：无</w:t>
      </w:r>
    </w:p>
    <w:p>
      <w:pPr>
        <w:snapToGrid w:val="0"/>
        <w:spacing w:line="34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w:t>
      </w:r>
    </w:p>
    <w:p>
      <w:pPr>
        <w:spacing w:line="340" w:lineRule="exact"/>
        <w:ind w:firstLine="525" w:firstLineChars="250"/>
        <w:rPr>
          <w:rFonts w:ascii="宋体" w:hAnsi="宋体"/>
          <w:b/>
          <w:i/>
          <w:color w:val="auto"/>
          <w:highlight w:val="none"/>
          <w:u w:val="single"/>
        </w:rPr>
      </w:pPr>
      <w:r>
        <w:rPr>
          <w:rFonts w:hint="eastAsia" w:ascii="宋体" w:hAnsi="宋体"/>
          <w:i/>
          <w:iCs/>
          <w:color w:val="auto"/>
          <w:highlight w:val="none"/>
          <w:u w:val="single"/>
        </w:rPr>
        <w:t>3.1供应商具备工程监理综合资质或市政公用工程监理乙级及以上资质</w:t>
      </w:r>
      <w:r>
        <w:rPr>
          <w:rFonts w:hint="eastAsia" w:ascii="宋体" w:hAnsi="宋体"/>
          <w:b/>
          <w:i/>
          <w:color w:val="auto"/>
          <w:highlight w:val="none"/>
          <w:u w:val="single"/>
        </w:rPr>
        <w:t>(复印件加盖供应商公章)</w:t>
      </w:r>
    </w:p>
    <w:p>
      <w:pPr>
        <w:spacing w:line="340" w:lineRule="exact"/>
        <w:ind w:firstLine="396" w:firstLineChars="200"/>
        <w:rPr>
          <w:rFonts w:ascii="宋体" w:hAnsi="宋体"/>
          <w:b/>
          <w:i/>
          <w:color w:val="auto"/>
          <w:szCs w:val="21"/>
          <w:highlight w:val="none"/>
          <w:u w:val="single"/>
        </w:rPr>
      </w:pPr>
      <w:r>
        <w:rPr>
          <w:rFonts w:hint="eastAsia" w:ascii="宋体" w:hAnsi="宋体" w:cs="Arial"/>
          <w:bCs/>
          <w:i/>
          <w:iCs/>
          <w:color w:val="auto"/>
          <w:spacing w:val="-6"/>
          <w:szCs w:val="21"/>
          <w:highlight w:val="none"/>
          <w:u w:val="single"/>
        </w:rPr>
        <w:t>3.2</w:t>
      </w:r>
      <w:r>
        <w:rPr>
          <w:rFonts w:hint="eastAsia" w:ascii="宋体" w:hAnsi="宋体"/>
          <w:i/>
          <w:color w:val="auto"/>
          <w:szCs w:val="21"/>
          <w:highlight w:val="none"/>
          <w:u w:val="single"/>
        </w:rPr>
        <w:t>拟派项目总监为本公司正式员工，正常缴纳社会保险，具备</w:t>
      </w:r>
      <w:r>
        <w:rPr>
          <w:rFonts w:hint="eastAsia" w:ascii="宋体" w:hAnsi="宋体" w:cs="Arial"/>
          <w:i/>
          <w:iCs/>
          <w:color w:val="auto"/>
          <w:spacing w:val="-6"/>
          <w:szCs w:val="21"/>
          <w:highlight w:val="none"/>
          <w:u w:val="single"/>
        </w:rPr>
        <w:t>市政公用工程国家注册监理工程师资格</w:t>
      </w:r>
      <w:r>
        <w:rPr>
          <w:rFonts w:hint="eastAsia" w:ascii="宋体" w:hAnsi="宋体"/>
          <w:i/>
          <w:color w:val="auto"/>
          <w:szCs w:val="21"/>
          <w:highlight w:val="none"/>
          <w:u w:val="single"/>
        </w:rPr>
        <w:t xml:space="preserve"> (提供拟派项目总监</w:t>
      </w:r>
      <w:r>
        <w:rPr>
          <w:rFonts w:hint="eastAsia" w:ascii="宋体" w:hAnsi="宋体" w:cs="Arial"/>
          <w:i/>
          <w:iCs/>
          <w:color w:val="auto"/>
          <w:spacing w:val="-6"/>
          <w:szCs w:val="21"/>
          <w:highlight w:val="none"/>
          <w:u w:val="single"/>
        </w:rPr>
        <w:t>市政公用工程国家注册监理工程师</w:t>
      </w:r>
      <w:r>
        <w:rPr>
          <w:rFonts w:hint="eastAsia" w:ascii="宋体" w:hAnsi="宋体"/>
          <w:i/>
          <w:color w:val="auto"/>
          <w:szCs w:val="21"/>
          <w:highlight w:val="none"/>
          <w:u w:val="single"/>
        </w:rPr>
        <w:t>证书和供应商为其缴纳的2022年4至2022年6月连续三个月的社保证明)</w:t>
      </w:r>
      <w:r>
        <w:rPr>
          <w:rFonts w:hint="eastAsia" w:ascii="宋体" w:hAnsi="宋体"/>
          <w:b/>
          <w:i/>
          <w:color w:val="auto"/>
          <w:szCs w:val="21"/>
          <w:highlight w:val="none"/>
          <w:u w:val="single"/>
        </w:rPr>
        <w:t>（复印件加盖供应商公章，原件备查)</w:t>
      </w:r>
    </w:p>
    <w:p>
      <w:pPr>
        <w:spacing w:line="340" w:lineRule="exact"/>
        <w:ind w:firstLine="420" w:firstLineChars="200"/>
        <w:rPr>
          <w:rFonts w:ascii="宋体" w:hAnsi="宋体" w:cs="Arial"/>
          <w:b/>
          <w:bCs/>
          <w:i/>
          <w:iCs/>
          <w:color w:val="auto"/>
          <w:spacing w:val="-6"/>
          <w:szCs w:val="21"/>
          <w:highlight w:val="none"/>
          <w:u w:val="single"/>
        </w:rPr>
      </w:pPr>
      <w:r>
        <w:rPr>
          <w:rFonts w:hint="eastAsia" w:ascii="宋体" w:hAnsi="宋体"/>
          <w:i/>
          <w:color w:val="auto"/>
          <w:szCs w:val="21"/>
          <w:highlight w:val="none"/>
          <w:u w:val="single"/>
        </w:rPr>
        <w:t>3.3 拟派项目总监无在手工程或项目总监在手工程符合扬建工（2014）8号文件的规定；项目总监不得同时在两个或者两个以上单</w:t>
      </w:r>
      <w:r>
        <w:rPr>
          <w:rFonts w:hint="eastAsia" w:ascii="宋体" w:hAnsi="宋体" w:cs="Arial"/>
          <w:i/>
          <w:iCs/>
          <w:color w:val="auto"/>
          <w:spacing w:val="-6"/>
          <w:szCs w:val="21"/>
          <w:highlight w:val="none"/>
          <w:u w:val="single"/>
        </w:rPr>
        <w:t>位受聘或者执业：（1）同时在两个及以上单位签订劳动合同或交纳社会保险；（2）将本人执（职）业资格证书同时注册在两个及以上单位（</w:t>
      </w:r>
      <w:r>
        <w:rPr>
          <w:rFonts w:hint="eastAsia" w:ascii="宋体" w:hAnsi="宋体"/>
          <w:b/>
          <w:bCs/>
          <w:i/>
          <w:color w:val="auto"/>
          <w:szCs w:val="21"/>
          <w:highlight w:val="none"/>
          <w:u w:val="single"/>
        </w:rPr>
        <w:t>拟</w:t>
      </w:r>
      <w:r>
        <w:rPr>
          <w:rFonts w:hint="eastAsia"/>
          <w:b/>
          <w:bCs/>
          <w:i/>
          <w:color w:val="auto"/>
          <w:szCs w:val="21"/>
          <w:highlight w:val="none"/>
          <w:u w:val="single"/>
        </w:rPr>
        <w:t>派</w:t>
      </w:r>
      <w:r>
        <w:rPr>
          <w:rFonts w:hint="eastAsia" w:ascii="宋体" w:hAnsi="宋体"/>
          <w:b/>
          <w:bCs/>
          <w:i/>
          <w:color w:val="auto"/>
          <w:szCs w:val="21"/>
          <w:highlight w:val="none"/>
          <w:u w:val="single"/>
        </w:rPr>
        <w:t>项目总监无在手工程或在手工程情况符合扬建工（2014）8号文件规定的承诺原件</w:t>
      </w:r>
      <w:r>
        <w:rPr>
          <w:rFonts w:hint="eastAsia" w:ascii="宋体" w:hAnsi="宋体" w:cs="Arial"/>
          <w:b/>
          <w:bCs/>
          <w:i/>
          <w:iCs/>
          <w:color w:val="auto"/>
          <w:spacing w:val="-6"/>
          <w:szCs w:val="21"/>
          <w:highlight w:val="none"/>
          <w:u w:val="single"/>
        </w:rPr>
        <w:t>）</w:t>
      </w:r>
    </w:p>
    <w:p>
      <w:pPr>
        <w:spacing w:line="340" w:lineRule="exact"/>
        <w:ind w:firstLine="396" w:firstLineChars="200"/>
        <w:rPr>
          <w:rFonts w:ascii="宋体" w:hAnsi="宋体" w:cs="Arial"/>
          <w:b/>
          <w:i/>
          <w:iCs/>
          <w:color w:val="auto"/>
          <w:spacing w:val="-6"/>
          <w:szCs w:val="21"/>
          <w:highlight w:val="none"/>
          <w:u w:val="single"/>
        </w:rPr>
      </w:pPr>
      <w:r>
        <w:rPr>
          <w:rFonts w:hint="eastAsia" w:ascii="宋体" w:hAnsi="宋体" w:cs="Arial"/>
          <w:i/>
          <w:iCs/>
          <w:color w:val="auto"/>
          <w:spacing w:val="-6"/>
          <w:szCs w:val="21"/>
          <w:highlight w:val="none"/>
          <w:u w:val="single"/>
        </w:rPr>
        <w:t>3.4供应商为本项目授权委托人缴纳的2022年4月至 2022年6月连续三个月的社保证明</w:t>
      </w:r>
      <w:r>
        <w:rPr>
          <w:rFonts w:hint="eastAsia" w:ascii="宋体" w:hAnsi="宋体" w:cs="Arial"/>
          <w:b/>
          <w:i/>
          <w:iCs/>
          <w:color w:val="auto"/>
          <w:spacing w:val="-6"/>
          <w:szCs w:val="21"/>
          <w:highlight w:val="none"/>
          <w:u w:val="single"/>
        </w:rPr>
        <w:t>(复印件加盖供应商公章)</w:t>
      </w:r>
    </w:p>
    <w:p>
      <w:pPr>
        <w:spacing w:line="340" w:lineRule="exact"/>
        <w:ind w:left="210" w:leftChars="100" w:firstLine="211" w:firstLineChars="100"/>
        <w:rPr>
          <w:rFonts w:asci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、非实质性资信证明文件目录</w:t>
      </w:r>
    </w:p>
    <w:p>
      <w:pPr>
        <w:pStyle w:val="7"/>
        <w:spacing w:line="340" w:lineRule="exact"/>
        <w:ind w:firstLine="396"/>
        <w:rPr>
          <w:rFonts w:ascii="宋体" w:cs="宋体"/>
          <w:color w:val="auto"/>
          <w:spacing w:val="-6"/>
          <w:sz w:val="21"/>
          <w:szCs w:val="21"/>
          <w:highlight w:val="none"/>
        </w:rPr>
      </w:pPr>
      <w:r>
        <w:rPr>
          <w:rFonts w:hint="eastAsia" w:ascii="宋体" w:hAnsi="宋体" w:cs="宋体"/>
          <w:color w:val="auto"/>
          <w:spacing w:val="-6"/>
          <w:sz w:val="21"/>
          <w:szCs w:val="21"/>
          <w:highlight w:val="none"/>
        </w:rPr>
        <w:t>格式</w:t>
      </w:r>
      <w:r>
        <w:rPr>
          <w:rFonts w:ascii="宋体" w:hAnsi="宋体" w:cs="宋体"/>
          <w:color w:val="auto"/>
          <w:spacing w:val="-6"/>
          <w:sz w:val="21"/>
          <w:szCs w:val="21"/>
          <w:highlight w:val="none"/>
        </w:rPr>
        <w:t xml:space="preserve">1 </w:t>
      </w:r>
      <w:r>
        <w:rPr>
          <w:rFonts w:hint="eastAsia" w:ascii="宋体" w:hAnsi="宋体" w:cs="宋体"/>
          <w:color w:val="auto"/>
          <w:spacing w:val="-6"/>
          <w:sz w:val="21"/>
          <w:szCs w:val="21"/>
          <w:highlight w:val="none"/>
        </w:rPr>
        <w:t>《联合体协议》（接受联合体供应商的项目招标文件中请加入此格式，其他项目不需加入此格式）</w:t>
      </w:r>
    </w:p>
    <w:p>
      <w:pPr>
        <w:spacing w:line="340" w:lineRule="exact"/>
        <w:ind w:firstLine="420" w:firstLineChars="200"/>
        <w:rPr>
          <w:rFonts w:ascii="宋体" w:cs="宋体"/>
          <w:color w:val="auto"/>
          <w:szCs w:val="21"/>
          <w:highlight w:val="none"/>
        </w:rPr>
      </w:pPr>
      <w:r>
        <w:rPr>
          <w:rFonts w:hint="eastAsia" w:ascii="宋体" w:hAnsi="宋体" w:cs="宋体"/>
          <w:color w:val="auto"/>
          <w:szCs w:val="21"/>
          <w:highlight w:val="none"/>
        </w:rPr>
        <w:t>格式</w:t>
      </w:r>
      <w:r>
        <w:rPr>
          <w:rFonts w:ascii="宋体" w:hAnsi="宋体" w:cs="宋体"/>
          <w:color w:val="auto"/>
          <w:szCs w:val="21"/>
          <w:highlight w:val="none"/>
        </w:rPr>
        <w:t xml:space="preserve">2  </w:t>
      </w:r>
      <w:r>
        <w:rPr>
          <w:rFonts w:hint="eastAsia" w:ascii="宋体" w:hAnsi="宋体" w:cs="宋体"/>
          <w:color w:val="auto"/>
          <w:szCs w:val="21"/>
          <w:highlight w:val="none"/>
        </w:rPr>
        <w:t>中小企业声明函</w:t>
      </w:r>
      <w:r>
        <w:rPr>
          <w:rFonts w:ascii="宋体" w:hAnsi="宋体" w:cs="宋体"/>
          <w:color w:val="auto"/>
          <w:szCs w:val="21"/>
          <w:highlight w:val="none"/>
        </w:rPr>
        <w:t>(</w:t>
      </w:r>
      <w:r>
        <w:rPr>
          <w:rFonts w:hint="eastAsia" w:ascii="宋体" w:hAnsi="宋体" w:cs="宋体"/>
          <w:color w:val="auto"/>
          <w:szCs w:val="21"/>
          <w:highlight w:val="none"/>
        </w:rPr>
        <w:t>小、微</w:t>
      </w:r>
      <w:r>
        <w:rPr>
          <w:rFonts w:ascii="宋体" w:hAnsi="宋体" w:cs="宋体"/>
          <w:color w:val="auto"/>
          <w:szCs w:val="21"/>
          <w:highlight w:val="none"/>
        </w:rPr>
        <w:t>)</w:t>
      </w:r>
    </w:p>
    <w:p>
      <w:pPr>
        <w:spacing w:line="340" w:lineRule="exact"/>
        <w:ind w:firstLine="420" w:firstLineChars="200"/>
        <w:rPr>
          <w:rFonts w:ascii="宋体" w:cs="宋体"/>
          <w:b/>
          <w:color w:val="auto"/>
          <w:szCs w:val="21"/>
          <w:highlight w:val="none"/>
        </w:rPr>
      </w:pPr>
      <w:r>
        <w:rPr>
          <w:rFonts w:hint="eastAsia" w:ascii="宋体" w:hAnsi="宋体" w:cs="宋体"/>
          <w:color w:val="auto"/>
          <w:szCs w:val="21"/>
          <w:highlight w:val="none"/>
        </w:rPr>
        <w:t>格式</w:t>
      </w:r>
      <w:r>
        <w:rPr>
          <w:rFonts w:ascii="宋体" w:hAnsi="宋体" w:cs="宋体"/>
          <w:color w:val="auto"/>
          <w:szCs w:val="21"/>
          <w:highlight w:val="none"/>
        </w:rPr>
        <w:t xml:space="preserve">3  </w:t>
      </w:r>
      <w:r>
        <w:rPr>
          <w:rFonts w:hint="eastAsia" w:ascii="宋体" w:hAnsi="宋体" w:cs="宋体"/>
          <w:color w:val="auto"/>
          <w:szCs w:val="21"/>
          <w:highlight w:val="none"/>
        </w:rPr>
        <w:t>残疾人福利性单位声明函</w:t>
      </w:r>
    </w:p>
    <w:p>
      <w:pPr>
        <w:pStyle w:val="37"/>
        <w:rPr>
          <w:rFonts w:ascii="宋体"/>
          <w:b/>
          <w:color w:val="auto"/>
          <w:szCs w:val="21"/>
          <w:highlight w:val="none"/>
        </w:rPr>
      </w:pPr>
    </w:p>
    <w:p>
      <w:pPr>
        <w:pStyle w:val="38"/>
        <w:rPr>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磋商响应函</w:t>
      </w:r>
    </w:p>
    <w:p>
      <w:pPr>
        <w:pStyle w:val="57"/>
        <w:spacing w:line="360" w:lineRule="auto"/>
        <w:ind w:firstLine="0" w:firstLineChars="0"/>
        <w:rPr>
          <w:rFonts w:ascii="宋体" w:cs="宋体"/>
          <w:color w:val="auto"/>
          <w:sz w:val="21"/>
          <w:szCs w:val="21"/>
          <w:highlight w:val="none"/>
        </w:rPr>
      </w:pPr>
      <w:r>
        <w:rPr>
          <w:rFonts w:hint="eastAsia" w:ascii="宋体" w:hAnsi="宋体" w:cs="宋体"/>
          <w:color w:val="auto"/>
          <w:sz w:val="21"/>
          <w:szCs w:val="21"/>
          <w:highlight w:val="none"/>
        </w:rPr>
        <w:t>致：江苏汇诚投资咨询管理有限公司</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根据贵方的</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（项目名称）磋商文件，正式授权下述签字人</w:t>
      </w:r>
      <w:r>
        <w:rPr>
          <w:rFonts w:ascii="宋体" w:hAnsi="宋体" w:cs="宋体"/>
          <w:color w:val="auto"/>
          <w:sz w:val="21"/>
          <w:szCs w:val="21"/>
          <w:highlight w:val="none"/>
        </w:rPr>
        <w:t>_________ (</w:t>
      </w:r>
      <w:r>
        <w:rPr>
          <w:rFonts w:hint="eastAsia" w:ascii="宋体" w:hAnsi="宋体" w:cs="宋体"/>
          <w:color w:val="auto"/>
          <w:sz w:val="21"/>
          <w:szCs w:val="21"/>
          <w:highlight w:val="none"/>
        </w:rPr>
        <w:t>姓名和职务</w:t>
      </w:r>
      <w:r>
        <w:rPr>
          <w:rFonts w:ascii="宋体" w:hAnsi="宋体" w:cs="宋体"/>
          <w:color w:val="auto"/>
          <w:sz w:val="21"/>
          <w:szCs w:val="21"/>
          <w:highlight w:val="none"/>
        </w:rPr>
        <w:t>)</w:t>
      </w:r>
      <w:r>
        <w:rPr>
          <w:rFonts w:hint="eastAsia" w:ascii="宋体" w:hAnsi="宋体" w:cs="宋体"/>
          <w:color w:val="auto"/>
          <w:sz w:val="21"/>
          <w:szCs w:val="21"/>
          <w:highlight w:val="none"/>
        </w:rPr>
        <w:t>代表我方</w:t>
      </w:r>
      <w:r>
        <w:rPr>
          <w:rFonts w:ascii="宋体" w:hAnsi="宋体" w:cs="宋体"/>
          <w:color w:val="auto"/>
          <w:sz w:val="21"/>
          <w:szCs w:val="21"/>
          <w:highlight w:val="none"/>
        </w:rPr>
        <w:t>______________</w:t>
      </w:r>
      <w:r>
        <w:rPr>
          <w:rFonts w:hint="eastAsia" w:ascii="宋体" w:hAnsi="宋体" w:cs="宋体"/>
          <w:color w:val="auto"/>
          <w:sz w:val="21"/>
          <w:szCs w:val="21"/>
          <w:highlight w:val="none"/>
        </w:rPr>
        <w:t>（供应商的名称），全权处理本次项目磋商采购的有关事宜。</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据此函，</w:t>
      </w:r>
      <w:r>
        <w:rPr>
          <w:rFonts w:ascii="宋体" w:hAnsi="宋体" w:cs="宋体"/>
          <w:color w:val="auto"/>
          <w:sz w:val="21"/>
          <w:szCs w:val="21"/>
          <w:highlight w:val="none"/>
        </w:rPr>
        <w:t>__________</w:t>
      </w:r>
      <w:r>
        <w:rPr>
          <w:rFonts w:hint="eastAsia" w:ascii="宋体" w:hAnsi="宋体" w:cs="宋体"/>
          <w:color w:val="auto"/>
          <w:sz w:val="21"/>
          <w:szCs w:val="21"/>
          <w:highlight w:val="none"/>
        </w:rPr>
        <w:t>（签字人）兹宣布同意如下：</w:t>
      </w:r>
    </w:p>
    <w:p>
      <w:pPr>
        <w:pStyle w:val="57"/>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按磋商文件规定的各项要求，向买方提供所需服务。</w:t>
      </w:r>
    </w:p>
    <w:p>
      <w:pPr>
        <w:pStyle w:val="57"/>
        <w:spacing w:line="360" w:lineRule="auto"/>
        <w:ind w:firstLine="396"/>
        <w:rPr>
          <w:rFonts w:ascii="宋体" w:cs="宋体"/>
          <w:color w:val="auto"/>
          <w:spacing w:val="-6"/>
          <w:sz w:val="21"/>
          <w:szCs w:val="21"/>
          <w:highlight w:val="none"/>
        </w:rPr>
      </w:pPr>
      <w:r>
        <w:rPr>
          <w:rFonts w:ascii="宋体" w:hAnsi="宋体" w:cs="宋体"/>
          <w:color w:val="auto"/>
          <w:spacing w:val="-6"/>
          <w:sz w:val="21"/>
          <w:szCs w:val="21"/>
          <w:highlight w:val="none"/>
        </w:rPr>
        <w:t>2.</w:t>
      </w:r>
      <w:r>
        <w:rPr>
          <w:rFonts w:hint="eastAsia" w:ascii="宋体" w:hAnsi="宋体" w:cs="宋体"/>
          <w:color w:val="auto"/>
          <w:spacing w:val="-6"/>
          <w:sz w:val="21"/>
          <w:szCs w:val="21"/>
          <w:highlight w:val="none"/>
        </w:rPr>
        <w:t>我们已详细审核全部磋商文件及其有效补充文件，我们知道必须放弃提出含糊不清或误解问题的权利。</w:t>
      </w:r>
    </w:p>
    <w:p>
      <w:pPr>
        <w:pStyle w:val="57"/>
        <w:spacing w:line="360" w:lineRule="auto"/>
        <w:ind w:firstLine="42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我们同意从规定的响应文件接收截止时间起遵循本响应文件，并在规定的磋商有效期期满之前均具有约束力。</w:t>
      </w:r>
    </w:p>
    <w:p>
      <w:pPr>
        <w:pStyle w:val="57"/>
        <w:spacing w:line="360" w:lineRule="auto"/>
        <w:ind w:firstLine="42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同意向贵方提供贵方可能另外要求的与磋商采购有关的任何证据或资料，并保证我方已提供和将要提供的文件是真实的、准确的。</w:t>
      </w:r>
    </w:p>
    <w:p>
      <w:pPr>
        <w:pStyle w:val="57"/>
        <w:spacing w:line="360" w:lineRule="auto"/>
        <w:ind w:firstLine="42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一旦我方成交，我方将根据磋商文件的规定，严格履行合同的责任和义务，并保证在磋商文件规定的时间完成项目，交付买方验收、使用。</w:t>
      </w:r>
    </w:p>
    <w:p>
      <w:pPr>
        <w:pStyle w:val="57"/>
        <w:spacing w:line="360" w:lineRule="auto"/>
        <w:ind w:firstLine="42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遵守磋商文件中要求的收费项目和标准。</w:t>
      </w:r>
    </w:p>
    <w:p>
      <w:pPr>
        <w:pStyle w:val="57"/>
        <w:spacing w:line="360" w:lineRule="auto"/>
        <w:ind w:firstLine="420"/>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与本磋商采购有关的正式通讯地址为：</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地</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邮</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编：</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电</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话：</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真：</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供应商开户行：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账</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户：</w:t>
      </w:r>
      <w:r>
        <w:rPr>
          <w:rFonts w:ascii="宋体" w:hAnsi="宋体" w:cs="宋体"/>
          <w:color w:val="auto"/>
          <w:sz w:val="21"/>
          <w:szCs w:val="21"/>
          <w:highlight w:val="none"/>
        </w:rPr>
        <w:t xml:space="preserve"> </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法定代表人或授权代表姓名（签字）：</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联系电话：</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供应商名称（公章）：</w:t>
      </w:r>
      <w:r>
        <w:rPr>
          <w:rFonts w:ascii="宋体" w:hAnsi="宋体" w:cs="宋体"/>
          <w:color w:val="auto"/>
          <w:sz w:val="21"/>
          <w:szCs w:val="21"/>
          <w:highlight w:val="none"/>
        </w:rPr>
        <w:t xml:space="preserve">            </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期：</w:t>
      </w:r>
      <w:r>
        <w:rPr>
          <w:rFonts w:ascii="宋体" w:hAnsi="宋体" w:cs="宋体"/>
          <w:color w:val="auto"/>
          <w:sz w:val="21"/>
          <w:szCs w:val="21"/>
          <w:highlight w:val="none"/>
        </w:rPr>
        <w:t>________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w:t>
      </w:r>
    </w:p>
    <w:p>
      <w:pPr>
        <w:spacing w:before="50" w:afterLines="50" w:line="360" w:lineRule="auto"/>
        <w:rPr>
          <w:rFonts w:ascii="宋体" w:cs="宋体"/>
          <w:color w:val="auto"/>
          <w:sz w:val="4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360" w:lineRule="auto"/>
        <w:rPr>
          <w:rFonts w:ascii="宋体" w:cs="宋体"/>
          <w:b/>
          <w:bCs/>
          <w:color w:val="auto"/>
          <w:szCs w:val="21"/>
          <w:highlight w:val="none"/>
        </w:rPr>
      </w:pPr>
    </w:p>
    <w:p>
      <w:pPr>
        <w:pStyle w:val="35"/>
        <w:ind w:firstLine="422"/>
        <w:rPr>
          <w:rFonts w:cs="宋体"/>
          <w:b/>
          <w:bCs/>
          <w:color w:val="auto"/>
          <w:szCs w:val="21"/>
          <w:highlight w:val="none"/>
        </w:rPr>
      </w:pPr>
    </w:p>
    <w:p>
      <w:pPr>
        <w:pStyle w:val="36"/>
        <w:ind w:left="482" w:hanging="482"/>
        <w:rPr>
          <w:rFonts w:ascii="宋体"/>
          <w:b/>
          <w:bCs/>
          <w:color w:val="auto"/>
          <w:szCs w:val="21"/>
          <w:highlight w:val="none"/>
        </w:rPr>
      </w:pPr>
    </w:p>
    <w:p>
      <w:pPr>
        <w:pStyle w:val="37"/>
        <w:rPr>
          <w:rFonts w:ascii="宋体"/>
          <w:b/>
          <w:bCs/>
          <w:color w:val="auto"/>
          <w:szCs w:val="21"/>
          <w:highlight w:val="none"/>
        </w:rPr>
      </w:pPr>
    </w:p>
    <w:p>
      <w:pPr>
        <w:pStyle w:val="38"/>
        <w:rPr>
          <w:rFonts w:ascii="宋体"/>
          <w:b/>
          <w:bCs/>
          <w:color w:val="auto"/>
          <w:szCs w:val="21"/>
          <w:highlight w:val="none"/>
        </w:rPr>
      </w:pPr>
    </w:p>
    <w:p>
      <w:pPr>
        <w:pStyle w:val="39"/>
        <w:rPr>
          <w:color w:val="auto"/>
          <w:highlight w:val="none"/>
        </w:rPr>
      </w:pPr>
    </w:p>
    <w:p>
      <w:pPr>
        <w:spacing w:line="360" w:lineRule="auto"/>
        <w:ind w:firstLine="422" w:firstLineChars="200"/>
        <w:jc w:val="center"/>
        <w:rPr>
          <w:rFonts w:ascii="宋体" w:cs="宋体"/>
          <w:b/>
          <w:bCs/>
          <w:color w:val="auto"/>
          <w:szCs w:val="21"/>
          <w:highlight w:val="none"/>
        </w:rPr>
      </w:pPr>
      <w:r>
        <w:rPr>
          <w:rFonts w:hint="eastAsia" w:ascii="宋体" w:hAnsi="宋体" w:cs="宋体"/>
          <w:b/>
          <w:bCs/>
          <w:color w:val="auto"/>
          <w:szCs w:val="21"/>
          <w:highlight w:val="none"/>
        </w:rPr>
        <w:t>资</w:t>
      </w:r>
      <w:r>
        <w:rPr>
          <w:rFonts w:ascii="宋体" w:hAnsi="宋体" w:cs="宋体"/>
          <w:b/>
          <w:bCs/>
          <w:color w:val="auto"/>
          <w:szCs w:val="21"/>
          <w:highlight w:val="none"/>
        </w:rPr>
        <w:t xml:space="preserve"> </w:t>
      </w:r>
      <w:r>
        <w:rPr>
          <w:rFonts w:hint="eastAsia" w:ascii="宋体" w:hAnsi="宋体" w:cs="宋体"/>
          <w:b/>
          <w:bCs/>
          <w:color w:val="auto"/>
          <w:szCs w:val="21"/>
          <w:highlight w:val="none"/>
        </w:rPr>
        <w:t>格</w:t>
      </w:r>
      <w:r>
        <w:rPr>
          <w:rFonts w:ascii="宋体" w:hAnsi="宋体" w:cs="宋体"/>
          <w:b/>
          <w:bCs/>
          <w:color w:val="auto"/>
          <w:szCs w:val="21"/>
          <w:highlight w:val="none"/>
        </w:rPr>
        <w:t xml:space="preserve"> </w:t>
      </w:r>
      <w:r>
        <w:rPr>
          <w:rFonts w:hint="eastAsia" w:ascii="宋体" w:hAnsi="宋体" w:cs="宋体"/>
          <w:b/>
          <w:bCs/>
          <w:color w:val="auto"/>
          <w:szCs w:val="21"/>
          <w:highlight w:val="none"/>
        </w:rPr>
        <w:t>声</w:t>
      </w:r>
      <w:r>
        <w:rPr>
          <w:rFonts w:ascii="宋体" w:hAnsi="宋体" w:cs="宋体"/>
          <w:b/>
          <w:bCs/>
          <w:color w:val="auto"/>
          <w:szCs w:val="21"/>
          <w:highlight w:val="none"/>
        </w:rPr>
        <w:t xml:space="preserve"> </w:t>
      </w:r>
      <w:r>
        <w:rPr>
          <w:rFonts w:hint="eastAsia" w:ascii="宋体" w:hAnsi="宋体" w:cs="宋体"/>
          <w:b/>
          <w:bCs/>
          <w:color w:val="auto"/>
          <w:szCs w:val="21"/>
          <w:highlight w:val="none"/>
        </w:rPr>
        <w:t>明</w:t>
      </w:r>
    </w:p>
    <w:p>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、名称及其它情况：</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）供应商名称：</w:t>
      </w:r>
    </w:p>
    <w:p>
      <w:pPr>
        <w:tabs>
          <w:tab w:val="left" w:pos="4530"/>
        </w:tabs>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）地址：</w:t>
      </w:r>
      <w:r>
        <w:rPr>
          <w:rFonts w:ascii="宋体" w:cs="宋体"/>
          <w:color w:val="auto"/>
          <w:szCs w:val="21"/>
          <w:highlight w:val="none"/>
        </w:rPr>
        <w:tab/>
      </w:r>
      <w:r>
        <w:rPr>
          <w:rFonts w:hint="eastAsia" w:ascii="宋体" w:hAnsi="宋体" w:cs="宋体"/>
          <w:color w:val="auto"/>
          <w:szCs w:val="21"/>
          <w:highlight w:val="none"/>
        </w:rPr>
        <w:t>邮编：</w:t>
      </w:r>
    </w:p>
    <w:p>
      <w:pPr>
        <w:tabs>
          <w:tab w:val="left" w:pos="600"/>
          <w:tab w:val="left" w:pos="432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rPr>
        <w:t xml:space="preserve">     </w:t>
      </w:r>
      <w:r>
        <w:rPr>
          <w:rFonts w:hint="eastAsia" w:ascii="宋体" w:hAnsi="宋体" w:cs="宋体"/>
          <w:color w:val="auto"/>
          <w:szCs w:val="21"/>
          <w:highlight w:val="none"/>
        </w:rPr>
        <w:t>传真：</w:t>
      </w:r>
    </w:p>
    <w:p>
      <w:pPr>
        <w:spacing w:line="400" w:lineRule="exact"/>
        <w:rPr>
          <w:rFonts w:asci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）成立和</w:t>
      </w:r>
      <w:r>
        <w:rPr>
          <w:rFonts w:ascii="宋体" w:hAnsi="宋体" w:cs="宋体"/>
          <w:color w:val="auto"/>
          <w:szCs w:val="21"/>
          <w:highlight w:val="none"/>
        </w:rPr>
        <w:t>/</w:t>
      </w:r>
      <w:r>
        <w:rPr>
          <w:rFonts w:hint="eastAsia" w:ascii="宋体" w:hAnsi="宋体" w:cs="宋体"/>
          <w:color w:val="auto"/>
          <w:szCs w:val="21"/>
          <w:highlight w:val="none"/>
        </w:rPr>
        <w:t>或注册日期：</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）法定代表人：</w:t>
      </w:r>
    </w:p>
    <w:p>
      <w:pPr>
        <w:spacing w:line="400" w:lineRule="exact"/>
        <w:rPr>
          <w:rFonts w:asci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）实收资本：</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）近期资产负债表：（到</w:t>
      </w:r>
      <w:r>
        <w:rPr>
          <w:rFonts w:ascii="宋体" w:hAnsi="宋体" w:cs="宋体"/>
          <w:color w:val="auto"/>
          <w:szCs w:val="21"/>
          <w:highlight w:val="none"/>
          <w:u w:val="single"/>
        </w:rPr>
        <w:t xml:space="preserve">20  </w:t>
      </w:r>
      <w:r>
        <w:rPr>
          <w:rFonts w:hint="eastAsia" w:ascii="宋体" w:hAnsi="宋体" w:cs="宋体"/>
          <w:color w:val="auto"/>
          <w:szCs w:val="21"/>
          <w:highlight w:val="none"/>
          <w:u w:val="single"/>
        </w:rPr>
        <w:t>年</w:t>
      </w:r>
      <w:r>
        <w:rPr>
          <w:rFonts w:ascii="宋体" w:hAnsi="宋体" w:cs="宋体"/>
          <w:color w:val="auto"/>
          <w:szCs w:val="21"/>
          <w:highlight w:val="none"/>
          <w:u w:val="single"/>
        </w:rPr>
        <w:t>12</w:t>
      </w:r>
      <w:r>
        <w:rPr>
          <w:rFonts w:hint="eastAsia" w:ascii="宋体" w:hAnsi="宋体" w:cs="宋体"/>
          <w:color w:val="auto"/>
          <w:szCs w:val="21"/>
          <w:highlight w:val="none"/>
          <w:u w:val="single"/>
        </w:rPr>
        <w:t>月</w:t>
      </w:r>
      <w:r>
        <w:rPr>
          <w:rFonts w:ascii="宋体" w:hAnsi="宋体" w:cs="宋体"/>
          <w:color w:val="auto"/>
          <w:szCs w:val="21"/>
          <w:highlight w:val="none"/>
          <w:u w:val="single"/>
        </w:rPr>
        <w:t>31</w:t>
      </w:r>
      <w:r>
        <w:rPr>
          <w:rFonts w:hint="eastAsia" w:ascii="宋体" w:hAnsi="宋体" w:cs="宋体"/>
          <w:color w:val="auto"/>
          <w:szCs w:val="21"/>
          <w:highlight w:val="none"/>
          <w:u w:val="single"/>
        </w:rPr>
        <w:t>日</w:t>
      </w:r>
      <w:r>
        <w:rPr>
          <w:rFonts w:hint="eastAsia" w:ascii="宋体" w:hAnsi="宋体" w:cs="宋体"/>
          <w:color w:val="auto"/>
          <w:szCs w:val="21"/>
          <w:highlight w:val="none"/>
        </w:rPr>
        <w:t>）</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&lt;1&gt; </w:t>
      </w:r>
      <w:r>
        <w:rPr>
          <w:rFonts w:hint="eastAsia" w:ascii="宋体" w:hAnsi="宋体" w:cs="宋体"/>
          <w:color w:val="auto"/>
          <w:szCs w:val="21"/>
          <w:highlight w:val="none"/>
        </w:rPr>
        <w:t>固定资产：</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&lt;2&gt; </w:t>
      </w:r>
      <w:r>
        <w:rPr>
          <w:rFonts w:hint="eastAsia" w:ascii="宋体" w:hAnsi="宋体" w:cs="宋体"/>
          <w:color w:val="auto"/>
          <w:szCs w:val="21"/>
          <w:highlight w:val="none"/>
        </w:rPr>
        <w:t>流动资金：</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&lt;3&gt; </w:t>
      </w:r>
      <w:r>
        <w:rPr>
          <w:rFonts w:hint="eastAsia" w:ascii="宋体" w:hAnsi="宋体" w:cs="宋体"/>
          <w:color w:val="auto"/>
          <w:szCs w:val="21"/>
          <w:highlight w:val="none"/>
        </w:rPr>
        <w:t>长期负债：</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&lt;4&gt; </w:t>
      </w:r>
      <w:r>
        <w:rPr>
          <w:rFonts w:hint="eastAsia" w:ascii="宋体" w:hAnsi="宋体" w:cs="宋体"/>
          <w:color w:val="auto"/>
          <w:szCs w:val="21"/>
          <w:highlight w:val="none"/>
        </w:rPr>
        <w:t>短期负债：</w:t>
      </w:r>
    </w:p>
    <w:p>
      <w:pPr>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、近三年同类货物和服务的主要销售业绩（无有效联系人、联系方式和合同复印件的视为未填报本项目）：</w:t>
      </w:r>
    </w:p>
    <w:tbl>
      <w:tblPr>
        <w:tblStyle w:val="25"/>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spacing w:line="400" w:lineRule="exact"/>
              <w:jc w:val="center"/>
              <w:rPr>
                <w:rFonts w:ascii="宋体" w:cs="宋体"/>
                <w:color w:val="auto"/>
                <w:szCs w:val="21"/>
                <w:highlight w:val="none"/>
                <w:u w:val="single"/>
              </w:rPr>
            </w:pPr>
            <w:r>
              <w:rPr>
                <w:rFonts w:hint="eastAsia" w:ascii="宋体" w:hAnsi="宋体" w:cs="宋体"/>
                <w:color w:val="auto"/>
                <w:szCs w:val="21"/>
                <w:highlight w:val="none"/>
                <w:u w:val="single"/>
              </w:rPr>
              <w:t>甲方名称、联系人、联系方式</w:t>
            </w:r>
          </w:p>
        </w:tc>
        <w:tc>
          <w:tcPr>
            <w:tcW w:w="4251" w:type="dxa"/>
          </w:tcPr>
          <w:p>
            <w:pPr>
              <w:spacing w:line="400" w:lineRule="exact"/>
              <w:jc w:val="center"/>
              <w:rPr>
                <w:rFonts w:ascii="宋体" w:cs="宋体"/>
                <w:color w:val="auto"/>
                <w:szCs w:val="21"/>
                <w:highlight w:val="none"/>
                <w:u w:val="single"/>
              </w:rPr>
            </w:pPr>
            <w:r>
              <w:rPr>
                <w:rFonts w:hint="eastAsia" w:ascii="宋体" w:hAnsi="宋体" w:cs="宋体"/>
                <w:color w:val="auto"/>
                <w:szCs w:val="21"/>
                <w:highlight w:val="none"/>
                <w:u w:val="single"/>
              </w:rPr>
              <w:t>项</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目</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名</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称</w:t>
            </w:r>
          </w:p>
        </w:tc>
      </w:tr>
      <w:tr>
        <w:tblPrEx>
          <w:tblCellMar>
            <w:top w:w="0" w:type="dxa"/>
            <w:left w:w="108" w:type="dxa"/>
            <w:bottom w:w="0" w:type="dxa"/>
            <w:right w:w="108" w:type="dxa"/>
          </w:tblCellMar>
        </w:tblPrEx>
        <w:tc>
          <w:tcPr>
            <w:tcW w:w="4271" w:type="dxa"/>
          </w:tcPr>
          <w:p>
            <w:pPr>
              <w:spacing w:line="400" w:lineRule="exact"/>
              <w:rPr>
                <w:rFonts w:ascii="宋体" w:cs="宋体"/>
                <w:color w:val="auto"/>
                <w:szCs w:val="21"/>
                <w:highlight w:val="none"/>
              </w:rPr>
            </w:pPr>
          </w:p>
        </w:tc>
        <w:tc>
          <w:tcPr>
            <w:tcW w:w="4251" w:type="dxa"/>
          </w:tcPr>
          <w:p>
            <w:pPr>
              <w:spacing w:line="400" w:lineRule="exact"/>
              <w:rPr>
                <w:rFonts w:ascii="宋体" w:cs="宋体"/>
                <w:color w:val="auto"/>
                <w:szCs w:val="21"/>
                <w:highlight w:val="none"/>
              </w:rPr>
            </w:pPr>
          </w:p>
        </w:tc>
      </w:tr>
      <w:tr>
        <w:tblPrEx>
          <w:tblCellMar>
            <w:top w:w="0" w:type="dxa"/>
            <w:left w:w="108" w:type="dxa"/>
            <w:bottom w:w="0" w:type="dxa"/>
            <w:right w:w="108" w:type="dxa"/>
          </w:tblCellMar>
        </w:tblPrEx>
        <w:tc>
          <w:tcPr>
            <w:tcW w:w="4271" w:type="dxa"/>
          </w:tcPr>
          <w:p>
            <w:pPr>
              <w:spacing w:line="360" w:lineRule="auto"/>
              <w:rPr>
                <w:rFonts w:ascii="宋体" w:cs="宋体"/>
                <w:color w:val="auto"/>
                <w:szCs w:val="21"/>
                <w:highlight w:val="none"/>
              </w:rPr>
            </w:pPr>
          </w:p>
        </w:tc>
        <w:tc>
          <w:tcPr>
            <w:tcW w:w="4251" w:type="dxa"/>
          </w:tcPr>
          <w:p>
            <w:pPr>
              <w:spacing w:line="360" w:lineRule="auto"/>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、近三年的营业额：</w:t>
      </w:r>
      <w:r>
        <w:rPr>
          <w:rFonts w:ascii="宋体" w:hAnsi="宋体" w:cs="宋体"/>
          <w:color w:val="auto"/>
          <w:szCs w:val="21"/>
          <w:highlight w:val="none"/>
        </w:rPr>
        <w:t xml:space="preserve"> </w:t>
      </w:r>
    </w:p>
    <w:tbl>
      <w:tblPr>
        <w:tblStyle w:val="25"/>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份</w:t>
            </w:r>
          </w:p>
        </w:tc>
        <w:tc>
          <w:tcPr>
            <w:tcW w:w="2137"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国</w:t>
            </w:r>
            <w:r>
              <w:rPr>
                <w:rFonts w:ascii="宋体" w:hAnsi="宋体" w:cs="宋体"/>
                <w:color w:val="auto"/>
                <w:szCs w:val="21"/>
                <w:highlight w:val="none"/>
              </w:rPr>
              <w:t xml:space="preserve">    </w:t>
            </w:r>
            <w:r>
              <w:rPr>
                <w:rFonts w:hint="eastAsia" w:ascii="宋体" w:hAnsi="宋体" w:cs="宋体"/>
                <w:color w:val="auto"/>
                <w:szCs w:val="21"/>
                <w:highlight w:val="none"/>
              </w:rPr>
              <w:t>内（万元）</w:t>
            </w:r>
          </w:p>
        </w:tc>
        <w:tc>
          <w:tcPr>
            <w:tcW w:w="2136"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出</w:t>
            </w:r>
            <w:r>
              <w:rPr>
                <w:rFonts w:ascii="宋体" w:hAnsi="宋体" w:cs="宋体"/>
                <w:color w:val="auto"/>
                <w:szCs w:val="21"/>
                <w:highlight w:val="none"/>
              </w:rPr>
              <w:t xml:space="preserve">    </w:t>
            </w:r>
            <w:r>
              <w:rPr>
                <w:rFonts w:hint="eastAsia" w:ascii="宋体" w:hAnsi="宋体" w:cs="宋体"/>
                <w:color w:val="auto"/>
                <w:szCs w:val="21"/>
                <w:highlight w:val="none"/>
              </w:rPr>
              <w:t>口（万元）</w:t>
            </w:r>
          </w:p>
        </w:tc>
        <w:tc>
          <w:tcPr>
            <w:tcW w:w="2137"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额（万元）</w:t>
            </w: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ind w:left="410" w:hanging="41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、本次采购要求的其他资格文件以及供应商认为需要声明的其他情况：</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兹证明上述声明是真实的、正确的，并提供了全部能提供的资料和数据，我们同意遵照贵方要求出示有关证明文件，如有虚假，自愿丧失中标资格，一年内退出扬州政府采购市场。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法定代表人或授权代表签字：</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日期：年月日</w:t>
      </w:r>
      <w:r>
        <w:rPr>
          <w:rFonts w:ascii="宋体" w:hAnsi="宋体" w:cs="宋体"/>
          <w:color w:val="auto"/>
          <w:szCs w:val="21"/>
          <w:highlight w:val="none"/>
        </w:rPr>
        <w:t xml:space="preserve">        </w:t>
      </w:r>
    </w:p>
    <w:p>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（注：资格声明为格式文件</w:t>
      </w:r>
      <w:r>
        <w:rPr>
          <w:rFonts w:ascii="宋体" w:cs="宋体"/>
          <w:b/>
          <w:bCs/>
          <w:color w:val="auto"/>
          <w:szCs w:val="21"/>
          <w:highlight w:val="none"/>
        </w:rPr>
        <w:t>,</w:t>
      </w:r>
      <w:r>
        <w:rPr>
          <w:rFonts w:hint="eastAsia" w:ascii="宋体" w:hAnsi="宋体" w:cs="宋体"/>
          <w:b/>
          <w:bCs/>
          <w:color w:val="auto"/>
          <w:szCs w:val="21"/>
          <w:highlight w:val="none"/>
        </w:rPr>
        <w:t>实质性内容请勿修改，否则将导致投标文件无效）</w:t>
      </w:r>
    </w:p>
    <w:p>
      <w:pPr>
        <w:spacing w:line="460" w:lineRule="exact"/>
        <w:rPr>
          <w:rFonts w:ascii="宋体" w:cs="宋体"/>
          <w:bCs/>
          <w:color w:val="auto"/>
          <w:sz w:val="24"/>
          <w:highlight w:val="none"/>
        </w:rPr>
      </w:pPr>
    </w:p>
    <w:p>
      <w:pPr>
        <w:pStyle w:val="57"/>
        <w:spacing w:line="360" w:lineRule="auto"/>
        <w:ind w:firstLine="422"/>
        <w:jc w:val="center"/>
        <w:rPr>
          <w:rFonts w:ascii="宋体" w:cs="宋体"/>
          <w:b/>
          <w:bCs/>
          <w:color w:val="auto"/>
          <w:sz w:val="21"/>
          <w:szCs w:val="21"/>
          <w:highlight w:val="none"/>
        </w:rPr>
      </w:pPr>
    </w:p>
    <w:p>
      <w:pPr>
        <w:pStyle w:val="57"/>
        <w:spacing w:line="360" w:lineRule="auto"/>
        <w:ind w:firstLine="422"/>
        <w:jc w:val="center"/>
        <w:rPr>
          <w:rFonts w:ascii="宋体" w:cs="宋体"/>
          <w:b/>
          <w:bCs/>
          <w:color w:val="auto"/>
          <w:sz w:val="21"/>
          <w:szCs w:val="21"/>
          <w:highlight w:val="none"/>
        </w:rPr>
      </w:pPr>
    </w:p>
    <w:p>
      <w:pPr>
        <w:pStyle w:val="57"/>
        <w:spacing w:line="360" w:lineRule="auto"/>
        <w:ind w:firstLine="422"/>
        <w:jc w:val="center"/>
        <w:rPr>
          <w:rFonts w:ascii="宋体" w:cs="宋体"/>
          <w:b/>
          <w:color w:val="auto"/>
          <w:sz w:val="21"/>
          <w:szCs w:val="21"/>
          <w:highlight w:val="none"/>
        </w:rPr>
      </w:pPr>
      <w:r>
        <w:rPr>
          <w:rFonts w:hint="eastAsia" w:ascii="宋体" w:hAnsi="宋体" w:cs="宋体"/>
          <w:b/>
          <w:bCs/>
          <w:color w:val="auto"/>
          <w:sz w:val="21"/>
          <w:szCs w:val="21"/>
          <w:highlight w:val="none"/>
        </w:rPr>
        <w:t>法人</w:t>
      </w:r>
      <w:r>
        <w:rPr>
          <w:rFonts w:hint="eastAsia" w:ascii="宋体" w:hAnsi="宋体" w:cs="宋体"/>
          <w:b/>
          <w:color w:val="auto"/>
          <w:sz w:val="21"/>
          <w:szCs w:val="21"/>
          <w:highlight w:val="none"/>
        </w:rPr>
        <w:t>授权书</w:t>
      </w:r>
    </w:p>
    <w:p>
      <w:pPr>
        <w:pStyle w:val="57"/>
        <w:spacing w:line="360" w:lineRule="auto"/>
        <w:ind w:firstLine="422"/>
        <w:jc w:val="center"/>
        <w:rPr>
          <w:rFonts w:ascii="宋体" w:cs="宋体"/>
          <w:b/>
          <w:color w:val="auto"/>
          <w:sz w:val="21"/>
          <w:szCs w:val="21"/>
          <w:highlight w:val="none"/>
        </w:rPr>
      </w:pP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本授权书声明：</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（供应商名称）授权</w:t>
      </w:r>
      <w:r>
        <w:rPr>
          <w:rFonts w:ascii="宋体" w:hAnsi="宋体" w:cs="宋体"/>
          <w:color w:val="auto"/>
          <w:sz w:val="21"/>
          <w:szCs w:val="21"/>
          <w:highlight w:val="none"/>
        </w:rPr>
        <w:t>________________</w:t>
      </w:r>
      <w:r>
        <w:rPr>
          <w:rFonts w:hint="eastAsia" w:ascii="宋体" w:hAnsi="宋体" w:cs="宋体"/>
          <w:color w:val="auto"/>
          <w:sz w:val="21"/>
          <w:szCs w:val="21"/>
          <w:highlight w:val="none"/>
        </w:rPr>
        <w:t>（被授权人的姓名）为我方就</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项目采购活动的合法代理人，以本公司名义全权处理一切与该项目采购有关的事务。</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本授权书于</w:t>
      </w:r>
      <w:r>
        <w:rPr>
          <w:rFonts w:ascii="宋体" w:hAnsi="宋体" w:cs="宋体"/>
          <w:color w:val="auto"/>
          <w:sz w:val="21"/>
          <w:szCs w:val="21"/>
          <w:highlight w:val="none"/>
        </w:rPr>
        <w:t>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日起生效，特此声明。</w:t>
      </w:r>
    </w:p>
    <w:p>
      <w:pPr>
        <w:pStyle w:val="57"/>
        <w:spacing w:line="360" w:lineRule="auto"/>
        <w:ind w:firstLine="0" w:firstLineChars="0"/>
        <w:rPr>
          <w:rFonts w:ascii="宋体" w:cs="宋体"/>
          <w:color w:val="auto"/>
          <w:sz w:val="21"/>
          <w:szCs w:val="21"/>
          <w:highlight w:val="none"/>
        </w:rPr>
      </w:pPr>
    </w:p>
    <w:p>
      <w:pPr>
        <w:pStyle w:val="57"/>
        <w:spacing w:line="360" w:lineRule="auto"/>
        <w:ind w:firstLine="0" w:firstLineChars="0"/>
        <w:rPr>
          <w:rFonts w:ascii="宋体" w:cs="宋体"/>
          <w:color w:val="auto"/>
          <w:sz w:val="21"/>
          <w:szCs w:val="21"/>
          <w:highlight w:val="none"/>
        </w:rPr>
      </w:pP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被授权人签字：</w:t>
      </w:r>
      <w:r>
        <w:rPr>
          <w:rFonts w:ascii="宋体" w:hAnsi="宋体" w:cs="宋体"/>
          <w:color w:val="auto"/>
          <w:sz w:val="21"/>
          <w:szCs w:val="21"/>
          <w:highlight w:val="none"/>
        </w:rPr>
        <w:t>_______________________</w:t>
      </w:r>
    </w:p>
    <w:p>
      <w:pPr>
        <w:pStyle w:val="57"/>
        <w:spacing w:line="360" w:lineRule="auto"/>
        <w:ind w:firstLine="420"/>
        <w:rPr>
          <w:rFonts w:ascii="宋体" w:cs="宋体"/>
          <w:color w:val="auto"/>
          <w:sz w:val="21"/>
          <w:szCs w:val="21"/>
          <w:highlight w:val="none"/>
          <w:u w:val="single"/>
        </w:rPr>
      </w:pPr>
      <w:r>
        <w:rPr>
          <w:rFonts w:hint="eastAsia" w:ascii="宋体" w:hAnsi="宋体" w:cs="宋体"/>
          <w:color w:val="auto"/>
          <w:sz w:val="21"/>
          <w:szCs w:val="21"/>
          <w:highlight w:val="none"/>
        </w:rPr>
        <w:t>联系电话（手机）：</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单位名称：</w:t>
      </w:r>
      <w:r>
        <w:rPr>
          <w:rFonts w:ascii="宋体" w:hAnsi="宋体" w:cs="宋体"/>
          <w:color w:val="auto"/>
          <w:sz w:val="21"/>
          <w:szCs w:val="21"/>
          <w:highlight w:val="none"/>
        </w:rPr>
        <w:t>____________________________________</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授权单位盖章：</w:t>
      </w:r>
      <w:r>
        <w:rPr>
          <w:rFonts w:ascii="宋体" w:hAnsi="宋体" w:cs="宋体"/>
          <w:color w:val="auto"/>
          <w:sz w:val="21"/>
          <w:szCs w:val="21"/>
          <w:highlight w:val="none"/>
        </w:rPr>
        <w:t>_________________________________</w:t>
      </w:r>
    </w:p>
    <w:p>
      <w:pPr>
        <w:pStyle w:val="57"/>
        <w:spacing w:line="360" w:lineRule="auto"/>
        <w:ind w:firstLine="420"/>
        <w:rPr>
          <w:rFonts w:ascii="宋体" w:cs="宋体"/>
          <w:color w:val="auto"/>
          <w:sz w:val="21"/>
          <w:szCs w:val="21"/>
          <w:highlight w:val="none"/>
          <w:u w:val="single"/>
        </w:rPr>
      </w:pPr>
      <w:r>
        <w:rPr>
          <w:rFonts w:hint="eastAsia" w:ascii="宋体" w:hAnsi="宋体" w:cs="宋体"/>
          <w:color w:val="auto"/>
          <w:sz w:val="21"/>
          <w:szCs w:val="21"/>
          <w:highlight w:val="none"/>
        </w:rPr>
        <w:t>地址：</w:t>
      </w:r>
    </w:p>
    <w:p>
      <w:pPr>
        <w:pStyle w:val="57"/>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日期：</w:t>
      </w:r>
    </w:p>
    <w:p>
      <w:pPr>
        <w:spacing w:line="460" w:lineRule="exact"/>
        <w:rPr>
          <w:rFonts w:ascii="宋体" w:cs="宋体"/>
          <w:bCs/>
          <w:color w:val="auto"/>
          <w:szCs w:val="21"/>
          <w:highlight w:val="none"/>
        </w:rPr>
      </w:pPr>
    </w:p>
    <w:p>
      <w:pPr>
        <w:spacing w:line="460" w:lineRule="exact"/>
        <w:rPr>
          <w:rFonts w:ascii="宋体" w:cs="宋体"/>
          <w:bCs/>
          <w:color w:val="auto"/>
          <w:sz w:val="24"/>
          <w:highlight w:val="none"/>
        </w:rPr>
      </w:pPr>
    </w:p>
    <w:p>
      <w:pPr>
        <w:spacing w:line="46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被授权人身份证复印件：</w:t>
      </w:r>
    </w:p>
    <w:p>
      <w:pPr>
        <w:pStyle w:val="57"/>
        <w:spacing w:line="360" w:lineRule="auto"/>
        <w:ind w:firstLine="480"/>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beforeLines="50" w:afterLines="50" w:line="360" w:lineRule="auto"/>
        <w:jc w:val="center"/>
        <w:rPr>
          <w:rFonts w:ascii="宋体" w:cs="宋体"/>
          <w:b/>
          <w:bCs/>
          <w:color w:val="auto"/>
          <w:szCs w:val="21"/>
          <w:highlight w:val="none"/>
        </w:rPr>
      </w:pPr>
    </w:p>
    <w:p>
      <w:pPr>
        <w:spacing w:beforeLines="50" w:afterLines="50" w:line="360" w:lineRule="auto"/>
        <w:jc w:val="center"/>
        <w:rPr>
          <w:rFonts w:ascii="宋体" w:cs="宋体"/>
          <w:b/>
          <w:bCs/>
          <w:color w:val="auto"/>
          <w:highlight w:val="none"/>
        </w:rPr>
      </w:pPr>
      <w:r>
        <w:rPr>
          <w:rFonts w:hint="eastAsia" w:ascii="宋体" w:hAnsi="宋体" w:cs="宋体"/>
          <w:b/>
          <w:bCs/>
          <w:color w:val="auto"/>
          <w:szCs w:val="21"/>
          <w:highlight w:val="none"/>
        </w:rPr>
        <w:t>具备履行合同所必需的设备和专业技术能力的书面声明</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我单位郑重声明：我单位具备履行本项采购合同所必需的设备和专业技术能力，为履行本项采购合同我公司具备如下主要设备和主要专业技术能力：</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主要设备有：</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主要专业技术能力有：</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360" w:lineRule="auto"/>
        <w:ind w:firstLine="3150" w:firstLineChars="1500"/>
        <w:rPr>
          <w:rFonts w:ascii="宋体" w:cs="宋体"/>
          <w:bCs/>
          <w:color w:val="auto"/>
          <w:szCs w:val="21"/>
          <w:highlight w:val="none"/>
          <w:u w:val="single"/>
        </w:rPr>
      </w:pPr>
      <w:r>
        <w:rPr>
          <w:rFonts w:ascii="宋体" w:hAnsi="宋体" w:cs="宋体"/>
          <w:bCs/>
          <w:color w:val="auto"/>
          <w:szCs w:val="21"/>
          <w:highlight w:val="none"/>
        </w:rPr>
        <w:t xml:space="preserve"> </w:t>
      </w:r>
      <w:r>
        <w:rPr>
          <w:rFonts w:hint="eastAsia" w:ascii="宋体" w:hAnsi="宋体" w:cs="宋体"/>
          <w:bCs/>
          <w:color w:val="auto"/>
          <w:szCs w:val="21"/>
          <w:highlight w:val="none"/>
        </w:rPr>
        <w:t>供应商名称（公章）：</w:t>
      </w:r>
      <w:r>
        <w:rPr>
          <w:rFonts w:ascii="宋体" w:hAnsi="宋体" w:cs="宋体"/>
          <w:bCs/>
          <w:color w:val="auto"/>
          <w:szCs w:val="21"/>
          <w:highlight w:val="none"/>
        </w:rPr>
        <w:t xml:space="preserve"> </w:t>
      </w:r>
      <w:r>
        <w:rPr>
          <w:rFonts w:ascii="宋体" w:hAnsi="宋体" w:cs="宋体"/>
          <w:bCs/>
          <w:color w:val="auto"/>
          <w:szCs w:val="21"/>
          <w:highlight w:val="none"/>
          <w:u w:val="single"/>
        </w:rPr>
        <w:t xml:space="preserve">                 </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法定代表人或授权代表签字：</w:t>
      </w:r>
      <w:r>
        <w:rPr>
          <w:rFonts w:ascii="宋体" w:hAnsi="宋体" w:cs="宋体"/>
          <w:bCs/>
          <w:color w:val="auto"/>
          <w:szCs w:val="21"/>
          <w:highlight w:val="none"/>
          <w:u w:val="single"/>
        </w:rPr>
        <w:t xml:space="preserve">           </w:t>
      </w:r>
    </w:p>
    <w:p>
      <w:pPr>
        <w:spacing w:line="460" w:lineRule="exact"/>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日期：</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cs="宋体"/>
          <w:b/>
          <w:color w:val="auto"/>
          <w:sz w:val="21"/>
          <w:szCs w:val="21"/>
          <w:highlight w:val="none"/>
        </w:rPr>
      </w:pPr>
    </w:p>
    <w:p>
      <w:pPr>
        <w:pStyle w:val="57"/>
        <w:spacing w:line="360" w:lineRule="auto"/>
        <w:ind w:firstLine="801" w:firstLineChars="380"/>
        <w:rPr>
          <w:rFonts w:ascii="宋体" w:hAnsi="宋体" w:cs="宋体"/>
          <w:b/>
          <w:color w:val="auto"/>
          <w:sz w:val="21"/>
          <w:szCs w:val="21"/>
          <w:highlight w:val="none"/>
        </w:rPr>
      </w:pPr>
    </w:p>
    <w:p>
      <w:pPr>
        <w:pStyle w:val="57"/>
        <w:spacing w:line="360" w:lineRule="auto"/>
        <w:ind w:firstLine="801" w:firstLineChars="380"/>
        <w:rPr>
          <w:rFonts w:ascii="宋体" w:cs="宋体"/>
          <w:color w:val="auto"/>
          <w:sz w:val="21"/>
          <w:szCs w:val="21"/>
          <w:highlight w:val="none"/>
        </w:rPr>
      </w:pPr>
      <w:r>
        <w:rPr>
          <w:rFonts w:hint="eastAsia" w:ascii="宋体" w:hAnsi="宋体" w:cs="宋体"/>
          <w:b/>
          <w:color w:val="auto"/>
          <w:sz w:val="21"/>
          <w:szCs w:val="21"/>
          <w:highlight w:val="none"/>
        </w:rPr>
        <w:t>参加采购活动前</w:t>
      </w:r>
      <w:r>
        <w:rPr>
          <w:rFonts w:ascii="宋体" w:hAnsi="宋体" w:cs="宋体"/>
          <w:b/>
          <w:color w:val="auto"/>
          <w:sz w:val="21"/>
          <w:szCs w:val="21"/>
          <w:highlight w:val="none"/>
        </w:rPr>
        <w:t xml:space="preserve"> 3 </w:t>
      </w:r>
      <w:r>
        <w:rPr>
          <w:rFonts w:hint="eastAsia" w:ascii="宋体" w:hAnsi="宋体" w:cs="宋体"/>
          <w:b/>
          <w:color w:val="auto"/>
          <w:sz w:val="21"/>
          <w:szCs w:val="21"/>
          <w:highlight w:val="none"/>
        </w:rPr>
        <w:t>年内在经营活动中没有重大违法记录的书面声明</w:t>
      </w:r>
    </w:p>
    <w:p>
      <w:pPr>
        <w:spacing w:line="360" w:lineRule="auto"/>
        <w:rPr>
          <w:rFonts w:ascii="宋体" w:cs="宋体"/>
          <w:b/>
          <w:bCs/>
          <w:color w:val="auto"/>
          <w:szCs w:val="21"/>
          <w:highlight w:val="none"/>
        </w:rPr>
      </w:pPr>
    </w:p>
    <w:p>
      <w:pPr>
        <w:spacing w:line="360" w:lineRule="auto"/>
        <w:rPr>
          <w:rFonts w:ascii="宋体" w:hAnsi="宋体" w:cs="宋体"/>
          <w:b/>
          <w:bCs/>
          <w:color w:val="auto"/>
          <w:szCs w:val="21"/>
          <w:highlight w:val="none"/>
        </w:rPr>
      </w:pPr>
      <w:r>
        <w:rPr>
          <w:rFonts w:ascii="宋体" w:hAnsi="宋体" w:cs="宋体"/>
          <w:b/>
          <w:bCs/>
          <w:color w:val="auto"/>
          <w:szCs w:val="21"/>
          <w:highlight w:val="none"/>
        </w:rPr>
        <w:t xml:space="preserve">                                      </w:t>
      </w:r>
      <w:r>
        <w:rPr>
          <w:rFonts w:hint="eastAsia" w:ascii="宋体" w:hAnsi="宋体" w:cs="宋体"/>
          <w:b/>
          <w:bCs/>
          <w:color w:val="auto"/>
          <w:szCs w:val="21"/>
          <w:highlight w:val="none"/>
        </w:rPr>
        <w:t>声</w:t>
      </w:r>
      <w:r>
        <w:rPr>
          <w:rFonts w:ascii="宋体" w:hAnsi="宋体" w:cs="宋体"/>
          <w:b/>
          <w:bCs/>
          <w:color w:val="auto"/>
          <w:szCs w:val="21"/>
          <w:highlight w:val="none"/>
        </w:rPr>
        <w:t xml:space="preserve">  </w:t>
      </w:r>
      <w:r>
        <w:rPr>
          <w:rFonts w:hint="eastAsia" w:ascii="宋体" w:hAnsi="宋体" w:cs="宋体"/>
          <w:b/>
          <w:bCs/>
          <w:color w:val="auto"/>
          <w:szCs w:val="21"/>
          <w:highlight w:val="none"/>
        </w:rPr>
        <w:t>明</w:t>
      </w:r>
      <w:r>
        <w:rPr>
          <w:rFonts w:ascii="宋体" w:hAnsi="宋体" w:cs="宋体"/>
          <w:b/>
          <w:bCs/>
          <w:color w:val="auto"/>
          <w:szCs w:val="21"/>
          <w:highlight w:val="none"/>
        </w:rPr>
        <w:t xml:space="preserve">   </w:t>
      </w:r>
    </w:p>
    <w:p>
      <w:pPr>
        <w:pStyle w:val="35"/>
        <w:ind w:firstLine="420"/>
        <w:rPr>
          <w:color w:val="auto"/>
          <w:highlight w:val="none"/>
        </w:rPr>
      </w:pPr>
    </w:p>
    <w:p>
      <w:pP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我公司郑重声明：参加本次采购活动前</w:t>
      </w:r>
      <w:r>
        <w:rPr>
          <w:rFonts w:ascii="宋体" w:hAnsi="宋体" w:cs="宋体"/>
          <w:bCs/>
          <w:color w:val="auto"/>
          <w:szCs w:val="21"/>
          <w:highlight w:val="none"/>
        </w:rPr>
        <w:t xml:space="preserve"> 3 </w:t>
      </w:r>
      <w:r>
        <w:rPr>
          <w:rFonts w:hint="eastAsia" w:ascii="宋体" w:hAnsi="宋体" w:cs="宋体"/>
          <w:bCs/>
          <w:color w:val="auto"/>
          <w:szCs w:val="21"/>
          <w:highlight w:val="none"/>
        </w:rPr>
        <w:t>年内，我公司在经营活动中没有因违法经营受到刑事处罚或者责令停产停业、吊销许可证或者执照、较大数额罚款等行政处罚。</w:t>
      </w:r>
    </w:p>
    <w:p>
      <w:pPr>
        <w:spacing w:line="360" w:lineRule="auto"/>
        <w:rPr>
          <w:rFonts w:ascii="宋体" w:cs="宋体"/>
          <w:bCs/>
          <w:color w:val="auto"/>
          <w:szCs w:val="21"/>
          <w:highlight w:val="none"/>
        </w:rPr>
      </w:pPr>
    </w:p>
    <w:p>
      <w:pPr>
        <w:spacing w:line="360" w:lineRule="auto"/>
        <w:rPr>
          <w:rFonts w:ascii="宋体" w:cs="宋体"/>
          <w:bCs/>
          <w:color w:val="auto"/>
          <w:szCs w:val="21"/>
          <w:highlight w:val="none"/>
        </w:rPr>
      </w:pPr>
    </w:p>
    <w:p>
      <w:pPr>
        <w:spacing w:line="360" w:lineRule="auto"/>
        <w:rPr>
          <w:rFonts w:ascii="宋体" w:cs="宋体"/>
          <w:bCs/>
          <w:color w:val="auto"/>
          <w:szCs w:val="21"/>
          <w:highlight w:val="none"/>
        </w:rPr>
      </w:pPr>
    </w:p>
    <w:p>
      <w:pPr>
        <w:spacing w:line="360" w:lineRule="auto"/>
        <w:ind w:firstLine="4410" w:firstLineChars="2100"/>
        <w:rPr>
          <w:rFonts w:ascii="宋体" w:cs="宋体"/>
          <w:bCs/>
          <w:color w:val="auto"/>
          <w:szCs w:val="21"/>
          <w:highlight w:val="none"/>
        </w:rPr>
      </w:pPr>
      <w:r>
        <w:rPr>
          <w:rFonts w:hint="eastAsia" w:ascii="宋体" w:hAnsi="宋体" w:cs="宋体"/>
          <w:bCs/>
          <w:color w:val="auto"/>
          <w:szCs w:val="21"/>
          <w:highlight w:val="none"/>
        </w:rPr>
        <w:t>供应商名称（公章）：</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法定代表人或授权代表签字：</w:t>
      </w:r>
      <w:r>
        <w:rPr>
          <w:rFonts w:ascii="宋体" w:hAnsi="宋体" w:cs="宋体"/>
          <w:bCs/>
          <w:color w:val="auto"/>
          <w:szCs w:val="21"/>
          <w:highlight w:val="none"/>
          <w:u w:val="single"/>
        </w:rPr>
        <w:t>______</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日期：</w:t>
      </w:r>
      <w:r>
        <w:rPr>
          <w:rFonts w:ascii="宋体" w:hAnsi="宋体" w:cs="宋体"/>
          <w:bCs/>
          <w:color w:val="auto"/>
          <w:szCs w:val="21"/>
          <w:highlight w:val="none"/>
          <w:u w:val="single"/>
        </w:rPr>
        <w:t>______</w:t>
      </w:r>
      <w:r>
        <w:rPr>
          <w:rFonts w:hint="eastAsia" w:ascii="宋体" w:hAnsi="宋体" w:cs="宋体"/>
          <w:bCs/>
          <w:color w:val="auto"/>
          <w:szCs w:val="21"/>
          <w:highlight w:val="none"/>
        </w:rPr>
        <w:t>年月日</w:t>
      </w: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pStyle w:val="35"/>
        <w:ind w:firstLine="422"/>
        <w:rPr>
          <w:rFonts w:cs="宋体"/>
          <w:b/>
          <w:bCs/>
          <w:color w:val="auto"/>
          <w:szCs w:val="21"/>
          <w:highlight w:val="none"/>
        </w:rPr>
      </w:pPr>
    </w:p>
    <w:p>
      <w:pPr>
        <w:pStyle w:val="36"/>
        <w:ind w:left="482" w:hanging="482"/>
        <w:rPr>
          <w:rFonts w:ascii="宋体" w:hAnsi="宋体"/>
          <w:b/>
          <w:bCs/>
          <w:color w:val="auto"/>
          <w:szCs w:val="21"/>
          <w:highlight w:val="none"/>
        </w:rPr>
      </w:pPr>
    </w:p>
    <w:p>
      <w:pPr>
        <w:pStyle w:val="37"/>
        <w:rPr>
          <w:rFonts w:ascii="宋体" w:hAnsi="宋体"/>
          <w:b/>
          <w:bCs/>
          <w:color w:val="auto"/>
          <w:szCs w:val="21"/>
          <w:highlight w:val="none"/>
        </w:rPr>
      </w:pPr>
    </w:p>
    <w:p>
      <w:pPr>
        <w:pStyle w:val="38"/>
        <w:rPr>
          <w:rFonts w:ascii="宋体" w:hAnsi="宋体"/>
          <w:b/>
          <w:bCs/>
          <w:color w:val="auto"/>
          <w:szCs w:val="21"/>
          <w:highlight w:val="none"/>
        </w:rPr>
      </w:pPr>
    </w:p>
    <w:p>
      <w:pPr>
        <w:pStyle w:val="39"/>
        <w:ind w:firstLine="482"/>
        <w:rPr>
          <w:rFonts w:ascii="宋体" w:hAnsi="宋体" w:cs="宋体"/>
          <w:b/>
          <w:bCs/>
          <w:color w:val="auto"/>
          <w:szCs w:val="21"/>
          <w:highlight w:val="none"/>
        </w:rPr>
      </w:pPr>
    </w:p>
    <w:p>
      <w:pPr>
        <w:pStyle w:val="40"/>
        <w:spacing w:after="78"/>
        <w:ind w:firstLine="442"/>
        <w:rPr>
          <w:rFonts w:ascii="宋体" w:hAnsi="宋体"/>
          <w:b/>
          <w:bCs/>
          <w:color w:val="auto"/>
          <w:szCs w:val="21"/>
          <w:highlight w:val="none"/>
          <w:lang w:eastAsia="zh-CN"/>
        </w:rPr>
      </w:pPr>
    </w:p>
    <w:p>
      <w:pPr>
        <w:pStyle w:val="41"/>
        <w:rPr>
          <w:rFonts w:ascii="宋体" w:hAnsi="宋体" w:cs="宋体"/>
          <w:b/>
          <w:bCs/>
          <w:color w:val="auto"/>
          <w:szCs w:val="21"/>
          <w:highlight w:val="none"/>
        </w:rPr>
      </w:pPr>
    </w:p>
    <w:p>
      <w:pPr>
        <w:pStyle w:val="20"/>
        <w:rPr>
          <w:rFonts w:ascii="宋体" w:hAnsi="宋体" w:cs="宋体"/>
          <w:b/>
          <w:bCs/>
          <w:color w:val="auto"/>
          <w:szCs w:val="21"/>
          <w:highlight w:val="none"/>
        </w:rPr>
      </w:pPr>
    </w:p>
    <w:p>
      <w:pPr>
        <w:rPr>
          <w:rFonts w:ascii="宋体" w:hAnsi="宋体" w:cs="宋体"/>
          <w:b/>
          <w:bCs/>
          <w:color w:val="auto"/>
          <w:szCs w:val="21"/>
          <w:highlight w:val="none"/>
        </w:rPr>
      </w:pPr>
    </w:p>
    <w:p>
      <w:pPr>
        <w:pStyle w:val="13"/>
        <w:widowControl/>
        <w:spacing w:line="540" w:lineRule="exact"/>
        <w:jc w:val="center"/>
        <w:rPr>
          <w:rFonts w:hAnsi="宋体"/>
          <w:b/>
          <w:color w:val="auto"/>
          <w:sz w:val="21"/>
          <w:szCs w:val="21"/>
          <w:highlight w:val="none"/>
        </w:rPr>
      </w:pPr>
      <w:r>
        <w:rPr>
          <w:rFonts w:hint="eastAsia" w:hAnsi="宋体"/>
          <w:b/>
          <w:color w:val="auto"/>
          <w:sz w:val="21"/>
          <w:szCs w:val="21"/>
          <w:highlight w:val="none"/>
        </w:rPr>
        <w:t>承    诺    书</w:t>
      </w:r>
    </w:p>
    <w:p>
      <w:pPr>
        <w:spacing w:line="540" w:lineRule="exact"/>
        <w:rPr>
          <w:color w:val="auto"/>
          <w:szCs w:val="21"/>
          <w:highlight w:val="none"/>
        </w:rPr>
      </w:pPr>
    </w:p>
    <w:p>
      <w:pPr>
        <w:spacing w:line="540" w:lineRule="exact"/>
        <w:rPr>
          <w:color w:val="auto"/>
          <w:szCs w:val="21"/>
          <w:highlight w:val="none"/>
        </w:rPr>
      </w:pPr>
      <w:r>
        <w:rPr>
          <w:rFonts w:hint="eastAsia"/>
          <w:color w:val="auto"/>
          <w:szCs w:val="21"/>
          <w:highlight w:val="none"/>
        </w:rPr>
        <w:t>致：</w:t>
      </w:r>
      <w:r>
        <w:rPr>
          <w:rFonts w:hint="eastAsia"/>
          <w:color w:val="auto"/>
          <w:szCs w:val="21"/>
          <w:highlight w:val="none"/>
          <w:u w:val="single"/>
        </w:rPr>
        <w:t xml:space="preserve">                                  </w:t>
      </w:r>
      <w:r>
        <w:rPr>
          <w:rFonts w:hint="eastAsia"/>
          <w:color w:val="auto"/>
          <w:szCs w:val="21"/>
          <w:highlight w:val="none"/>
        </w:rPr>
        <w:t>（采购人名称）</w:t>
      </w:r>
    </w:p>
    <w:p>
      <w:pPr>
        <w:spacing w:line="540" w:lineRule="exact"/>
        <w:ind w:firstLine="480"/>
        <w:rPr>
          <w:color w:val="auto"/>
          <w:szCs w:val="21"/>
          <w:highlight w:val="none"/>
        </w:rPr>
      </w:pPr>
      <w:r>
        <w:rPr>
          <w:rFonts w:hint="eastAsia" w:ascii="宋体" w:hAnsi="宋体"/>
          <w:color w:val="auto"/>
          <w:szCs w:val="21"/>
          <w:highlight w:val="none"/>
        </w:rPr>
        <w:t>我公司自愿参加贵单位</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并接受对我公司的资格审查，我公司承诺：根据贵单位（公司）提出的条件标准和要求，本公司没有因骗取中标或者严重违约以及发生重大工程质量、安全生产事故等问题，被有关部门暂停投标资格并在暂停期内，拟任项目总监</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无在手工程或在手工程情况符合扬建工（2014）8号文件的规定。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pPr>
        <w:pStyle w:val="13"/>
        <w:widowControl/>
        <w:spacing w:line="540" w:lineRule="exact"/>
        <w:ind w:left="5040" w:leftChars="2400" w:firstLine="690"/>
        <w:rPr>
          <w:rFonts w:hAnsi="宋体"/>
          <w:color w:val="auto"/>
          <w:sz w:val="21"/>
          <w:szCs w:val="21"/>
          <w:highlight w:val="none"/>
        </w:rPr>
      </w:pPr>
    </w:p>
    <w:p>
      <w:pPr>
        <w:pStyle w:val="13"/>
        <w:widowControl/>
        <w:spacing w:line="540" w:lineRule="exact"/>
        <w:ind w:left="5040" w:leftChars="2400" w:firstLine="690"/>
        <w:rPr>
          <w:rFonts w:hAnsi="宋体"/>
          <w:color w:val="auto"/>
          <w:sz w:val="21"/>
          <w:szCs w:val="21"/>
          <w:highlight w:val="none"/>
        </w:rPr>
      </w:pPr>
    </w:p>
    <w:p>
      <w:pPr>
        <w:pStyle w:val="13"/>
        <w:widowControl/>
        <w:spacing w:line="540" w:lineRule="exact"/>
        <w:ind w:firstLine="4410" w:firstLineChars="2100"/>
        <w:jc w:val="left"/>
        <w:rPr>
          <w:rFonts w:hAnsi="宋体"/>
          <w:color w:val="auto"/>
          <w:sz w:val="21"/>
          <w:szCs w:val="21"/>
          <w:highlight w:val="none"/>
        </w:rPr>
      </w:pPr>
      <w:r>
        <w:rPr>
          <w:rFonts w:hint="eastAsia" w:hAnsi="宋体"/>
          <w:color w:val="auto"/>
          <w:sz w:val="21"/>
          <w:szCs w:val="21"/>
          <w:highlight w:val="none"/>
        </w:rPr>
        <w:t>单位：（公章）</w:t>
      </w:r>
    </w:p>
    <w:p>
      <w:pPr>
        <w:rPr>
          <w:color w:val="auto"/>
          <w:szCs w:val="21"/>
          <w:highlight w:val="none"/>
        </w:rPr>
      </w:pPr>
    </w:p>
    <w:p>
      <w:pPr>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 xml:space="preserve">                                          项目经理签名：</w:t>
      </w:r>
    </w:p>
    <w:p>
      <w:pPr>
        <w:rPr>
          <w:rFonts w:ascii="宋体" w:hAnsi="宋体"/>
          <w:color w:val="auto"/>
          <w:sz w:val="28"/>
          <w:szCs w:val="28"/>
          <w:highlight w:val="none"/>
        </w:rPr>
      </w:pPr>
    </w:p>
    <w:p>
      <w:pPr>
        <w:rPr>
          <w:rFonts w:ascii="宋体" w:hAnsi="宋体"/>
          <w:color w:val="auto"/>
          <w:szCs w:val="21"/>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年      月      日</w:t>
      </w:r>
    </w:p>
    <w:p>
      <w:pPr>
        <w:pStyle w:val="35"/>
        <w:ind w:firstLine="420"/>
        <w:rPr>
          <w:color w:val="auto"/>
          <w:highlight w:val="none"/>
        </w:rPr>
      </w:pPr>
    </w:p>
    <w:p>
      <w:pPr>
        <w:pStyle w:val="41"/>
        <w:rPr>
          <w:rFonts w:ascii="宋体" w:hAnsi="宋体" w:cs="宋体"/>
          <w:b/>
          <w:bCs/>
          <w:color w:val="auto"/>
          <w:szCs w:val="21"/>
          <w:highlight w:val="none"/>
        </w:rPr>
      </w:pPr>
    </w:p>
    <w:p>
      <w:pPr>
        <w:pStyle w:val="20"/>
        <w:rPr>
          <w:color w:val="auto"/>
          <w:highlight w:val="none"/>
        </w:rPr>
      </w:pPr>
    </w:p>
    <w:p>
      <w:pPr>
        <w:rPr>
          <w:color w:val="auto"/>
          <w:highlight w:val="none"/>
        </w:rPr>
      </w:pPr>
    </w:p>
    <w:p>
      <w:pPr>
        <w:pStyle w:val="35"/>
        <w:ind w:firstLine="420"/>
        <w:rPr>
          <w:color w:val="auto"/>
          <w:highlight w:val="none"/>
        </w:rPr>
      </w:pPr>
    </w:p>
    <w:p>
      <w:pPr>
        <w:pStyle w:val="36"/>
        <w:ind w:left="480" w:hanging="480"/>
        <w:rPr>
          <w:color w:val="auto"/>
          <w:highlight w:val="none"/>
        </w:rPr>
      </w:pPr>
    </w:p>
    <w:p>
      <w:pPr>
        <w:pStyle w:val="37"/>
        <w:rPr>
          <w:color w:val="auto"/>
          <w:highlight w:val="none"/>
        </w:rPr>
      </w:pPr>
    </w:p>
    <w:p>
      <w:pPr>
        <w:pStyle w:val="38"/>
        <w:rPr>
          <w:color w:val="auto"/>
          <w:highlight w:val="none"/>
        </w:rPr>
      </w:pPr>
    </w:p>
    <w:p>
      <w:pPr>
        <w:pStyle w:val="39"/>
        <w:rPr>
          <w:color w:val="auto"/>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hAnsi="宋体" w:cs="宋体"/>
          <w:b/>
          <w:bCs/>
          <w:color w:val="auto"/>
          <w:szCs w:val="21"/>
          <w:highlight w:val="none"/>
        </w:rPr>
      </w:pPr>
    </w:p>
    <w:p>
      <w:pPr>
        <w:spacing w:line="500" w:lineRule="exact"/>
        <w:jc w:val="center"/>
        <w:rPr>
          <w:rFonts w:ascii="宋体" w:cs="宋体"/>
          <w:color w:val="auto"/>
          <w:sz w:val="24"/>
          <w:szCs w:val="24"/>
          <w:highlight w:val="none"/>
        </w:rPr>
      </w:pPr>
      <w:r>
        <w:rPr>
          <w:rFonts w:hint="eastAsia" w:ascii="宋体" w:hAnsi="宋体" w:cs="宋体"/>
          <w:b/>
          <w:bCs/>
          <w:color w:val="auto"/>
          <w:szCs w:val="21"/>
          <w:highlight w:val="none"/>
        </w:rPr>
        <w:t>供应商信用承诺书</w:t>
      </w:r>
    </w:p>
    <w:p>
      <w:pPr>
        <w:spacing w:line="500" w:lineRule="exact"/>
        <w:rPr>
          <w:rFonts w:ascii="宋体" w:cs="宋体"/>
          <w:color w:val="auto"/>
          <w:szCs w:val="21"/>
          <w:highlight w:val="none"/>
        </w:rPr>
      </w:pPr>
      <w:r>
        <w:rPr>
          <w:rFonts w:hint="eastAsia" w:ascii="宋体" w:hAnsi="宋体" w:cs="宋体"/>
          <w:color w:val="auto"/>
          <w:szCs w:val="21"/>
          <w:highlight w:val="none"/>
        </w:rPr>
        <w:t>承诺主体名称：</w:t>
      </w:r>
    </w:p>
    <w:p>
      <w:pPr>
        <w:spacing w:line="500" w:lineRule="exact"/>
        <w:rPr>
          <w:rFonts w:ascii="宋体" w:cs="宋体"/>
          <w:color w:val="auto"/>
          <w:szCs w:val="21"/>
          <w:highlight w:val="none"/>
        </w:rPr>
      </w:pPr>
      <w:r>
        <w:rPr>
          <w:rFonts w:hint="eastAsia" w:ascii="宋体" w:hAnsi="宋体" w:cs="宋体"/>
          <w:color w:val="auto"/>
          <w:szCs w:val="21"/>
          <w:highlight w:val="none"/>
        </w:rPr>
        <w:t>统一社会信用代码：</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为维护公平竞争、规范有序的市场秩序，营造诚实守信的信用环境，共同推进社会信用体系建设完善，树立企业诚信守法形象，本企业对</w:t>
      </w:r>
      <w:r>
        <w:rPr>
          <w:rFonts w:ascii="宋体" w:hAnsi="宋体" w:cs="宋体"/>
          <w:color w:val="auto"/>
          <w:szCs w:val="21"/>
          <w:highlight w:val="none"/>
        </w:rPr>
        <w:t>________________________</w:t>
      </w:r>
      <w:r>
        <w:rPr>
          <w:rFonts w:hint="eastAsia" w:ascii="宋体" w:hAnsi="宋体" w:cs="宋体"/>
          <w:color w:val="auto"/>
          <w:szCs w:val="21"/>
          <w:highlight w:val="none"/>
        </w:rPr>
        <w:t>项目采购活动郑重承诺如下</w:t>
      </w:r>
      <w:r>
        <w:rPr>
          <w:rFonts w:ascii="宋体" w:hAnsi="宋体" w:cs="宋体"/>
          <w:color w:val="auto"/>
          <w:szCs w:val="21"/>
          <w:highlight w:val="none"/>
        </w:rPr>
        <w:t>:</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一、对提供给注册登记部门、行业管理部门、司法部门、行业组织以及在采购活动中提交的所有资料的合法性、真实性、准确性和有效性负责；</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二、严格按照国家法律、法规和规章开展采购活动，全面履行应尽的责任和义务，全面做到履约守信，具备《中华人民共和国政府采购法》第二十二条第一款规定的条件</w:t>
      </w:r>
      <w:r>
        <w:rPr>
          <w:rFonts w:ascii="宋体" w:hAnsi="宋体" w:cs="宋体"/>
          <w:color w:val="auto"/>
          <w:szCs w:val="21"/>
          <w:highlight w:val="none"/>
        </w:rPr>
        <w:t>;</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四、自觉接受行政管理部门、行业组织、社会公众、新闻舆论的监督；</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六、提出采购质疑和投诉坚持依法依规、诚实信用原则，在全国范围</w:t>
      </w:r>
      <w:r>
        <w:rPr>
          <w:rFonts w:ascii="宋体" w:hAnsi="宋体" w:cs="宋体"/>
          <w:color w:val="auto"/>
          <w:szCs w:val="21"/>
          <w:highlight w:val="none"/>
        </w:rPr>
        <w:t>12</w:t>
      </w:r>
      <w:r>
        <w:rPr>
          <w:rFonts w:hint="eastAsia" w:ascii="宋体" w:hAnsi="宋体" w:cs="宋体"/>
          <w:color w:val="auto"/>
          <w:szCs w:val="21"/>
          <w:highlight w:val="none"/>
        </w:rPr>
        <w:t>个月内没有三次以上查无实据的采购投诉；</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七、严格遵守信用信息公示相关规定，向社会公示信用信息；</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八、在“信用中国”和“中国政府采购网”网站中无违法违规、较重或严重失信记录；</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十、本承诺书自签订之日起生效。</w:t>
      </w:r>
    </w:p>
    <w:p>
      <w:pPr>
        <w:spacing w:line="500" w:lineRule="exact"/>
        <w:ind w:firstLine="420" w:firstLineChars="200"/>
        <w:rPr>
          <w:rFonts w:ascii="宋体" w:cs="宋体"/>
          <w:color w:val="auto"/>
          <w:szCs w:val="21"/>
          <w:highlight w:val="none"/>
        </w:rPr>
      </w:pPr>
      <w:r>
        <w:rPr>
          <w:rFonts w:ascii="宋体" w:cs="宋体"/>
          <w:color w:val="auto"/>
          <w:szCs w:val="21"/>
          <w:highlight w:val="none"/>
        </w:rPr>
        <w:t> </w:t>
      </w:r>
      <w:r>
        <w:rPr>
          <w:rFonts w:hint="eastAsia" w:ascii="宋体" w:hAnsi="宋体" w:cs="宋体"/>
          <w:color w:val="auto"/>
          <w:szCs w:val="21"/>
          <w:highlight w:val="none"/>
        </w:rPr>
        <w:t>（注：法定代表人或负责人、主体名称发生变更的应当重新做出承诺。）</w:t>
      </w:r>
    </w:p>
    <w:p>
      <w:pPr>
        <w:spacing w:line="560" w:lineRule="exact"/>
        <w:jc w:val="center"/>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p>
    <w:p>
      <w:pPr>
        <w:spacing w:line="560" w:lineRule="exact"/>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承诺单位（签章）：</w:t>
      </w:r>
      <w:r>
        <w:rPr>
          <w:rFonts w:ascii="宋体" w:cs="宋体"/>
          <w:color w:val="auto"/>
          <w:szCs w:val="21"/>
          <w:highlight w:val="none"/>
        </w:rPr>
        <w:t>          </w:t>
      </w:r>
      <w:r>
        <w:rPr>
          <w:rFonts w:ascii="宋体" w:hAnsi="宋体" w:cs="宋体"/>
          <w:color w:val="auto"/>
          <w:szCs w:val="21"/>
          <w:highlight w:val="none"/>
        </w:rPr>
        <w:t xml:space="preserve"> </w:t>
      </w:r>
    </w:p>
    <w:p>
      <w:pPr>
        <w:spacing w:line="560" w:lineRule="exact"/>
        <w:jc w:val="center"/>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法定代表人（负责人）：</w:t>
      </w:r>
    </w:p>
    <w:p>
      <w:pPr>
        <w:spacing w:line="460" w:lineRule="exact"/>
        <w:rPr>
          <w:rFonts w:ascii="宋体" w:cs="宋体"/>
          <w:bCs/>
          <w:color w:val="auto"/>
          <w:sz w:val="24"/>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cs="宋体"/>
          <w:color w:val="auto"/>
          <w:szCs w:val="21"/>
          <w:highlight w:val="none"/>
        </w:rPr>
        <w:t>  </w:t>
      </w:r>
      <w:r>
        <w:rPr>
          <w:rFonts w:hint="eastAsia" w:ascii="宋体" w:hAnsi="宋体" w:cs="宋体"/>
          <w:color w:val="auto"/>
          <w:szCs w:val="21"/>
          <w:highlight w:val="none"/>
        </w:rPr>
        <w:t>月</w:t>
      </w:r>
      <w:r>
        <w:rPr>
          <w:rFonts w:asci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360" w:lineRule="auto"/>
        <w:ind w:firstLine="211" w:firstLineChars="100"/>
        <w:jc w:val="center"/>
        <w:rPr>
          <w:rFonts w:ascii="宋体" w:cs="宋体"/>
          <w:b/>
          <w:color w:val="auto"/>
          <w:szCs w:val="21"/>
          <w:highlight w:val="none"/>
        </w:rPr>
      </w:pPr>
      <w:r>
        <w:rPr>
          <w:rFonts w:hint="eastAsia" w:ascii="宋体" w:hAnsi="宋体" w:cs="宋体"/>
          <w:b/>
          <w:color w:val="auto"/>
          <w:szCs w:val="21"/>
          <w:highlight w:val="none"/>
        </w:rPr>
        <w:t>格式一</w:t>
      </w:r>
      <w:r>
        <w:rPr>
          <w:rFonts w:ascii="宋体" w:hAnsi="宋体" w:cs="宋体"/>
          <w:b/>
          <w:color w:val="auto"/>
          <w:szCs w:val="21"/>
          <w:highlight w:val="none"/>
        </w:rPr>
        <w:t xml:space="preserve"> </w:t>
      </w:r>
      <w:r>
        <w:rPr>
          <w:rFonts w:hint="eastAsia" w:ascii="宋体" w:hAnsi="宋体" w:cs="宋体"/>
          <w:b/>
          <w:color w:val="auto"/>
          <w:szCs w:val="21"/>
          <w:highlight w:val="none"/>
        </w:rPr>
        <w:t>联合体协议</w:t>
      </w:r>
    </w:p>
    <w:p>
      <w:pPr>
        <w:spacing w:line="360" w:lineRule="auto"/>
        <w:ind w:firstLine="211" w:firstLineChars="100"/>
        <w:jc w:val="center"/>
        <w:rPr>
          <w:rFonts w:ascii="宋体" w:cs="宋体"/>
          <w:b/>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（联合体中各供应商全称）在此达成以下协议：</w:t>
      </w:r>
    </w:p>
    <w:p>
      <w:pPr>
        <w:spacing w:line="360" w:lineRule="auto"/>
        <w:ind w:firstLine="645"/>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、我们自愿组成联合体，参加</w:t>
      </w:r>
      <w:r>
        <w:rPr>
          <w:rFonts w:hint="eastAsia" w:ascii="宋体" w:hAnsi="宋体" w:cs="宋体"/>
          <w:color w:val="auto"/>
          <w:szCs w:val="21"/>
          <w:highlight w:val="none"/>
          <w:u w:val="single"/>
        </w:rPr>
        <w:t>江苏汇诚投资咨询管理有限公司</w:t>
      </w:r>
      <w:r>
        <w:rPr>
          <w:rFonts w:hint="eastAsia" w:ascii="宋体" w:hAnsi="宋体" w:cs="宋体"/>
          <w:color w:val="auto"/>
          <w:szCs w:val="21"/>
          <w:highlight w:val="none"/>
        </w:rPr>
        <w:t>组织的采购编号为</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（项目全称）</w:t>
      </w:r>
      <w:r>
        <w:rPr>
          <w:rFonts w:ascii="宋体" w:hAnsi="宋体" w:cs="宋体"/>
          <w:color w:val="auto"/>
          <w:szCs w:val="21"/>
          <w:highlight w:val="none"/>
          <w:u w:val="single"/>
        </w:rPr>
        <w:t xml:space="preserve">                          </w:t>
      </w:r>
      <w:r>
        <w:rPr>
          <w:rFonts w:hint="eastAsia" w:ascii="宋体" w:hAnsi="宋体" w:cs="宋体"/>
          <w:color w:val="auto"/>
          <w:szCs w:val="21"/>
          <w:highlight w:val="none"/>
        </w:rPr>
        <w:t>的政府采购活动。</w:t>
      </w:r>
    </w:p>
    <w:p>
      <w:pPr>
        <w:spacing w:line="360" w:lineRule="auto"/>
        <w:ind w:firstLine="645"/>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、若我们联合中标、成交，（供应商单位</w:t>
      </w:r>
      <w:r>
        <w:rPr>
          <w:rFonts w:ascii="宋体" w:hAnsi="宋体" w:cs="宋体"/>
          <w:color w:val="auto"/>
          <w:szCs w:val="21"/>
          <w:highlight w:val="none"/>
        </w:rPr>
        <w:t>1</w:t>
      </w:r>
      <w:r>
        <w:rPr>
          <w:rFonts w:hint="eastAsia" w:ascii="宋体" w:hAnsi="宋体" w:cs="宋体"/>
          <w:color w:val="auto"/>
          <w:szCs w:val="21"/>
          <w:highlight w:val="none"/>
        </w:rPr>
        <w:t>全称）实施项目中（工作内容）部分工作，并承担相应的责任。（供应商单位</w:t>
      </w:r>
      <w:r>
        <w:rPr>
          <w:rFonts w:ascii="宋体" w:hAnsi="宋体" w:cs="宋体"/>
          <w:color w:val="auto"/>
          <w:szCs w:val="21"/>
          <w:highlight w:val="none"/>
        </w:rPr>
        <w:t>2</w:t>
      </w:r>
      <w:r>
        <w:rPr>
          <w:rFonts w:hint="eastAsia" w:ascii="宋体" w:hAnsi="宋体" w:cs="宋体"/>
          <w:color w:val="auto"/>
          <w:szCs w:val="21"/>
          <w:highlight w:val="none"/>
        </w:rPr>
        <w:t>全称）实施项目中（工作内容）部分工作，并承担相应的责任……。（注：联合体中各供应商都应明示所承担的工作和相应的责任）。</w:t>
      </w:r>
    </w:p>
    <w:p>
      <w:pPr>
        <w:spacing w:line="360" w:lineRule="auto"/>
        <w:ind w:firstLine="645"/>
        <w:rPr>
          <w:rFonts w:ascii="宋体" w:cs="宋体"/>
          <w:color w:val="auto"/>
          <w:sz w:val="24"/>
          <w:highlight w:val="none"/>
        </w:rPr>
      </w:pPr>
      <w:r>
        <w:rPr>
          <w:rFonts w:ascii="宋体" w:hAnsi="宋体" w:cs="宋体"/>
          <w:color w:val="auto"/>
          <w:sz w:val="24"/>
          <w:highlight w:val="none"/>
        </w:rPr>
        <w:t xml:space="preserve">                                   </w:t>
      </w:r>
    </w:p>
    <w:p>
      <w:pPr>
        <w:spacing w:line="360" w:lineRule="auto"/>
        <w:ind w:firstLine="645"/>
        <w:rPr>
          <w:rFonts w:ascii="宋体" w:cs="宋体"/>
          <w:color w:val="auto"/>
          <w:sz w:val="24"/>
          <w:highlight w:val="none"/>
        </w:rPr>
      </w:pPr>
    </w:p>
    <w:p>
      <w:pPr>
        <w:spacing w:line="360" w:lineRule="auto"/>
        <w:ind w:firstLine="645"/>
        <w:rPr>
          <w:rFonts w:ascii="宋体" w:cs="宋体"/>
          <w:color w:val="auto"/>
          <w:szCs w:val="21"/>
          <w:highlight w:val="none"/>
        </w:rPr>
      </w:pPr>
      <w:r>
        <w:rPr>
          <w:rFonts w:ascii="宋体" w:hAnsi="宋体" w:cs="宋体"/>
          <w:color w:val="auto"/>
          <w:sz w:val="24"/>
          <w:highlight w:val="none"/>
        </w:rPr>
        <w:t xml:space="preserve">    </w:t>
      </w:r>
      <w:r>
        <w:rPr>
          <w:rFonts w:ascii="宋体" w:hAnsi="宋体" w:cs="宋体"/>
          <w:color w:val="auto"/>
          <w:szCs w:val="21"/>
          <w:highlight w:val="none"/>
        </w:rPr>
        <w:t xml:space="preserve"> </w:t>
      </w:r>
    </w:p>
    <w:p>
      <w:pPr>
        <w:spacing w:line="360" w:lineRule="auto"/>
        <w:ind w:firstLine="4620" w:firstLineChars="2200"/>
        <w:rPr>
          <w:rFonts w:ascii="宋体" w:cs="宋体"/>
          <w:color w:val="auto"/>
          <w:szCs w:val="21"/>
          <w:highlight w:val="none"/>
        </w:rPr>
      </w:pPr>
      <w:r>
        <w:rPr>
          <w:rFonts w:hint="eastAsia" w:ascii="宋体" w:hAnsi="宋体" w:cs="宋体"/>
          <w:color w:val="auto"/>
          <w:szCs w:val="21"/>
          <w:highlight w:val="none"/>
        </w:rPr>
        <w:t>供应商全称（公章）：</w:t>
      </w:r>
    </w:p>
    <w:p>
      <w:pPr>
        <w:spacing w:line="360" w:lineRule="auto"/>
        <w:ind w:firstLine="645"/>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法定代表人或授权代表（签字）：</w:t>
      </w:r>
      <w:r>
        <w:rPr>
          <w:rFonts w:ascii="宋体" w:hAnsi="宋体" w:cs="宋体"/>
          <w:color w:val="auto"/>
          <w:szCs w:val="21"/>
          <w:highlight w:val="none"/>
        </w:rPr>
        <w:t xml:space="preserve">  </w:t>
      </w:r>
    </w:p>
    <w:p>
      <w:pPr>
        <w:spacing w:line="360" w:lineRule="auto"/>
        <w:ind w:firstLine="4620" w:firstLineChars="2200"/>
        <w:rPr>
          <w:rFonts w:ascii="宋体" w:cs="宋体"/>
          <w:color w:val="auto"/>
          <w:szCs w:val="21"/>
          <w:highlight w:val="none"/>
        </w:rPr>
      </w:pPr>
      <w:r>
        <w:rPr>
          <w:rFonts w:hint="eastAsia" w:ascii="宋体" w:hAnsi="宋体" w:cs="宋体"/>
          <w:color w:val="auto"/>
          <w:szCs w:val="21"/>
          <w:highlight w:val="none"/>
        </w:rPr>
        <w:t>日期：</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）联合体中各供应商均须加盖单位公章，并由法定代表人或授权代表签字。</w:t>
      </w:r>
    </w:p>
    <w:p>
      <w:pPr>
        <w:spacing w:line="460" w:lineRule="exact"/>
        <w:rPr>
          <w:rFonts w:ascii="宋体" w:cs="宋体"/>
          <w:bCs/>
          <w:color w:val="auto"/>
          <w:sz w:val="24"/>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beforeLines="100" w:afterLines="100" w:line="360" w:lineRule="auto"/>
        <w:jc w:val="center"/>
        <w:rPr>
          <w:rFonts w:ascii="宋体" w:cs="宋体"/>
          <w:b/>
          <w:bCs/>
          <w:color w:val="auto"/>
          <w:highlight w:val="none"/>
        </w:rPr>
      </w:pPr>
      <w:r>
        <w:rPr>
          <w:rFonts w:hint="eastAsia" w:ascii="宋体" w:hAnsi="宋体" w:cs="宋体"/>
          <w:b/>
          <w:color w:val="auto"/>
          <w:szCs w:val="21"/>
          <w:highlight w:val="none"/>
        </w:rPr>
        <w:t>格式二</w:t>
      </w:r>
      <w:r>
        <w:rPr>
          <w:rFonts w:ascii="宋体" w:hAnsi="宋体" w:cs="宋体"/>
          <w:b/>
          <w:color w:val="auto"/>
          <w:szCs w:val="21"/>
          <w:highlight w:val="none"/>
        </w:rPr>
        <w:t xml:space="preserve">   </w:t>
      </w:r>
      <w:r>
        <w:rPr>
          <w:rFonts w:hint="eastAsia" w:ascii="宋体" w:hAnsi="宋体" w:cs="宋体"/>
          <w:b/>
          <w:bCs/>
          <w:color w:val="auto"/>
          <w:highlight w:val="none"/>
        </w:rPr>
        <w:t>中小企业声明函（服务）</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本公司（联合体）郑重声明，根据《政府采购促进中小企业发展管理办法》（财库﹝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46 </w:t>
      </w:r>
      <w:r>
        <w:rPr>
          <w:rFonts w:hint="eastAsia" w:ascii="宋体" w:hAnsi="宋体" w:cs="宋体"/>
          <w:color w:val="auto"/>
          <w:highlight w:val="none"/>
        </w:rPr>
        <w:t>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cs="宋体"/>
          <w:color w:val="auto"/>
          <w:highlight w:val="none"/>
          <w:u w:val="single"/>
        </w:rPr>
      </w:pPr>
      <w:r>
        <w:rPr>
          <w:rFonts w:ascii="宋体" w:hAnsi="宋体" w:cs="宋体"/>
          <w:color w:val="auto"/>
          <w:highlight w:val="none"/>
        </w:rPr>
        <w:t xml:space="preserve">1. </w:t>
      </w:r>
      <w:r>
        <w:rPr>
          <w:rFonts w:hint="eastAsia" w:ascii="宋体" w:hAnsi="宋体" w:cs="宋体"/>
          <w:color w:val="auto"/>
          <w:highlight w:val="none"/>
          <w:u w:val="single"/>
        </w:rPr>
        <w:t>（标的名称）</w:t>
      </w:r>
      <w:r>
        <w:rPr>
          <w:rFonts w:ascii="宋体" w:hAnsi="宋体" w:cs="宋体"/>
          <w:color w:val="auto"/>
          <w:highlight w:val="none"/>
          <w:u w:val="single"/>
        </w:rPr>
        <w:t xml:space="preserve">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ascii="宋体" w:hAnsi="宋体" w:cs="宋体"/>
          <w:color w:val="auto"/>
          <w:highlight w:val="none"/>
          <w:u w:val="single"/>
        </w:rPr>
        <w:t xml:space="preserve">    </w:t>
      </w:r>
      <w:r>
        <w:rPr>
          <w:rFonts w:hint="eastAsia" w:ascii="宋体" w:hAnsi="宋体" w:cs="宋体"/>
          <w:color w:val="auto"/>
          <w:highlight w:val="none"/>
        </w:rPr>
        <w:t>人，营业收入为</w:t>
      </w:r>
      <w:r>
        <w:rPr>
          <w:rFonts w:ascii="宋体" w:hAnsi="宋体" w:cs="宋体"/>
          <w:color w:val="auto"/>
          <w:highlight w:val="none"/>
          <w:u w:val="single"/>
        </w:rPr>
        <w:t xml:space="preserve">      </w:t>
      </w:r>
      <w:r>
        <w:rPr>
          <w:rFonts w:hint="eastAsia" w:ascii="宋体" w:hAnsi="宋体" w:cs="宋体"/>
          <w:color w:val="auto"/>
          <w:highlight w:val="none"/>
        </w:rPr>
        <w:t>万元，资产总额为</w:t>
      </w:r>
      <w:r>
        <w:rPr>
          <w:rFonts w:ascii="宋体" w:hAnsi="宋体" w:cs="宋体"/>
          <w:color w:val="auto"/>
          <w:highlight w:val="none"/>
          <w:u w:val="single"/>
        </w:rPr>
        <w:t xml:space="preserve">      </w:t>
      </w:r>
      <w:r>
        <w:rPr>
          <w:rFonts w:hint="eastAsia" w:ascii="宋体" w:hAnsi="宋体" w:cs="宋体"/>
          <w:color w:val="auto"/>
          <w:highlight w:val="none"/>
        </w:rPr>
        <w:t>万元</w:t>
      </w:r>
      <w:r>
        <w:rPr>
          <w:color w:val="auto"/>
          <w:highlight w:val="none"/>
        </w:rPr>
        <w:fldChar w:fldCharType="begin"/>
      </w:r>
      <w:r>
        <w:rPr>
          <w:color w:val="auto"/>
          <w:highlight w:val="none"/>
        </w:rPr>
        <w:instrText xml:space="preserve"> HYPERLINK \l "br1" </w:instrText>
      </w:r>
      <w:r>
        <w:rPr>
          <w:color w:val="auto"/>
          <w:highlight w:val="none"/>
        </w:rPr>
        <w:fldChar w:fldCharType="separate"/>
      </w:r>
      <w:r>
        <w:rPr>
          <w:rFonts w:ascii="宋体" w:hAnsi="宋体" w:cs="宋体"/>
          <w:color w:val="auto"/>
          <w:spacing w:val="-1"/>
          <w:highlight w:val="none"/>
          <w:vertAlign w:val="superscript"/>
        </w:rPr>
        <w:t>1</w:t>
      </w:r>
      <w:r>
        <w:rPr>
          <w:rFonts w:ascii="宋体" w:hAnsi="宋体" w:cs="宋体"/>
          <w:color w:val="auto"/>
          <w:spacing w:val="-1"/>
          <w:highlight w:val="none"/>
          <w:vertAlign w:val="superscript"/>
        </w:rPr>
        <w:fldChar w:fldCharType="end"/>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p>
    <w:p>
      <w:pPr>
        <w:spacing w:line="360" w:lineRule="auto"/>
        <w:ind w:firstLine="420" w:firstLineChars="200"/>
        <w:jc w:val="left"/>
        <w:rPr>
          <w:rFonts w:ascii="宋体" w:cs="宋体"/>
          <w:color w:val="auto"/>
          <w:highlight w:val="none"/>
          <w:u w:val="single"/>
        </w:rPr>
      </w:pPr>
      <w:r>
        <w:rPr>
          <w:rFonts w:ascii="宋体" w:hAnsi="宋体" w:cs="宋体"/>
          <w:color w:val="auto"/>
          <w:highlight w:val="none"/>
        </w:rPr>
        <w:t xml:space="preserve">2. </w:t>
      </w:r>
      <w:r>
        <w:rPr>
          <w:rFonts w:hint="eastAsia" w:ascii="宋体" w:hAnsi="宋体" w:cs="宋体"/>
          <w:color w:val="auto"/>
          <w:highlight w:val="none"/>
          <w:u w:val="single"/>
        </w:rPr>
        <w:t>（标的名称）</w:t>
      </w:r>
      <w:r>
        <w:rPr>
          <w:rFonts w:ascii="宋体" w:hAnsi="宋体" w:cs="宋体"/>
          <w:color w:val="auto"/>
          <w:highlight w:val="none"/>
        </w:rPr>
        <w:t xml:space="preserve">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ascii="宋体" w:hAnsi="宋体" w:cs="宋体"/>
          <w:color w:val="auto"/>
          <w:highlight w:val="none"/>
          <w:u w:val="single"/>
        </w:rPr>
        <w:t xml:space="preserve">     </w:t>
      </w:r>
      <w:r>
        <w:rPr>
          <w:rFonts w:hint="eastAsia" w:ascii="宋体" w:hAnsi="宋体" w:cs="宋体"/>
          <w:color w:val="auto"/>
          <w:highlight w:val="none"/>
        </w:rPr>
        <w:t>人，营业收入为</w:t>
      </w:r>
      <w:r>
        <w:rPr>
          <w:rFonts w:ascii="宋体" w:hAnsi="宋体" w:cs="宋体"/>
          <w:color w:val="auto"/>
          <w:highlight w:val="none"/>
          <w:u w:val="single"/>
        </w:rPr>
        <w:t xml:space="preserve">     </w:t>
      </w:r>
      <w:r>
        <w:rPr>
          <w:rFonts w:hint="eastAsia" w:ascii="宋体" w:hAnsi="宋体" w:cs="宋体"/>
          <w:color w:val="auto"/>
          <w:highlight w:val="none"/>
        </w:rPr>
        <w:t>万元，资产总额为</w:t>
      </w:r>
      <w:r>
        <w:rPr>
          <w:rFonts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pPr>
        <w:spacing w:line="360" w:lineRule="auto"/>
        <w:ind w:firstLine="420" w:firstLineChars="200"/>
        <w:jc w:val="left"/>
        <w:rPr>
          <w:rFonts w:ascii="宋体" w:cs="宋体"/>
          <w:color w:val="auto"/>
          <w:highlight w:val="none"/>
        </w:rPr>
      </w:pPr>
    </w:p>
    <w:p>
      <w:pPr>
        <w:spacing w:line="360"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、中小微企业划型标准网址：</w:t>
      </w:r>
    </w:p>
    <w:p>
      <w:pPr>
        <w:pStyle w:val="10"/>
        <w:numPr>
          <w:ilvl w:val="0"/>
          <w:numId w:val="0"/>
        </w:numPr>
        <w:ind w:left="420"/>
        <w:rPr>
          <w:rFonts w:ascii="宋体" w:cs="宋体"/>
          <w:color w:val="auto"/>
          <w:highlight w:val="none"/>
        </w:rPr>
      </w:pPr>
      <w:r>
        <w:rPr>
          <w:rFonts w:ascii="宋体" w:hAnsi="宋体" w:cs="宋体"/>
          <w:color w:val="auto"/>
          <w:highlight w:val="none"/>
        </w:rPr>
        <w:t>http://www.ccgp-jiangsu.gov.cn/zcfg/gjfg/201608/t20160824_93179.html</w:t>
      </w:r>
      <w:r>
        <w:rPr>
          <w:rFonts w:hint="eastAsia" w:ascii="宋体" w:hAnsi="宋体" w:cs="宋体"/>
          <w:color w:val="auto"/>
          <w:highlight w:val="none"/>
        </w:rPr>
        <w:t>）</w:t>
      </w:r>
    </w:p>
    <w:p>
      <w:pPr>
        <w:spacing w:line="360" w:lineRule="auto"/>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pPr>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、企业声明函请完整填写，中标（成交）后将公示。</w:t>
      </w:r>
    </w:p>
    <w:p>
      <w:pPr>
        <w:spacing w:line="360" w:lineRule="auto"/>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供应商应当对其出具的《中小企业声明函》真实性负责，供应商出具的《中小企业声明函》内容不实的，属于提供虚假材料谋取中标（成交）。对相关制造商信息了解不充分，或者不能确定相关信息真实、准确的，不建议出具《中小企业声明函》。</w:t>
      </w:r>
    </w:p>
    <w:p>
      <w:pPr>
        <w:spacing w:line="360" w:lineRule="auto"/>
        <w:ind w:firstLine="4620" w:firstLineChars="2200"/>
        <w:jc w:val="left"/>
        <w:rPr>
          <w:rFonts w:ascii="宋体" w:cs="宋体"/>
          <w:color w:val="auto"/>
          <w:highlight w:val="none"/>
        </w:rPr>
      </w:pPr>
      <w:r>
        <w:rPr>
          <w:rFonts w:hint="eastAsia" w:ascii="宋体" w:hAnsi="宋体" w:cs="宋体"/>
          <w:color w:val="auto"/>
          <w:highlight w:val="none"/>
        </w:rPr>
        <w:t>企业名称（盖章）：</w:t>
      </w:r>
    </w:p>
    <w:p>
      <w:pPr>
        <w:spacing w:line="360" w:lineRule="auto"/>
        <w:ind w:firstLine="4620" w:firstLineChars="2200"/>
        <w:jc w:val="left"/>
        <w:rPr>
          <w:rFonts w:ascii="宋体" w:cs="宋体"/>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p>
    <w:p>
      <w:pPr>
        <w:pStyle w:val="35"/>
        <w:ind w:firstLine="420"/>
        <w:rPr>
          <w:rFonts w:cs="宋体"/>
          <w:color w:val="auto"/>
          <w:highlight w:val="none"/>
        </w:rPr>
      </w:pPr>
      <w:r>
        <w:rPr>
          <w:rFonts w:cs="宋体"/>
          <w:color w:val="auto"/>
          <w:highlight w:val="none"/>
        </w:rPr>
        <w:t>1</w:t>
      </w:r>
      <w:r>
        <w:rPr>
          <w:rFonts w:hint="eastAsia" w:cs="宋体"/>
          <w:color w:val="auto"/>
          <w:highlight w:val="none"/>
        </w:rPr>
        <w:t>、从业人员、营业收入、资产总额填报上一年度数据，无上一年度数据的新成立企业可不填报。</w:t>
      </w:r>
    </w:p>
    <w:p>
      <w:pPr>
        <w:pStyle w:val="35"/>
        <w:ind w:firstLine="420"/>
        <w:rPr>
          <w:rFonts w:cs="宋体"/>
          <w:color w:val="auto"/>
          <w:highlight w:val="none"/>
        </w:rPr>
      </w:pPr>
    </w:p>
    <w:p>
      <w:pPr>
        <w:spacing w:line="360" w:lineRule="auto"/>
        <w:ind w:firstLine="420" w:firstLineChars="200"/>
        <w:jc w:val="left"/>
        <w:rPr>
          <w:rFonts w:ascii="宋体" w:cs="宋体"/>
          <w:color w:val="auto"/>
          <w:highlight w:val="none"/>
        </w:rPr>
      </w:pPr>
    </w:p>
    <w:p>
      <w:pPr>
        <w:pStyle w:val="35"/>
        <w:ind w:firstLine="420"/>
        <w:rPr>
          <w:rFonts w:cs="宋体"/>
          <w:color w:val="auto"/>
          <w:highlight w:val="none"/>
        </w:rPr>
      </w:pPr>
    </w:p>
    <w:p>
      <w:pPr>
        <w:pStyle w:val="36"/>
        <w:ind w:left="480" w:hanging="480"/>
        <w:rPr>
          <w:color w:val="auto"/>
          <w:highlight w:val="none"/>
        </w:rPr>
      </w:pPr>
    </w:p>
    <w:p>
      <w:pPr>
        <w:spacing w:line="360" w:lineRule="auto"/>
        <w:jc w:val="center"/>
        <w:rPr>
          <w:rFonts w:ascii="宋体" w:cs="宋体"/>
          <w:b/>
          <w:color w:val="auto"/>
          <w:sz w:val="24"/>
          <w:szCs w:val="24"/>
          <w:highlight w:val="none"/>
        </w:rPr>
      </w:pPr>
    </w:p>
    <w:p>
      <w:pPr>
        <w:spacing w:line="360" w:lineRule="auto"/>
        <w:jc w:val="center"/>
        <w:rPr>
          <w:rFonts w:ascii="宋体" w:cs="宋体"/>
          <w:b/>
          <w:bCs/>
          <w:color w:val="auto"/>
          <w:highlight w:val="none"/>
        </w:rPr>
      </w:pPr>
      <w:r>
        <w:rPr>
          <w:rFonts w:hint="eastAsia" w:ascii="宋体" w:hAnsi="宋体" w:cs="宋体"/>
          <w:b/>
          <w:color w:val="auto"/>
          <w:sz w:val="24"/>
          <w:szCs w:val="24"/>
          <w:highlight w:val="none"/>
        </w:rPr>
        <w:t>格式三</w:t>
      </w:r>
      <w:r>
        <w:rPr>
          <w:rFonts w:ascii="宋体" w:hAnsi="宋体" w:cs="宋体"/>
          <w:b/>
          <w:color w:val="auto"/>
          <w:sz w:val="24"/>
          <w:szCs w:val="24"/>
          <w:highlight w:val="none"/>
        </w:rPr>
        <w:t xml:space="preserve">  </w:t>
      </w:r>
      <w:r>
        <w:rPr>
          <w:rFonts w:hint="eastAsia" w:ascii="宋体" w:hAnsi="宋体" w:cs="宋体"/>
          <w:b/>
          <w:bCs/>
          <w:color w:val="auto"/>
          <w:highlight w:val="none"/>
        </w:rPr>
        <w:t>残疾人福利性单位声明函</w:t>
      </w:r>
    </w:p>
    <w:p>
      <w:pPr>
        <w:spacing w:line="588" w:lineRule="exact"/>
        <w:ind w:firstLine="624" w:firstLineChars="200"/>
        <w:rPr>
          <w:rFonts w:ascii="宋体" w:cs="宋体"/>
          <w:color w:val="auto"/>
          <w:spacing w:val="6"/>
          <w:sz w:val="30"/>
          <w:szCs w:val="30"/>
          <w:highlight w:val="none"/>
        </w:rPr>
      </w:pP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本单位郑重声明，根据《财政部</w:t>
      </w:r>
      <w:r>
        <w:rPr>
          <w:rFonts w:ascii="宋体" w:hAnsi="宋体" w:cs="宋体"/>
          <w:color w:val="auto"/>
          <w:szCs w:val="21"/>
          <w:highlight w:val="none"/>
        </w:rPr>
        <w:t xml:space="preserve">  </w:t>
      </w:r>
      <w:r>
        <w:rPr>
          <w:rFonts w:hint="eastAsia" w:ascii="宋体" w:hAnsi="宋体" w:cs="宋体"/>
          <w:color w:val="auto"/>
          <w:szCs w:val="21"/>
          <w:highlight w:val="none"/>
        </w:rPr>
        <w:t>民政部</w:t>
      </w:r>
      <w:r>
        <w:rPr>
          <w:rFonts w:ascii="宋体" w:hAnsi="宋体" w:cs="宋体"/>
          <w:color w:val="auto"/>
          <w:szCs w:val="21"/>
          <w:highlight w:val="none"/>
        </w:rPr>
        <w:t xml:space="preserve">  </w:t>
      </w:r>
      <w:r>
        <w:rPr>
          <w:rFonts w:hint="eastAsia" w:ascii="宋体" w:hAnsi="宋体" w:cs="宋体"/>
          <w:color w:val="auto"/>
          <w:szCs w:val="21"/>
          <w:highlight w:val="none"/>
        </w:rPr>
        <w:t>中国残疾人联合会关于促进残疾人就业政府采购政策的通知》（财库〔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号）的规定，本单位为符合条件的残疾人福利性单位，且本单位参加</w:t>
      </w:r>
      <w:r>
        <w:rPr>
          <w:rFonts w:ascii="宋体" w:hAnsi="宋体" w:cs="宋体"/>
          <w:color w:val="auto"/>
          <w:szCs w:val="21"/>
          <w:highlight w:val="none"/>
        </w:rPr>
        <w:t>______</w:t>
      </w:r>
      <w:r>
        <w:rPr>
          <w:rFonts w:hint="eastAsia" w:ascii="宋体" w:hAnsi="宋体" w:cs="宋体"/>
          <w:color w:val="auto"/>
          <w:szCs w:val="21"/>
          <w:highlight w:val="none"/>
        </w:rPr>
        <w:t>单位的采购文件编号为</w:t>
      </w:r>
      <w:r>
        <w:rPr>
          <w:rFonts w:ascii="宋体" w:hAnsi="宋体" w:cs="宋体"/>
          <w:color w:val="auto"/>
          <w:szCs w:val="21"/>
          <w:highlight w:val="none"/>
        </w:rPr>
        <w:t>______</w:t>
      </w:r>
      <w:r>
        <w:rPr>
          <w:rFonts w:hint="eastAsia" w:ascii="宋体" w:hAnsi="宋体" w:cs="宋体"/>
          <w:color w:val="auto"/>
          <w:szCs w:val="21"/>
          <w:highlight w:val="none"/>
        </w:rPr>
        <w:t>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项目采购活动提供本单位制造的产品或服务（由本单位承担工程</w:t>
      </w:r>
      <w:r>
        <w:rPr>
          <w:rFonts w:ascii="宋体" w:hAnsi="宋体" w:cs="宋体"/>
          <w:color w:val="auto"/>
          <w:szCs w:val="21"/>
          <w:highlight w:val="none"/>
        </w:rPr>
        <w:t>/</w:t>
      </w:r>
      <w:r>
        <w:rPr>
          <w:rFonts w:hint="eastAsia" w:ascii="宋体" w:hAnsi="宋体" w:cs="宋体"/>
          <w:color w:val="auto"/>
          <w:szCs w:val="21"/>
          <w:highlight w:val="none"/>
        </w:rPr>
        <w:t>提供服务），或者提供其他残疾人福利性单位制造的产品或服务（不包括使用非残疾人福利性单位注册商标的产品或服务）。</w:t>
      </w: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本单位在本次政府采购活动中提供的残疾人福利单位产品报价合计为人民币（大写）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圆整（￥：</w:t>
      </w:r>
      <w:r>
        <w:rPr>
          <w:rFonts w:ascii="宋体" w:hAnsi="宋体" w:cs="宋体"/>
          <w:color w:val="auto"/>
          <w:szCs w:val="21"/>
          <w:highlight w:val="none"/>
        </w:rPr>
        <w:t xml:space="preserve">     </w:t>
      </w:r>
      <w:r>
        <w:rPr>
          <w:rFonts w:hint="eastAsia" w:ascii="宋体" w:hAnsi="宋体" w:cs="宋体"/>
          <w:color w:val="auto"/>
          <w:szCs w:val="21"/>
          <w:highlight w:val="none"/>
        </w:rPr>
        <w:t>）。</w:t>
      </w: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588" w:lineRule="exact"/>
        <w:ind w:firstLine="420" w:firstLineChars="200"/>
        <w:rPr>
          <w:rFonts w:ascii="宋体" w:cs="宋体"/>
          <w:color w:val="auto"/>
          <w:szCs w:val="21"/>
          <w:highlight w:val="none"/>
        </w:rPr>
      </w:pP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（备注：</w:t>
      </w:r>
      <w:r>
        <w:rPr>
          <w:rFonts w:ascii="宋体" w:hAnsi="宋体" w:cs="宋体"/>
          <w:color w:val="auto"/>
          <w:szCs w:val="21"/>
          <w:highlight w:val="none"/>
        </w:rPr>
        <w:t>1</w:t>
      </w:r>
      <w:r>
        <w:rPr>
          <w:rFonts w:hint="eastAsia" w:ascii="宋体" w:hAnsi="宋体" w:cs="宋体"/>
          <w:color w:val="auto"/>
          <w:szCs w:val="21"/>
          <w:highlight w:val="none"/>
        </w:rPr>
        <w:t>、供应商如不提供此声明函，价格将不做相应扣除。</w:t>
      </w:r>
      <w:r>
        <w:rPr>
          <w:rFonts w:ascii="宋体" w:hAnsi="宋体" w:cs="宋体"/>
          <w:color w:val="auto"/>
          <w:szCs w:val="21"/>
          <w:highlight w:val="none"/>
        </w:rPr>
        <w:t>2</w:t>
      </w:r>
      <w:r>
        <w:rPr>
          <w:rFonts w:hint="eastAsia" w:ascii="宋体" w:hAnsi="宋体" w:cs="宋体"/>
          <w:color w:val="auto"/>
          <w:szCs w:val="21"/>
          <w:highlight w:val="none"/>
        </w:rPr>
        <w:t>、中标供应商为残疾人福利单位的，此声明函将随中标（成交）结果同时公告，接受社会监督）</w:t>
      </w:r>
    </w:p>
    <w:p>
      <w:pPr>
        <w:spacing w:line="588" w:lineRule="exact"/>
        <w:ind w:firstLine="444" w:firstLineChars="200"/>
        <w:rPr>
          <w:rFonts w:ascii="宋体" w:cs="宋体"/>
          <w:color w:val="auto"/>
          <w:spacing w:val="6"/>
          <w:szCs w:val="21"/>
          <w:highlight w:val="none"/>
        </w:rPr>
      </w:pPr>
    </w:p>
    <w:p>
      <w:pPr>
        <w:tabs>
          <w:tab w:val="left" w:pos="4860"/>
        </w:tabs>
        <w:spacing w:line="588" w:lineRule="exact"/>
        <w:ind w:right="1560" w:firstLine="444" w:firstLineChars="200"/>
        <w:jc w:val="center"/>
        <w:rPr>
          <w:rFonts w:ascii="宋体" w:cs="宋体"/>
          <w:color w:val="auto"/>
          <w:szCs w:val="21"/>
          <w:highlight w:val="none"/>
        </w:rPr>
      </w:pPr>
      <w:r>
        <w:rPr>
          <w:rFonts w:ascii="宋体" w:hAnsi="宋体" w:cs="宋体"/>
          <w:color w:val="auto"/>
          <w:spacing w:val="6"/>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供应商全称（盖章）：</w:t>
      </w:r>
    </w:p>
    <w:p>
      <w:pPr>
        <w:spacing w:afterLines="100"/>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三、磋商响应报价表</w:t>
      </w:r>
    </w:p>
    <w:p>
      <w:pPr>
        <w:spacing w:line="360" w:lineRule="auto"/>
        <w:rPr>
          <w:rFonts w:ascii="宋体" w:cs="宋体"/>
          <w:color w:val="auto"/>
          <w:szCs w:val="21"/>
          <w:highlight w:val="none"/>
        </w:rPr>
      </w:pPr>
    </w:p>
    <w:p>
      <w:pPr>
        <w:pStyle w:val="13"/>
        <w:spacing w:line="360" w:lineRule="auto"/>
        <w:rPr>
          <w:rFonts w:ascii="宋体" w:cs="宋体"/>
          <w:color w:val="auto"/>
          <w:sz w:val="21"/>
          <w:szCs w:val="21"/>
          <w:highlight w:val="none"/>
        </w:rPr>
      </w:pPr>
      <w:r>
        <w:rPr>
          <w:rFonts w:hint="eastAsia" w:ascii="宋体" w:hAnsi="宋体" w:cs="宋体"/>
          <w:color w:val="auto"/>
          <w:sz w:val="21"/>
          <w:szCs w:val="21"/>
          <w:highlight w:val="none"/>
        </w:rPr>
        <w:t>项目名称：</w:t>
      </w:r>
      <w:r>
        <w:rPr>
          <w:rFonts w:ascii="宋体" w:hAnsi="宋体" w:cs="宋体"/>
          <w:color w:val="auto"/>
          <w:sz w:val="21"/>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项目名称</w:t>
            </w:r>
          </w:p>
        </w:tc>
        <w:tc>
          <w:tcPr>
            <w:tcW w:w="701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2623" w:type="dxa"/>
            <w:vAlign w:val="center"/>
          </w:tcPr>
          <w:p>
            <w:pPr>
              <w:spacing w:line="360" w:lineRule="auto"/>
              <w:jc w:val="center"/>
              <w:rPr>
                <w:rFonts w:ascii="宋体" w:cs="宋体"/>
                <w:color w:val="auto"/>
                <w:szCs w:val="21"/>
                <w:highlight w:val="none"/>
              </w:rPr>
            </w:pPr>
          </w:p>
        </w:tc>
        <w:tc>
          <w:tcPr>
            <w:tcW w:w="7016" w:type="dxa"/>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大写：</w:t>
            </w:r>
          </w:p>
          <w:p>
            <w:pPr>
              <w:spacing w:line="360" w:lineRule="auto"/>
              <w:rPr>
                <w:rFonts w:ascii="宋体" w:cs="宋体"/>
                <w:color w:val="auto"/>
                <w:szCs w:val="21"/>
                <w:highlight w:val="none"/>
              </w:rPr>
            </w:pPr>
            <w:r>
              <w:rPr>
                <w:rFonts w:hint="eastAsia" w:ascii="宋体" w:hAnsi="宋体" w:cs="宋体"/>
                <w:color w:val="auto"/>
                <w:szCs w:val="21"/>
                <w:highlight w:val="none"/>
              </w:rPr>
              <w:t>小写：</w:t>
            </w:r>
            <w:r>
              <w:rPr>
                <w:rFonts w:ascii="宋体" w:hAnsi="宋体" w:cs="宋体"/>
                <w:color w:val="auto"/>
                <w:szCs w:val="21"/>
                <w:highlight w:val="none"/>
              </w:rPr>
              <w:t xml:space="preserve">                   </w:t>
            </w:r>
            <w:r>
              <w:rPr>
                <w:rFonts w:hint="eastAsia" w:ascii="宋体" w:hAnsi="宋体" w:cs="宋体"/>
                <w:color w:val="auto"/>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623" w:type="dxa"/>
            <w:vAlign w:val="center"/>
          </w:tcPr>
          <w:p>
            <w:pPr>
              <w:pStyle w:val="9"/>
              <w:adjustRightInd w:val="0"/>
              <w:snapToGrid w:val="0"/>
              <w:spacing w:line="300" w:lineRule="auto"/>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rPr>
              <w:t>是否中</w:t>
            </w:r>
            <w:r>
              <w:rPr>
                <w:rFonts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rPr>
              <w:t>小</w:t>
            </w:r>
            <w:r>
              <w:rPr>
                <w:rFonts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rPr>
              <w:t>微企业</w:t>
            </w:r>
          </w:p>
        </w:tc>
        <w:tc>
          <w:tcPr>
            <w:tcW w:w="7016" w:type="dxa"/>
            <w:vAlign w:val="center"/>
          </w:tcPr>
          <w:p>
            <w:pPr>
              <w:pStyle w:val="59"/>
              <w:spacing w:before="0" w:after="0" w:line="500" w:lineRule="exact"/>
              <w:ind w:firstLine="630" w:firstLineChars="300"/>
              <w:rPr>
                <w:rFonts w:ascii="宋体" w:cs="宋体"/>
                <w:color w:val="auto"/>
                <w:szCs w:val="21"/>
                <w:highlight w:val="none"/>
              </w:rPr>
            </w:pPr>
            <w:r>
              <w:rPr>
                <w:rFonts w:hint="eastAsia" w:ascii="宋体" w:hAnsi="宋体" w:cs="宋体"/>
                <w:color w:val="auto"/>
                <w:kern w:val="2"/>
                <w:sz w:val="21"/>
                <w:szCs w:val="21"/>
                <w:highlight w:val="none"/>
              </w:rPr>
              <w:t>□中型企业</w:t>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□小型企业</w:t>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□微型企业</w:t>
            </w:r>
            <w:r>
              <w:rPr>
                <w:rFonts w:ascii="宋体" w:hAnsi="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服务期</w:t>
            </w:r>
          </w:p>
        </w:tc>
        <w:tc>
          <w:tcPr>
            <w:tcW w:w="7016" w:type="dxa"/>
            <w:vAlign w:val="center"/>
          </w:tcPr>
          <w:p>
            <w:pPr>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备注</w:t>
            </w:r>
          </w:p>
        </w:tc>
        <w:tc>
          <w:tcPr>
            <w:tcW w:w="7016" w:type="dxa"/>
            <w:vAlign w:val="center"/>
          </w:tcPr>
          <w:p>
            <w:pPr>
              <w:spacing w:line="360" w:lineRule="auto"/>
              <w:jc w:val="center"/>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b/>
          <w:color w:val="auto"/>
          <w:szCs w:val="21"/>
          <w:highlight w:val="none"/>
        </w:rPr>
      </w:pPr>
      <w:r>
        <w:rPr>
          <w:rFonts w:hint="eastAsia" w:ascii="宋体" w:hAnsi="宋体" w:cs="宋体"/>
          <w:b/>
          <w:color w:val="auto"/>
          <w:szCs w:val="21"/>
          <w:highlight w:val="none"/>
        </w:rPr>
        <w:t>价格构成或报价要求：</w:t>
      </w:r>
    </w:p>
    <w:p>
      <w:pPr>
        <w:spacing w:line="360" w:lineRule="auto"/>
        <w:jc w:val="left"/>
        <w:rPr>
          <w:rFonts w:ascii="宋体" w:cs="宋体"/>
          <w:b/>
          <w:color w:val="auto"/>
          <w:szCs w:val="21"/>
          <w:highlight w:val="none"/>
        </w:rPr>
      </w:pPr>
      <w:r>
        <w:rPr>
          <w:rFonts w:ascii="宋体" w:hAnsi="宋体" w:cs="宋体"/>
          <w:i/>
          <w:color w:val="auto"/>
          <w:szCs w:val="21"/>
          <w:highlight w:val="none"/>
        </w:rPr>
        <w:t>1</w:t>
      </w:r>
      <w:r>
        <w:rPr>
          <w:rFonts w:hint="eastAsia" w:ascii="宋体" w:hAnsi="宋体" w:cs="宋体"/>
          <w:i/>
          <w:color w:val="auto"/>
          <w:szCs w:val="21"/>
          <w:highlight w:val="none"/>
        </w:rPr>
        <w:t>、</w:t>
      </w:r>
      <w:r>
        <w:rPr>
          <w:rFonts w:hint="eastAsia" w:ascii="宋体" w:hAnsi="宋体" w:cs="宋体"/>
          <w:bCs/>
          <w:i/>
          <w:iCs/>
          <w:color w:val="auto"/>
          <w:szCs w:val="21"/>
          <w:highlight w:val="none"/>
          <w:u w:val="single"/>
        </w:rPr>
        <w:t>磋商响应报价表</w:t>
      </w:r>
      <w:r>
        <w:rPr>
          <w:rFonts w:hint="eastAsia" w:ascii="宋体" w:hAnsi="宋体" w:cs="宋体"/>
          <w:i/>
          <w:color w:val="auto"/>
          <w:szCs w:val="21"/>
          <w:highlight w:val="none"/>
          <w:u w:val="single"/>
        </w:rPr>
        <w:t>必须单独密封在信封中，在投标截止时间前与投标文件分别递交。</w:t>
      </w:r>
    </w:p>
    <w:p>
      <w:pPr>
        <w:spacing w:line="360" w:lineRule="auto"/>
        <w:jc w:val="left"/>
        <w:rPr>
          <w:rFonts w:ascii="宋体" w:cs="宋体"/>
          <w:i/>
          <w:color w:val="auto"/>
          <w:szCs w:val="21"/>
          <w:highlight w:val="none"/>
        </w:rPr>
      </w:pPr>
      <w:r>
        <w:rPr>
          <w:rFonts w:ascii="宋体" w:hAnsi="宋体" w:cs="宋体"/>
          <w:i/>
          <w:color w:val="auto"/>
          <w:szCs w:val="21"/>
          <w:highlight w:val="none"/>
        </w:rPr>
        <w:t>2</w:t>
      </w:r>
      <w:r>
        <w:rPr>
          <w:rFonts w:hint="eastAsia" w:ascii="宋体" w:hAnsi="宋体" w:cs="宋体"/>
          <w:i/>
          <w:color w:val="auto"/>
          <w:szCs w:val="21"/>
          <w:highlight w:val="none"/>
        </w:rPr>
        <w:t>、</w:t>
      </w:r>
      <w:r>
        <w:rPr>
          <w:rFonts w:hint="eastAsia" w:ascii="宋体" w:hAnsi="宋体" w:cs="宋体"/>
          <w:bCs/>
          <w:i/>
          <w:iCs/>
          <w:color w:val="auto"/>
          <w:szCs w:val="21"/>
          <w:highlight w:val="none"/>
          <w:u w:val="single"/>
        </w:rPr>
        <w:t>磋商响应报价表必须加盖投标人公章（复印件无效）</w:t>
      </w:r>
      <w:r>
        <w:rPr>
          <w:rFonts w:hint="eastAsia" w:ascii="宋体" w:hAnsi="宋体" w:cs="宋体"/>
          <w:i/>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、此表可以根据需要自行增减行数，且该表报价非本次磋商中的最后报价。</w:t>
      </w:r>
    </w:p>
    <w:p>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、项目如有分包，请各磋商供应商按投报的分包分别列表。</w:t>
      </w:r>
    </w:p>
    <w:p>
      <w:pPr>
        <w:spacing w:line="460" w:lineRule="exact"/>
        <w:rPr>
          <w:rFonts w:ascii="宋体" w:cs="宋体"/>
          <w:bCs/>
          <w:color w:val="auto"/>
          <w:sz w:val="24"/>
          <w:highlight w:val="none"/>
        </w:rPr>
      </w:pPr>
    </w:p>
    <w:p>
      <w:pPr>
        <w:spacing w:afterLines="100" w:line="360" w:lineRule="auto"/>
        <w:jc w:val="center"/>
        <w:rPr>
          <w:rFonts w:ascii="宋体" w:cs="宋体"/>
          <w:b/>
          <w:color w:val="auto"/>
          <w:szCs w:val="21"/>
          <w:highlight w:val="none"/>
        </w:rPr>
      </w:pPr>
      <w:r>
        <w:rPr>
          <w:rFonts w:ascii="宋体" w:cs="宋体"/>
          <w:b/>
          <w:color w:val="auto"/>
          <w:sz w:val="32"/>
          <w:szCs w:val="32"/>
          <w:highlight w:val="none"/>
        </w:rPr>
        <w:br w:type="page"/>
      </w:r>
      <w:r>
        <w:rPr>
          <w:rFonts w:hint="eastAsia" w:ascii="宋体" w:hAnsi="宋体" w:cs="宋体"/>
          <w:b/>
          <w:color w:val="auto"/>
          <w:szCs w:val="21"/>
          <w:highlight w:val="none"/>
        </w:rPr>
        <w:t>四、项目需求响应及偏离表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75"/>
        <w:gridCol w:w="2085"/>
        <w:gridCol w:w="1443"/>
        <w:gridCol w:w="128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序号</w:t>
            </w:r>
          </w:p>
        </w:tc>
        <w:tc>
          <w:tcPr>
            <w:tcW w:w="2011" w:type="dxa"/>
            <w:vAlign w:val="center"/>
          </w:tcPr>
          <w:p>
            <w:pPr>
              <w:adjustRightInd w:val="0"/>
              <w:snapToGrid w:val="0"/>
              <w:spacing w:after="200" w:line="220" w:lineRule="atLeas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项目名称</w:t>
            </w:r>
          </w:p>
        </w:tc>
        <w:tc>
          <w:tcPr>
            <w:tcW w:w="1843" w:type="dxa"/>
            <w:vAlign w:val="center"/>
          </w:tcPr>
          <w:p>
            <w:pPr>
              <w:adjustRightInd w:val="0"/>
              <w:snapToGrid w:val="0"/>
              <w:spacing w:after="200" w:line="220" w:lineRule="atLeast"/>
              <w:ind w:firstLine="315" w:firstLineChars="150"/>
              <w:rPr>
                <w:rFonts w:ascii="宋体" w:cs="宋体"/>
                <w:color w:val="auto"/>
                <w:szCs w:val="21"/>
                <w:highlight w:val="none"/>
              </w:rPr>
            </w:pPr>
            <w:r>
              <w:rPr>
                <w:rFonts w:hint="eastAsia" w:ascii="宋体" w:hAnsi="宋体" w:cs="宋体"/>
                <w:color w:val="auto"/>
                <w:szCs w:val="21"/>
                <w:highlight w:val="none"/>
              </w:rPr>
              <w:t>磋商要求</w:t>
            </w:r>
          </w:p>
        </w:tc>
        <w:tc>
          <w:tcPr>
            <w:tcW w:w="1276" w:type="dxa"/>
            <w:vAlign w:val="center"/>
          </w:tcPr>
          <w:p>
            <w:pPr>
              <w:adjustRightInd w:val="0"/>
              <w:snapToGrid w:val="0"/>
              <w:spacing w:after="200" w:line="220" w:lineRule="atLeast"/>
              <w:rPr>
                <w:rFonts w:ascii="宋体" w:cs="宋体"/>
                <w:color w:val="auto"/>
                <w:szCs w:val="21"/>
                <w:highlight w:val="none"/>
              </w:rPr>
            </w:pPr>
            <w:r>
              <w:rPr>
                <w:rFonts w:hint="eastAsia" w:ascii="宋体" w:hAnsi="宋体" w:cs="宋体"/>
                <w:color w:val="auto"/>
                <w:szCs w:val="21"/>
                <w:highlight w:val="none"/>
              </w:rPr>
              <w:t>投标响应</w:t>
            </w:r>
          </w:p>
        </w:tc>
        <w:tc>
          <w:tcPr>
            <w:tcW w:w="1134"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超出、符合或偏离</w:t>
            </w:r>
          </w:p>
        </w:tc>
        <w:tc>
          <w:tcPr>
            <w:tcW w:w="1326"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bl>
    <w:p>
      <w:pPr>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rPr>
          <w:rFonts w:ascii="宋体" w:cs="宋体"/>
          <w:color w:val="auto"/>
          <w:kern w:val="0"/>
          <w:szCs w:val="21"/>
          <w:highlight w:val="none"/>
        </w:rPr>
      </w:pPr>
    </w:p>
    <w:p>
      <w:pPr>
        <w:rPr>
          <w:rFonts w:ascii="宋体" w:cs="宋体"/>
          <w:color w:val="auto"/>
          <w:szCs w:val="21"/>
          <w:highlight w:val="none"/>
        </w:rPr>
      </w:pPr>
    </w:p>
    <w:p>
      <w:pPr>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、按照项目需求详细填列。</w:t>
      </w:r>
    </w:p>
    <w:p>
      <w:pPr>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、行数不够，可自行添加。</w:t>
      </w:r>
    </w:p>
    <w:p>
      <w:pPr>
        <w:spacing w:afterLines="100" w:line="360" w:lineRule="auto"/>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r>
        <w:rPr>
          <w:rFonts w:hint="eastAsia" w:ascii="宋体" w:hAnsi="宋体" w:cs="宋体"/>
          <w:b/>
          <w:color w:val="auto"/>
          <w:szCs w:val="21"/>
          <w:highlight w:val="none"/>
        </w:rPr>
        <w:t>五、商务条款响应及偏离表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25"/>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2085"/>
        <w:gridCol w:w="3046"/>
        <w:gridCol w:w="1123"/>
        <w:gridCol w:w="2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序号</w:t>
            </w: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项目</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磋商要求</w:t>
            </w: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是否响应</w:t>
            </w: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服务要求</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交付时间</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交付方式</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Cs w:val="21"/>
                <w:highlight w:val="none"/>
              </w:rPr>
            </w:pPr>
          </w:p>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交付地点</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Cs w:val="21"/>
                <w:highlight w:val="none"/>
              </w:rPr>
            </w:pPr>
          </w:p>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付款方式</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投标货币</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 w:val="24"/>
                <w:szCs w:val="20"/>
                <w:highlight w:val="none"/>
              </w:rPr>
            </w:pPr>
          </w:p>
          <w:p>
            <w:pPr>
              <w:adjustRightInd w:val="0"/>
              <w:snapToGrid w:val="0"/>
              <w:spacing w:beforeLines="50" w:after="200" w:line="220" w:lineRule="atLeast"/>
              <w:rPr>
                <w:rFonts w:ascii="宋体" w:cs="宋体"/>
                <w:color w:val="auto"/>
                <w:sz w:val="24"/>
                <w:szCs w:val="20"/>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其他</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r>
        <w:rPr>
          <w:rFonts w:hint="eastAsia" w:ascii="宋体" w:hAnsi="宋体" w:cs="宋体"/>
          <w:b/>
          <w:color w:val="auto"/>
          <w:szCs w:val="21"/>
          <w:highlight w:val="none"/>
        </w:rPr>
        <w:t>六、项目技术方案</w:t>
      </w:r>
    </w:p>
    <w:p>
      <w:pPr>
        <w:jc w:val="left"/>
        <w:rPr>
          <w:rFonts w:ascii="宋体" w:cs="宋体"/>
          <w:b/>
          <w:color w:val="auto"/>
          <w:szCs w:val="21"/>
          <w:highlight w:val="none"/>
        </w:rPr>
      </w:pPr>
    </w:p>
    <w:p>
      <w:pPr>
        <w:spacing w:line="360" w:lineRule="auto"/>
        <w:ind w:firstLine="420" w:firstLineChars="200"/>
        <w:jc w:val="center"/>
        <w:rPr>
          <w:rFonts w:ascii="宋体" w:cs="宋体"/>
          <w:color w:val="auto"/>
          <w:szCs w:val="21"/>
          <w:highlight w:val="none"/>
        </w:rPr>
      </w:pPr>
      <w:r>
        <w:rPr>
          <w:rFonts w:hint="eastAsia" w:ascii="宋体" w:hAnsi="宋体" w:cs="宋体"/>
          <w:color w:val="auto"/>
          <w:szCs w:val="21"/>
          <w:highlight w:val="none"/>
        </w:rPr>
        <w:t>根据评分标准自行编制</w:t>
      </w:r>
    </w:p>
    <w:p>
      <w:pPr>
        <w:ind w:firstLine="420" w:firstLineChars="200"/>
        <w:jc w:val="center"/>
        <w:rPr>
          <w:rFonts w:ascii="宋体" w:cs="宋体"/>
          <w:color w:val="auto"/>
          <w:szCs w:val="21"/>
          <w:highlight w:val="none"/>
        </w:rPr>
      </w:pPr>
    </w:p>
    <w:p>
      <w:pPr>
        <w:ind w:firstLine="420" w:firstLineChars="200"/>
        <w:jc w:val="center"/>
        <w:rPr>
          <w:rFonts w:ascii="宋体" w:cs="宋体"/>
          <w:color w:val="auto"/>
          <w:szCs w:val="21"/>
          <w:highlight w:val="none"/>
        </w:rPr>
      </w:pPr>
    </w:p>
    <w:p>
      <w:pPr>
        <w:ind w:firstLine="420" w:firstLineChars="200"/>
        <w:rPr>
          <w:rFonts w:ascii="宋体" w:cs="宋体"/>
          <w:color w:val="auto"/>
          <w:szCs w:val="21"/>
          <w:highlight w:val="none"/>
        </w:rPr>
      </w:pPr>
    </w:p>
    <w:p>
      <w:pPr>
        <w:ind w:firstLine="420" w:firstLineChars="200"/>
        <w:jc w:val="center"/>
        <w:rPr>
          <w:rFonts w:ascii="宋体" w:cs="宋体"/>
          <w:color w:val="auto"/>
          <w:szCs w:val="21"/>
          <w:highlight w:val="none"/>
        </w:rPr>
      </w:pPr>
    </w:p>
    <w:p>
      <w:pPr>
        <w:ind w:firstLine="422" w:firstLineChars="200"/>
        <w:jc w:val="center"/>
        <w:rPr>
          <w:rFonts w:ascii="宋体" w:cs="宋体"/>
          <w:b/>
          <w:color w:val="auto"/>
          <w:highlight w:val="none"/>
        </w:rPr>
      </w:pPr>
      <w:r>
        <w:rPr>
          <w:rFonts w:hint="eastAsia" w:ascii="宋体" w:hAnsi="宋体" w:cs="宋体"/>
          <w:b/>
          <w:color w:val="auto"/>
          <w:highlight w:val="none"/>
        </w:rPr>
        <w:t>七、项目组成员表</w:t>
      </w:r>
    </w:p>
    <w:p>
      <w:pPr>
        <w:ind w:firstLine="420" w:firstLineChars="200"/>
        <w:jc w:val="left"/>
        <w:rPr>
          <w:rFonts w:ascii="宋体" w:cs="宋体"/>
          <w:color w:val="auto"/>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pStyle w:val="13"/>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项目编号：</w:t>
      </w:r>
      <w:r>
        <w:rPr>
          <w:rFonts w:ascii="宋体" w:hAnsi="宋体" w:cs="宋体"/>
          <w:color w:val="auto"/>
          <w:sz w:val="21"/>
          <w:szCs w:val="21"/>
          <w:highlight w:val="none"/>
        </w:rPr>
        <w:t xml:space="preserve"> </w:t>
      </w:r>
    </w:p>
    <w:tbl>
      <w:tblPr>
        <w:tblStyle w:val="25"/>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799"/>
        <w:gridCol w:w="799"/>
        <w:gridCol w:w="720"/>
        <w:gridCol w:w="1782"/>
        <w:gridCol w:w="1438"/>
        <w:gridCol w:w="799"/>
        <w:gridCol w:w="798"/>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拟任岗位</w:t>
            </w:r>
          </w:p>
        </w:tc>
        <w:tc>
          <w:tcPr>
            <w:tcW w:w="799"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99"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782" w:type="dxa"/>
            <w:vMerge w:val="restart"/>
            <w:vAlign w:val="center"/>
          </w:tcPr>
          <w:p>
            <w:pPr>
              <w:rPr>
                <w:rFonts w:ascii="宋体" w:hAnsi="宋体" w:cs="宋体"/>
                <w:color w:val="auto"/>
                <w:szCs w:val="21"/>
                <w:highlight w:val="none"/>
              </w:rPr>
            </w:pPr>
            <w:r>
              <w:rPr>
                <w:rFonts w:hint="eastAsia" w:ascii="宋体" w:hAnsi="宋体" w:cs="宋体"/>
                <w:color w:val="auto"/>
                <w:spacing w:val="-11"/>
                <w:szCs w:val="21"/>
                <w:highlight w:val="none"/>
              </w:rPr>
              <w:t>从事监理工作年限</w:t>
            </w:r>
          </w:p>
        </w:tc>
        <w:tc>
          <w:tcPr>
            <w:tcW w:w="383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5" w:type="dxa"/>
            <w:vMerge w:val="continue"/>
            <w:vAlign w:val="center"/>
          </w:tcPr>
          <w:p>
            <w:pPr>
              <w:jc w:val="center"/>
              <w:rPr>
                <w:rFonts w:ascii="宋体" w:hAnsi="宋体" w:cs="宋体"/>
                <w:color w:val="auto"/>
                <w:szCs w:val="21"/>
                <w:highlight w:val="none"/>
              </w:rPr>
            </w:pPr>
          </w:p>
        </w:tc>
        <w:tc>
          <w:tcPr>
            <w:tcW w:w="799" w:type="dxa"/>
            <w:vMerge w:val="continue"/>
            <w:vAlign w:val="center"/>
          </w:tcPr>
          <w:p>
            <w:pPr>
              <w:jc w:val="center"/>
              <w:rPr>
                <w:rFonts w:ascii="宋体" w:hAnsi="宋体" w:cs="宋体"/>
                <w:color w:val="auto"/>
                <w:szCs w:val="21"/>
                <w:highlight w:val="none"/>
              </w:rPr>
            </w:pPr>
          </w:p>
        </w:tc>
        <w:tc>
          <w:tcPr>
            <w:tcW w:w="799" w:type="dxa"/>
            <w:vMerge w:val="continue"/>
            <w:vAlign w:val="center"/>
          </w:tcPr>
          <w:p>
            <w:pPr>
              <w:jc w:val="center"/>
              <w:rPr>
                <w:rFonts w:ascii="宋体" w:hAnsi="宋体" w:cs="宋体"/>
                <w:color w:val="auto"/>
                <w:szCs w:val="21"/>
                <w:highlight w:val="none"/>
              </w:rPr>
            </w:pPr>
          </w:p>
        </w:tc>
        <w:tc>
          <w:tcPr>
            <w:tcW w:w="720" w:type="dxa"/>
            <w:vMerge w:val="continue"/>
            <w:vAlign w:val="center"/>
          </w:tcPr>
          <w:p>
            <w:pPr>
              <w:jc w:val="center"/>
              <w:rPr>
                <w:rFonts w:ascii="宋体" w:hAnsi="宋体" w:cs="宋体"/>
                <w:color w:val="auto"/>
                <w:szCs w:val="21"/>
                <w:highlight w:val="none"/>
              </w:rPr>
            </w:pPr>
          </w:p>
        </w:tc>
        <w:tc>
          <w:tcPr>
            <w:tcW w:w="1782" w:type="dxa"/>
            <w:vMerge w:val="continue"/>
            <w:vAlign w:val="center"/>
          </w:tcPr>
          <w:p>
            <w:pPr>
              <w:jc w:val="center"/>
              <w:rPr>
                <w:rFonts w:ascii="宋体" w:hAnsi="宋体" w:cs="宋体"/>
                <w:color w:val="auto"/>
                <w:szCs w:val="21"/>
                <w:highlight w:val="none"/>
              </w:rPr>
            </w:pPr>
          </w:p>
        </w:tc>
        <w:tc>
          <w:tcPr>
            <w:tcW w:w="14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7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7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7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w:t>
            </w:r>
          </w:p>
        </w:tc>
        <w:tc>
          <w:tcPr>
            <w:tcW w:w="799" w:type="dxa"/>
            <w:vAlign w:val="center"/>
          </w:tcPr>
          <w:p>
            <w:pPr>
              <w:jc w:val="center"/>
              <w:rPr>
                <w:rFonts w:ascii="宋体" w:hAnsi="宋体" w:cs="宋体"/>
                <w:color w:val="auto"/>
                <w:szCs w:val="21"/>
                <w:highlight w:val="none"/>
              </w:rPr>
            </w:pPr>
          </w:p>
        </w:tc>
        <w:tc>
          <w:tcPr>
            <w:tcW w:w="799" w:type="dxa"/>
            <w:vAlign w:val="center"/>
          </w:tcPr>
          <w:p>
            <w:pPr>
              <w:jc w:val="center"/>
              <w:rPr>
                <w:rFonts w:ascii="宋体" w:hAnsi="宋体" w:cs="宋体"/>
                <w:color w:val="auto"/>
                <w:szCs w:val="21"/>
                <w:highlight w:val="none"/>
              </w:rPr>
            </w:pPr>
          </w:p>
        </w:tc>
        <w:tc>
          <w:tcPr>
            <w:tcW w:w="720" w:type="dxa"/>
            <w:vAlign w:val="center"/>
          </w:tcPr>
          <w:p>
            <w:pPr>
              <w:jc w:val="center"/>
              <w:rPr>
                <w:rFonts w:ascii="宋体" w:hAnsi="宋体" w:cs="宋体"/>
                <w:color w:val="auto"/>
                <w:szCs w:val="21"/>
                <w:highlight w:val="none"/>
              </w:rPr>
            </w:pPr>
          </w:p>
        </w:tc>
        <w:tc>
          <w:tcPr>
            <w:tcW w:w="1782" w:type="dxa"/>
            <w:vAlign w:val="center"/>
          </w:tcPr>
          <w:p>
            <w:pPr>
              <w:jc w:val="center"/>
              <w:rPr>
                <w:rFonts w:ascii="宋体" w:hAnsi="宋体" w:cs="宋体"/>
                <w:color w:val="auto"/>
                <w:szCs w:val="21"/>
                <w:highlight w:val="none"/>
              </w:rPr>
            </w:pPr>
          </w:p>
        </w:tc>
        <w:tc>
          <w:tcPr>
            <w:tcW w:w="1438" w:type="dxa"/>
            <w:vAlign w:val="center"/>
          </w:tcPr>
          <w:p>
            <w:pPr>
              <w:jc w:val="center"/>
              <w:rPr>
                <w:rFonts w:ascii="宋体" w:hAnsi="宋体" w:cs="宋体"/>
                <w:color w:val="auto"/>
                <w:szCs w:val="21"/>
                <w:highlight w:val="none"/>
              </w:rPr>
            </w:pPr>
          </w:p>
        </w:tc>
        <w:tc>
          <w:tcPr>
            <w:tcW w:w="799" w:type="dxa"/>
            <w:vAlign w:val="center"/>
          </w:tcPr>
          <w:p>
            <w:pPr>
              <w:jc w:val="center"/>
              <w:rPr>
                <w:rFonts w:ascii="宋体" w:hAnsi="宋体" w:cs="宋体"/>
                <w:color w:val="auto"/>
                <w:szCs w:val="21"/>
                <w:highlight w:val="none"/>
              </w:rPr>
            </w:pPr>
          </w:p>
        </w:tc>
        <w:tc>
          <w:tcPr>
            <w:tcW w:w="798" w:type="dxa"/>
            <w:vAlign w:val="center"/>
          </w:tcPr>
          <w:p>
            <w:pPr>
              <w:jc w:val="center"/>
              <w:rPr>
                <w:rFonts w:ascii="宋体" w:hAnsi="宋体" w:cs="宋体"/>
                <w:color w:val="auto"/>
                <w:szCs w:val="21"/>
                <w:highlight w:val="none"/>
              </w:rPr>
            </w:pPr>
          </w:p>
        </w:tc>
        <w:tc>
          <w:tcPr>
            <w:tcW w:w="799" w:type="dxa"/>
            <w:vAlign w:val="center"/>
          </w:tcPr>
          <w:p>
            <w:pPr>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专业监理工程师</w:t>
            </w:r>
          </w:p>
        </w:tc>
        <w:tc>
          <w:tcPr>
            <w:tcW w:w="799" w:type="dxa"/>
            <w:tcBorders>
              <w:bottom w:val="single" w:color="auto" w:sz="4" w:space="0"/>
            </w:tcBorders>
            <w:vAlign w:val="center"/>
          </w:tcPr>
          <w:p>
            <w:pPr>
              <w:jc w:val="center"/>
              <w:rPr>
                <w:rFonts w:ascii="宋体" w:hAnsi="宋体" w:cs="宋体"/>
                <w:color w:val="auto"/>
                <w:szCs w:val="21"/>
                <w:highlight w:val="none"/>
              </w:rPr>
            </w:pPr>
          </w:p>
        </w:tc>
        <w:tc>
          <w:tcPr>
            <w:tcW w:w="799" w:type="dxa"/>
            <w:tcBorders>
              <w:bottom w:val="single" w:color="auto" w:sz="4" w:space="0"/>
            </w:tcBorders>
            <w:vAlign w:val="center"/>
          </w:tcPr>
          <w:p>
            <w:pPr>
              <w:jc w:val="center"/>
              <w:rPr>
                <w:rFonts w:ascii="宋体" w:hAnsi="宋体" w:cs="宋体"/>
                <w:color w:val="auto"/>
                <w:szCs w:val="21"/>
                <w:highlight w:val="none"/>
              </w:rPr>
            </w:pPr>
          </w:p>
        </w:tc>
        <w:tc>
          <w:tcPr>
            <w:tcW w:w="720" w:type="dxa"/>
            <w:tcBorders>
              <w:bottom w:val="single" w:color="auto" w:sz="4" w:space="0"/>
            </w:tcBorders>
            <w:vAlign w:val="center"/>
          </w:tcPr>
          <w:p>
            <w:pPr>
              <w:jc w:val="center"/>
              <w:rPr>
                <w:rFonts w:ascii="宋体" w:hAnsi="宋体" w:cs="宋体"/>
                <w:color w:val="auto"/>
                <w:szCs w:val="21"/>
                <w:highlight w:val="none"/>
              </w:rPr>
            </w:pPr>
          </w:p>
        </w:tc>
        <w:tc>
          <w:tcPr>
            <w:tcW w:w="1782" w:type="dxa"/>
            <w:tcBorders>
              <w:bottom w:val="single" w:color="auto" w:sz="4" w:space="0"/>
            </w:tcBorders>
            <w:vAlign w:val="center"/>
          </w:tcPr>
          <w:p>
            <w:pPr>
              <w:jc w:val="center"/>
              <w:rPr>
                <w:rFonts w:ascii="宋体" w:hAnsi="宋体" w:cs="宋体"/>
                <w:color w:val="auto"/>
                <w:szCs w:val="21"/>
                <w:highlight w:val="none"/>
              </w:rPr>
            </w:pPr>
          </w:p>
        </w:tc>
        <w:tc>
          <w:tcPr>
            <w:tcW w:w="1438" w:type="dxa"/>
            <w:tcBorders>
              <w:bottom w:val="single" w:color="auto" w:sz="4" w:space="0"/>
            </w:tcBorders>
            <w:vAlign w:val="center"/>
          </w:tcPr>
          <w:p>
            <w:pPr>
              <w:jc w:val="center"/>
              <w:rPr>
                <w:rFonts w:ascii="宋体" w:hAnsi="宋体" w:cs="宋体"/>
                <w:color w:val="auto"/>
                <w:szCs w:val="21"/>
                <w:highlight w:val="none"/>
              </w:rPr>
            </w:pPr>
          </w:p>
        </w:tc>
        <w:tc>
          <w:tcPr>
            <w:tcW w:w="799" w:type="dxa"/>
            <w:tcBorders>
              <w:bottom w:val="single" w:color="auto" w:sz="4" w:space="0"/>
            </w:tcBorders>
            <w:vAlign w:val="center"/>
          </w:tcPr>
          <w:p>
            <w:pPr>
              <w:jc w:val="center"/>
              <w:rPr>
                <w:rFonts w:ascii="宋体" w:hAnsi="宋体" w:cs="宋体"/>
                <w:color w:val="auto"/>
                <w:szCs w:val="21"/>
                <w:highlight w:val="none"/>
              </w:rPr>
            </w:pPr>
          </w:p>
        </w:tc>
        <w:tc>
          <w:tcPr>
            <w:tcW w:w="798" w:type="dxa"/>
            <w:tcBorders>
              <w:bottom w:val="single" w:color="auto" w:sz="4" w:space="0"/>
            </w:tcBorders>
            <w:vAlign w:val="center"/>
          </w:tcPr>
          <w:p>
            <w:pPr>
              <w:jc w:val="center"/>
              <w:rPr>
                <w:rFonts w:ascii="宋体" w:hAnsi="宋体" w:cs="宋体"/>
                <w:color w:val="auto"/>
                <w:szCs w:val="21"/>
                <w:highlight w:val="none"/>
              </w:rPr>
            </w:pPr>
          </w:p>
        </w:tc>
        <w:tc>
          <w:tcPr>
            <w:tcW w:w="799" w:type="dxa"/>
            <w:tcBorders>
              <w:bottom w:val="single" w:color="auto" w:sz="4" w:space="0"/>
            </w:tcBorders>
            <w:vAlign w:val="center"/>
          </w:tcPr>
          <w:p>
            <w:pPr>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continue"/>
            <w:vAlign w:val="center"/>
          </w:tcPr>
          <w:p>
            <w:pPr>
              <w:jc w:val="center"/>
              <w:rPr>
                <w:rFonts w:ascii="宋体" w:hAnsi="宋体" w:cs="宋体"/>
                <w:color w:val="auto"/>
                <w:szCs w:val="21"/>
                <w:highlight w:val="none"/>
              </w:rPr>
            </w:pPr>
          </w:p>
        </w:tc>
        <w:tc>
          <w:tcPr>
            <w:tcW w:w="799" w:type="dxa"/>
            <w:tcBorders>
              <w:top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99" w:type="dxa"/>
            <w:tcBorders>
              <w:top w:val="single" w:color="auto" w:sz="4" w:space="0"/>
            </w:tcBorders>
            <w:vAlign w:val="center"/>
          </w:tcPr>
          <w:p>
            <w:pPr>
              <w:jc w:val="center"/>
              <w:rPr>
                <w:rFonts w:ascii="宋体" w:hAnsi="宋体" w:cs="宋体"/>
                <w:color w:val="auto"/>
                <w:szCs w:val="21"/>
                <w:highlight w:val="none"/>
              </w:rPr>
            </w:pPr>
          </w:p>
        </w:tc>
        <w:tc>
          <w:tcPr>
            <w:tcW w:w="720" w:type="dxa"/>
            <w:tcBorders>
              <w:top w:val="single" w:color="auto" w:sz="4" w:space="0"/>
            </w:tcBorders>
            <w:vAlign w:val="center"/>
          </w:tcPr>
          <w:p>
            <w:pPr>
              <w:jc w:val="center"/>
              <w:rPr>
                <w:rFonts w:ascii="宋体" w:hAnsi="宋体" w:cs="宋体"/>
                <w:color w:val="auto"/>
                <w:szCs w:val="21"/>
                <w:highlight w:val="none"/>
              </w:rPr>
            </w:pPr>
          </w:p>
        </w:tc>
        <w:tc>
          <w:tcPr>
            <w:tcW w:w="1782" w:type="dxa"/>
            <w:tcBorders>
              <w:top w:val="single" w:color="auto" w:sz="4" w:space="0"/>
            </w:tcBorders>
            <w:vAlign w:val="center"/>
          </w:tcPr>
          <w:p>
            <w:pPr>
              <w:jc w:val="center"/>
              <w:rPr>
                <w:rFonts w:ascii="宋体" w:hAnsi="宋体" w:cs="宋体"/>
                <w:color w:val="auto"/>
                <w:szCs w:val="21"/>
                <w:highlight w:val="none"/>
              </w:rPr>
            </w:pPr>
          </w:p>
        </w:tc>
        <w:tc>
          <w:tcPr>
            <w:tcW w:w="1438" w:type="dxa"/>
            <w:tcBorders>
              <w:top w:val="single" w:color="auto" w:sz="4" w:space="0"/>
            </w:tcBorders>
            <w:vAlign w:val="center"/>
          </w:tcPr>
          <w:p>
            <w:pPr>
              <w:jc w:val="center"/>
              <w:rPr>
                <w:rFonts w:ascii="宋体" w:hAnsi="宋体" w:cs="宋体"/>
                <w:color w:val="auto"/>
                <w:szCs w:val="21"/>
                <w:highlight w:val="none"/>
              </w:rPr>
            </w:pPr>
          </w:p>
        </w:tc>
        <w:tc>
          <w:tcPr>
            <w:tcW w:w="799" w:type="dxa"/>
            <w:tcBorders>
              <w:top w:val="single" w:color="auto" w:sz="4" w:space="0"/>
            </w:tcBorders>
            <w:vAlign w:val="center"/>
          </w:tcPr>
          <w:p>
            <w:pPr>
              <w:jc w:val="center"/>
              <w:rPr>
                <w:rFonts w:ascii="宋体" w:hAnsi="宋体" w:cs="宋体"/>
                <w:color w:val="auto"/>
                <w:szCs w:val="21"/>
                <w:highlight w:val="none"/>
              </w:rPr>
            </w:pPr>
          </w:p>
        </w:tc>
        <w:tc>
          <w:tcPr>
            <w:tcW w:w="798" w:type="dxa"/>
            <w:tcBorders>
              <w:top w:val="single" w:color="auto" w:sz="4" w:space="0"/>
            </w:tcBorders>
            <w:vAlign w:val="center"/>
          </w:tcPr>
          <w:p>
            <w:pPr>
              <w:jc w:val="center"/>
              <w:rPr>
                <w:rFonts w:ascii="宋体" w:hAnsi="宋体" w:cs="宋体"/>
                <w:color w:val="auto"/>
                <w:szCs w:val="21"/>
                <w:highlight w:val="none"/>
              </w:rPr>
            </w:pPr>
          </w:p>
        </w:tc>
        <w:tc>
          <w:tcPr>
            <w:tcW w:w="799" w:type="dxa"/>
            <w:tcBorders>
              <w:top w:val="single" w:color="auto" w:sz="4" w:space="0"/>
            </w:tcBorders>
            <w:vAlign w:val="center"/>
          </w:tcPr>
          <w:p>
            <w:pPr>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监理员</w:t>
            </w:r>
          </w:p>
        </w:tc>
        <w:tc>
          <w:tcPr>
            <w:tcW w:w="799" w:type="dxa"/>
            <w:tcBorders>
              <w:bottom w:val="single" w:color="auto" w:sz="4" w:space="0"/>
            </w:tcBorders>
            <w:vAlign w:val="center"/>
          </w:tcPr>
          <w:p>
            <w:pPr>
              <w:jc w:val="center"/>
              <w:rPr>
                <w:rFonts w:ascii="宋体" w:hAnsi="宋体" w:cs="宋体"/>
                <w:color w:val="auto"/>
                <w:szCs w:val="21"/>
                <w:highlight w:val="none"/>
              </w:rPr>
            </w:pPr>
          </w:p>
        </w:tc>
        <w:tc>
          <w:tcPr>
            <w:tcW w:w="799" w:type="dxa"/>
            <w:tcBorders>
              <w:bottom w:val="single" w:color="auto" w:sz="4" w:space="0"/>
            </w:tcBorders>
            <w:vAlign w:val="center"/>
          </w:tcPr>
          <w:p>
            <w:pPr>
              <w:jc w:val="center"/>
              <w:rPr>
                <w:rFonts w:ascii="宋体" w:hAnsi="宋体" w:cs="宋体"/>
                <w:color w:val="auto"/>
                <w:szCs w:val="21"/>
                <w:highlight w:val="none"/>
              </w:rPr>
            </w:pPr>
          </w:p>
        </w:tc>
        <w:tc>
          <w:tcPr>
            <w:tcW w:w="720" w:type="dxa"/>
            <w:tcBorders>
              <w:bottom w:val="single" w:color="auto" w:sz="4" w:space="0"/>
            </w:tcBorders>
            <w:vAlign w:val="center"/>
          </w:tcPr>
          <w:p>
            <w:pPr>
              <w:jc w:val="center"/>
              <w:rPr>
                <w:rFonts w:ascii="宋体" w:hAnsi="宋体" w:cs="宋体"/>
                <w:color w:val="auto"/>
                <w:szCs w:val="21"/>
                <w:highlight w:val="none"/>
              </w:rPr>
            </w:pPr>
          </w:p>
        </w:tc>
        <w:tc>
          <w:tcPr>
            <w:tcW w:w="1782" w:type="dxa"/>
            <w:tcBorders>
              <w:bottom w:val="single" w:color="auto" w:sz="4" w:space="0"/>
            </w:tcBorders>
            <w:vAlign w:val="center"/>
          </w:tcPr>
          <w:p>
            <w:pPr>
              <w:jc w:val="center"/>
              <w:rPr>
                <w:rFonts w:ascii="宋体" w:hAnsi="宋体" w:cs="宋体"/>
                <w:color w:val="auto"/>
                <w:szCs w:val="21"/>
                <w:highlight w:val="none"/>
              </w:rPr>
            </w:pPr>
          </w:p>
        </w:tc>
        <w:tc>
          <w:tcPr>
            <w:tcW w:w="1438" w:type="dxa"/>
            <w:tcBorders>
              <w:bottom w:val="single" w:color="auto" w:sz="4" w:space="0"/>
            </w:tcBorders>
            <w:vAlign w:val="center"/>
          </w:tcPr>
          <w:p>
            <w:pPr>
              <w:jc w:val="center"/>
              <w:rPr>
                <w:rFonts w:ascii="宋体" w:hAnsi="宋体" w:cs="宋体"/>
                <w:color w:val="auto"/>
                <w:szCs w:val="21"/>
                <w:highlight w:val="none"/>
              </w:rPr>
            </w:pPr>
          </w:p>
        </w:tc>
        <w:tc>
          <w:tcPr>
            <w:tcW w:w="799" w:type="dxa"/>
            <w:tcBorders>
              <w:bottom w:val="single" w:color="auto" w:sz="4" w:space="0"/>
            </w:tcBorders>
            <w:vAlign w:val="center"/>
          </w:tcPr>
          <w:p>
            <w:pPr>
              <w:jc w:val="center"/>
              <w:rPr>
                <w:rFonts w:ascii="宋体" w:hAnsi="宋体" w:cs="宋体"/>
                <w:color w:val="auto"/>
                <w:szCs w:val="21"/>
                <w:highlight w:val="none"/>
              </w:rPr>
            </w:pPr>
          </w:p>
        </w:tc>
        <w:tc>
          <w:tcPr>
            <w:tcW w:w="798" w:type="dxa"/>
            <w:tcBorders>
              <w:bottom w:val="single" w:color="auto" w:sz="4" w:space="0"/>
            </w:tcBorders>
            <w:vAlign w:val="center"/>
          </w:tcPr>
          <w:p>
            <w:pPr>
              <w:jc w:val="center"/>
              <w:rPr>
                <w:rFonts w:ascii="宋体" w:hAnsi="宋体" w:cs="宋体"/>
                <w:color w:val="auto"/>
                <w:szCs w:val="21"/>
                <w:highlight w:val="none"/>
              </w:rPr>
            </w:pPr>
          </w:p>
        </w:tc>
        <w:tc>
          <w:tcPr>
            <w:tcW w:w="799" w:type="dxa"/>
            <w:tcBorders>
              <w:bottom w:val="single" w:color="auto" w:sz="4" w:space="0"/>
            </w:tcBorders>
            <w:vAlign w:val="center"/>
          </w:tcPr>
          <w:p>
            <w:pPr>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continue"/>
            <w:vAlign w:val="center"/>
          </w:tcPr>
          <w:p>
            <w:pPr>
              <w:jc w:val="center"/>
              <w:rPr>
                <w:rFonts w:ascii="宋体" w:hAnsi="宋体" w:cs="宋体"/>
                <w:color w:val="auto"/>
                <w:szCs w:val="21"/>
                <w:highlight w:val="none"/>
              </w:rPr>
            </w:pPr>
          </w:p>
        </w:tc>
        <w:tc>
          <w:tcPr>
            <w:tcW w:w="799" w:type="dxa"/>
            <w:tcBorders>
              <w:top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99" w:type="dxa"/>
            <w:tcBorders>
              <w:top w:val="single" w:color="auto" w:sz="4" w:space="0"/>
            </w:tcBorders>
            <w:vAlign w:val="center"/>
          </w:tcPr>
          <w:p>
            <w:pPr>
              <w:jc w:val="center"/>
              <w:rPr>
                <w:rFonts w:ascii="宋体" w:hAnsi="宋体" w:cs="宋体"/>
                <w:color w:val="auto"/>
                <w:szCs w:val="21"/>
                <w:highlight w:val="none"/>
              </w:rPr>
            </w:pPr>
          </w:p>
        </w:tc>
        <w:tc>
          <w:tcPr>
            <w:tcW w:w="720" w:type="dxa"/>
            <w:tcBorders>
              <w:top w:val="single" w:color="auto" w:sz="4" w:space="0"/>
            </w:tcBorders>
            <w:vAlign w:val="center"/>
          </w:tcPr>
          <w:p>
            <w:pPr>
              <w:jc w:val="center"/>
              <w:rPr>
                <w:rFonts w:ascii="宋体" w:hAnsi="宋体" w:cs="宋体"/>
                <w:color w:val="auto"/>
                <w:szCs w:val="21"/>
                <w:highlight w:val="none"/>
              </w:rPr>
            </w:pPr>
          </w:p>
        </w:tc>
        <w:tc>
          <w:tcPr>
            <w:tcW w:w="1782" w:type="dxa"/>
            <w:tcBorders>
              <w:top w:val="single" w:color="auto" w:sz="4" w:space="0"/>
            </w:tcBorders>
            <w:vAlign w:val="center"/>
          </w:tcPr>
          <w:p>
            <w:pPr>
              <w:jc w:val="center"/>
              <w:rPr>
                <w:rFonts w:ascii="宋体" w:hAnsi="宋体" w:cs="宋体"/>
                <w:color w:val="auto"/>
                <w:szCs w:val="21"/>
                <w:highlight w:val="none"/>
              </w:rPr>
            </w:pPr>
          </w:p>
        </w:tc>
        <w:tc>
          <w:tcPr>
            <w:tcW w:w="1438" w:type="dxa"/>
            <w:tcBorders>
              <w:top w:val="single" w:color="auto" w:sz="4" w:space="0"/>
            </w:tcBorders>
            <w:vAlign w:val="center"/>
          </w:tcPr>
          <w:p>
            <w:pPr>
              <w:jc w:val="center"/>
              <w:rPr>
                <w:rFonts w:ascii="宋体" w:hAnsi="宋体" w:cs="宋体"/>
                <w:color w:val="auto"/>
                <w:szCs w:val="21"/>
                <w:highlight w:val="none"/>
              </w:rPr>
            </w:pPr>
          </w:p>
        </w:tc>
        <w:tc>
          <w:tcPr>
            <w:tcW w:w="799" w:type="dxa"/>
            <w:tcBorders>
              <w:top w:val="single" w:color="auto" w:sz="4" w:space="0"/>
            </w:tcBorders>
            <w:vAlign w:val="center"/>
          </w:tcPr>
          <w:p>
            <w:pPr>
              <w:jc w:val="center"/>
              <w:rPr>
                <w:rFonts w:ascii="宋体" w:hAnsi="宋体" w:cs="宋体"/>
                <w:color w:val="auto"/>
                <w:szCs w:val="21"/>
                <w:highlight w:val="none"/>
              </w:rPr>
            </w:pPr>
          </w:p>
        </w:tc>
        <w:tc>
          <w:tcPr>
            <w:tcW w:w="798" w:type="dxa"/>
            <w:tcBorders>
              <w:top w:val="single" w:color="auto" w:sz="4" w:space="0"/>
            </w:tcBorders>
            <w:vAlign w:val="center"/>
          </w:tcPr>
          <w:p>
            <w:pPr>
              <w:jc w:val="center"/>
              <w:rPr>
                <w:rFonts w:ascii="宋体" w:hAnsi="宋体" w:cs="宋体"/>
                <w:color w:val="auto"/>
                <w:szCs w:val="21"/>
                <w:highlight w:val="none"/>
              </w:rPr>
            </w:pPr>
          </w:p>
        </w:tc>
        <w:tc>
          <w:tcPr>
            <w:tcW w:w="799" w:type="dxa"/>
            <w:tcBorders>
              <w:top w:val="single" w:color="auto" w:sz="4" w:space="0"/>
            </w:tcBorders>
            <w:vAlign w:val="center"/>
          </w:tcPr>
          <w:p>
            <w:pPr>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99" w:type="dxa"/>
            <w:vAlign w:val="center"/>
          </w:tcPr>
          <w:p>
            <w:pPr>
              <w:jc w:val="center"/>
              <w:rPr>
                <w:rFonts w:ascii="宋体" w:hAnsi="宋体" w:cs="宋体"/>
                <w:color w:val="auto"/>
                <w:szCs w:val="21"/>
                <w:highlight w:val="none"/>
              </w:rPr>
            </w:pPr>
          </w:p>
        </w:tc>
        <w:tc>
          <w:tcPr>
            <w:tcW w:w="799" w:type="dxa"/>
            <w:vAlign w:val="center"/>
          </w:tcPr>
          <w:p>
            <w:pPr>
              <w:jc w:val="center"/>
              <w:rPr>
                <w:rFonts w:ascii="宋体" w:hAnsi="宋体" w:cs="宋体"/>
                <w:color w:val="auto"/>
                <w:szCs w:val="21"/>
                <w:highlight w:val="none"/>
              </w:rPr>
            </w:pPr>
          </w:p>
        </w:tc>
        <w:tc>
          <w:tcPr>
            <w:tcW w:w="720" w:type="dxa"/>
            <w:vAlign w:val="center"/>
          </w:tcPr>
          <w:p>
            <w:pPr>
              <w:jc w:val="center"/>
              <w:rPr>
                <w:rFonts w:ascii="宋体" w:hAnsi="宋体" w:cs="宋体"/>
                <w:color w:val="auto"/>
                <w:szCs w:val="21"/>
                <w:highlight w:val="none"/>
              </w:rPr>
            </w:pPr>
          </w:p>
        </w:tc>
        <w:tc>
          <w:tcPr>
            <w:tcW w:w="1782" w:type="dxa"/>
            <w:vAlign w:val="center"/>
          </w:tcPr>
          <w:p>
            <w:pPr>
              <w:jc w:val="center"/>
              <w:rPr>
                <w:rFonts w:ascii="宋体" w:hAnsi="宋体" w:cs="宋体"/>
                <w:color w:val="auto"/>
                <w:szCs w:val="21"/>
                <w:highlight w:val="none"/>
              </w:rPr>
            </w:pPr>
          </w:p>
        </w:tc>
        <w:tc>
          <w:tcPr>
            <w:tcW w:w="1438" w:type="dxa"/>
            <w:vAlign w:val="center"/>
          </w:tcPr>
          <w:p>
            <w:pPr>
              <w:jc w:val="center"/>
              <w:rPr>
                <w:rFonts w:ascii="宋体" w:hAnsi="宋体" w:cs="宋体"/>
                <w:color w:val="auto"/>
                <w:szCs w:val="21"/>
                <w:highlight w:val="none"/>
              </w:rPr>
            </w:pPr>
          </w:p>
        </w:tc>
        <w:tc>
          <w:tcPr>
            <w:tcW w:w="799" w:type="dxa"/>
            <w:vAlign w:val="center"/>
          </w:tcPr>
          <w:p>
            <w:pPr>
              <w:jc w:val="center"/>
              <w:rPr>
                <w:rFonts w:ascii="宋体" w:hAnsi="宋体" w:cs="宋体"/>
                <w:color w:val="auto"/>
                <w:szCs w:val="21"/>
                <w:highlight w:val="none"/>
              </w:rPr>
            </w:pPr>
          </w:p>
        </w:tc>
        <w:tc>
          <w:tcPr>
            <w:tcW w:w="798" w:type="dxa"/>
            <w:vAlign w:val="center"/>
          </w:tcPr>
          <w:p>
            <w:pPr>
              <w:jc w:val="center"/>
              <w:rPr>
                <w:rFonts w:ascii="宋体" w:hAnsi="宋体" w:cs="宋体"/>
                <w:color w:val="auto"/>
                <w:szCs w:val="21"/>
                <w:highlight w:val="none"/>
              </w:rPr>
            </w:pPr>
          </w:p>
        </w:tc>
        <w:tc>
          <w:tcPr>
            <w:tcW w:w="799" w:type="dxa"/>
            <w:vAlign w:val="center"/>
          </w:tcPr>
          <w:p>
            <w:pPr>
              <w:jc w:val="center"/>
              <w:rPr>
                <w:rFonts w:ascii="宋体" w:hAnsi="宋体" w:cs="宋体"/>
                <w:color w:val="auto"/>
                <w:szCs w:val="21"/>
                <w:highlight w:val="none"/>
              </w:rPr>
            </w:pPr>
          </w:p>
        </w:tc>
      </w:tr>
    </w:tbl>
    <w:p>
      <w:pPr>
        <w:pStyle w:val="13"/>
        <w:spacing w:line="360" w:lineRule="auto"/>
        <w:rPr>
          <w:rFonts w:ascii="宋体" w:cs="宋体"/>
          <w:color w:val="auto"/>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color w:val="auto"/>
          <w:szCs w:val="21"/>
          <w:highlight w:val="none"/>
        </w:rPr>
      </w:pPr>
      <w:r>
        <w:rPr>
          <w:rFonts w:hint="eastAsia" w:ascii="宋体" w:hAnsi="宋体" w:cs="宋体"/>
          <w:color w:val="auto"/>
          <w:szCs w:val="21"/>
          <w:highlight w:val="none"/>
        </w:rPr>
        <w:t>注：提供证书复印件加盖投标人公章。</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pStyle w:val="35"/>
        <w:ind w:firstLine="420"/>
        <w:rPr>
          <w:color w:val="auto"/>
          <w:highlight w:val="none"/>
        </w:rPr>
      </w:pPr>
    </w:p>
    <w:p>
      <w:pPr>
        <w:pStyle w:val="36"/>
        <w:ind w:left="480" w:hanging="480"/>
        <w:rPr>
          <w:color w:val="auto"/>
          <w:highlight w:val="none"/>
        </w:rPr>
      </w:pPr>
    </w:p>
    <w:p>
      <w:pPr>
        <w:pStyle w:val="37"/>
        <w:rPr>
          <w:color w:val="auto"/>
          <w:highlight w:val="none"/>
        </w:rPr>
      </w:pPr>
    </w:p>
    <w:p>
      <w:pPr>
        <w:spacing w:line="360" w:lineRule="auto"/>
        <w:rPr>
          <w:rFonts w:ascii="宋体" w:cs="宋体"/>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八、类似业绩一览表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708"/>
        <w:gridCol w:w="709"/>
        <w:gridCol w:w="992"/>
        <w:gridCol w:w="709"/>
        <w:gridCol w:w="992"/>
        <w:gridCol w:w="709"/>
        <w:gridCol w:w="709"/>
        <w:gridCol w:w="709"/>
        <w:gridCol w:w="567"/>
        <w:gridCol w:w="70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工程地点</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总投资</w:t>
            </w:r>
          </w:p>
        </w:tc>
        <w:tc>
          <w:tcPr>
            <w:tcW w:w="9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监理服务范围</w:t>
            </w: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监理费</w:t>
            </w:r>
          </w:p>
        </w:tc>
        <w:tc>
          <w:tcPr>
            <w:tcW w:w="9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监理服务期</w:t>
            </w: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质量目标</w:t>
            </w: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监理成效</w:t>
            </w: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56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监理人</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奖惩情况</w:t>
            </w:r>
          </w:p>
        </w:tc>
        <w:tc>
          <w:tcPr>
            <w:tcW w:w="85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567"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855"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567"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855"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567"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855"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567"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855"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567"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855"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992"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709" w:type="dxa"/>
            <w:vAlign w:val="center"/>
          </w:tcPr>
          <w:p>
            <w:pPr>
              <w:jc w:val="center"/>
              <w:rPr>
                <w:rFonts w:ascii="宋体" w:hAnsi="宋体" w:cs="宋体"/>
                <w:b/>
                <w:bCs/>
                <w:color w:val="auto"/>
                <w:szCs w:val="21"/>
                <w:highlight w:val="none"/>
              </w:rPr>
            </w:pPr>
          </w:p>
        </w:tc>
        <w:tc>
          <w:tcPr>
            <w:tcW w:w="567" w:type="dxa"/>
            <w:vAlign w:val="center"/>
          </w:tcPr>
          <w:p>
            <w:pPr>
              <w:jc w:val="center"/>
              <w:rPr>
                <w:rFonts w:ascii="宋体" w:hAnsi="宋体" w:cs="宋体"/>
                <w:b/>
                <w:bCs/>
                <w:color w:val="auto"/>
                <w:szCs w:val="21"/>
                <w:highlight w:val="none"/>
              </w:rPr>
            </w:pPr>
          </w:p>
        </w:tc>
        <w:tc>
          <w:tcPr>
            <w:tcW w:w="708" w:type="dxa"/>
            <w:vAlign w:val="center"/>
          </w:tcPr>
          <w:p>
            <w:pPr>
              <w:jc w:val="center"/>
              <w:rPr>
                <w:rFonts w:ascii="宋体" w:hAnsi="宋体" w:cs="宋体"/>
                <w:b/>
                <w:bCs/>
                <w:color w:val="auto"/>
                <w:szCs w:val="21"/>
                <w:highlight w:val="none"/>
              </w:rPr>
            </w:pPr>
          </w:p>
        </w:tc>
        <w:tc>
          <w:tcPr>
            <w:tcW w:w="855" w:type="dxa"/>
            <w:vAlign w:val="center"/>
          </w:tcPr>
          <w:p>
            <w:pPr>
              <w:jc w:val="center"/>
              <w:rPr>
                <w:rFonts w:ascii="宋体" w:hAnsi="宋体" w:cs="宋体"/>
                <w:b/>
                <w:bCs/>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color w:val="auto"/>
          <w:szCs w:val="21"/>
          <w:highlight w:val="none"/>
        </w:rPr>
      </w:pPr>
    </w:p>
    <w:p>
      <w:pPr>
        <w:rPr>
          <w:rFonts w:ascii="宋体"/>
          <w:color w:val="auto"/>
          <w:highlight w:val="none"/>
        </w:rPr>
      </w:pPr>
      <w:r>
        <w:rPr>
          <w:rFonts w:hint="eastAsia" w:ascii="宋体" w:hAnsi="宋体" w:cs="宋体"/>
          <w:color w:val="auto"/>
          <w:szCs w:val="21"/>
          <w:highlight w:val="none"/>
        </w:rPr>
        <w:t>注：</w:t>
      </w:r>
      <w:r>
        <w:rPr>
          <w:rFonts w:ascii="宋体" w:hAnsi="宋体"/>
          <w:color w:val="auto"/>
          <w:highlight w:val="none"/>
        </w:rPr>
        <w:t>1</w:t>
      </w:r>
      <w:r>
        <w:rPr>
          <w:rFonts w:hint="eastAsia" w:ascii="宋体" w:hAnsi="宋体"/>
          <w:color w:val="auto"/>
          <w:highlight w:val="none"/>
        </w:rPr>
        <w:t>、投标人应随此表附上相关的业绩证明</w:t>
      </w:r>
      <w:r>
        <w:rPr>
          <w:rFonts w:ascii="宋体" w:hAnsi="宋体"/>
          <w:color w:val="auto"/>
          <w:highlight w:val="none"/>
        </w:rPr>
        <w:t>(</w:t>
      </w:r>
      <w:r>
        <w:rPr>
          <w:rFonts w:hint="eastAsia" w:ascii="宋体" w:hAnsi="宋体"/>
          <w:color w:val="auto"/>
          <w:highlight w:val="none"/>
        </w:rPr>
        <w:t>如合同等</w:t>
      </w:r>
      <w:r>
        <w:rPr>
          <w:rFonts w:ascii="宋体" w:hAnsi="宋体"/>
          <w:color w:val="auto"/>
          <w:highlight w:val="none"/>
        </w:rPr>
        <w:t>)</w:t>
      </w:r>
      <w:r>
        <w:rPr>
          <w:rFonts w:hint="eastAsia" w:ascii="宋体" w:hAnsi="宋体"/>
          <w:color w:val="auto"/>
          <w:highlight w:val="none"/>
        </w:rPr>
        <w:t>。</w:t>
      </w:r>
    </w:p>
    <w:p>
      <w:pPr>
        <w:spacing w:line="360" w:lineRule="auto"/>
        <w:rPr>
          <w:rFonts w:ascii="宋体" w:cs="宋体"/>
          <w:color w:val="auto"/>
          <w:kern w:val="0"/>
          <w:szCs w:val="21"/>
          <w:highlight w:val="none"/>
        </w:rPr>
      </w:pPr>
    </w:p>
    <w:p>
      <w:pPr>
        <w:spacing w:line="360" w:lineRule="auto"/>
        <w:ind w:firstLine="420" w:firstLineChars="200"/>
        <w:jc w:val="left"/>
        <w:rPr>
          <w:rFonts w:ascii="宋体" w:cs="宋体"/>
          <w:color w:val="auto"/>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pStyle w:val="2"/>
        <w:rPr>
          <w:rFonts w:cs="宋体"/>
          <w:b/>
          <w:color w:val="auto"/>
          <w:szCs w:val="21"/>
          <w:highlight w:val="none"/>
        </w:rPr>
      </w:pPr>
    </w:p>
    <w:p>
      <w:pPr>
        <w:pStyle w:val="3"/>
        <w:ind w:firstLine="482"/>
        <w:rPr>
          <w:rFonts w:ascii="宋体" w:cs="宋体"/>
          <w:b/>
          <w:color w:val="auto"/>
          <w:szCs w:val="21"/>
          <w:highlight w:val="none"/>
        </w:rPr>
      </w:pPr>
    </w:p>
    <w:p>
      <w:pPr>
        <w:pStyle w:val="3"/>
        <w:ind w:firstLine="482"/>
        <w:rPr>
          <w:rFonts w:ascii="宋体" w:cs="宋体"/>
          <w:b/>
          <w:color w:val="auto"/>
          <w:szCs w:val="21"/>
          <w:highlight w:val="none"/>
        </w:rPr>
      </w:pPr>
    </w:p>
    <w:p>
      <w:pPr>
        <w:pStyle w:val="3"/>
        <w:ind w:firstLine="482"/>
        <w:rPr>
          <w:rFonts w:ascii="宋体" w:cs="宋体"/>
          <w:b/>
          <w:color w:val="auto"/>
          <w:szCs w:val="21"/>
          <w:highlight w:val="none"/>
        </w:rPr>
      </w:pPr>
    </w:p>
    <w:p>
      <w:pPr>
        <w:pStyle w:val="35"/>
        <w:ind w:firstLine="0" w:firstLineChars="0"/>
        <w:rPr>
          <w:rFonts w:cs="宋体"/>
          <w:b/>
          <w:color w:val="auto"/>
          <w:szCs w:val="21"/>
          <w:highlight w:val="none"/>
        </w:rPr>
      </w:pPr>
    </w:p>
    <w:p>
      <w:pPr>
        <w:rPr>
          <w:rFonts w:ascii="宋体" w:cs="宋体"/>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九、供应商参加磋商确认函</w:t>
      </w:r>
    </w:p>
    <w:p>
      <w:pPr>
        <w:spacing w:line="360" w:lineRule="auto"/>
        <w:jc w:val="center"/>
        <w:rPr>
          <w:rFonts w:ascii="宋体" w:cs="宋体"/>
          <w:b/>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江苏汇诚投资咨询管理有限公司：</w:t>
      </w:r>
    </w:p>
    <w:p>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本单位将参加贵单位于</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日磋商的采购编号为</w:t>
      </w:r>
      <w:r>
        <w:rPr>
          <w:rFonts w:ascii="宋体" w:hAnsi="宋体" w:cs="宋体"/>
          <w:color w:val="auto"/>
          <w:szCs w:val="21"/>
          <w:highlight w:val="none"/>
          <w:u w:val="single"/>
        </w:rPr>
        <w:t xml:space="preserve">            </w:t>
      </w:r>
      <w:r>
        <w:rPr>
          <w:rFonts w:hint="eastAsia" w:ascii="宋体" w:hAnsi="宋体" w:cs="宋体"/>
          <w:color w:val="auto"/>
          <w:szCs w:val="21"/>
          <w:highlight w:val="none"/>
        </w:rPr>
        <w:t>的项目的投标。本单位已在网上成功下载标书，特发函确认。</w:t>
      </w:r>
    </w:p>
    <w:p>
      <w:pPr>
        <w:spacing w:line="360" w:lineRule="auto"/>
        <w:rPr>
          <w:rFonts w:ascii="宋体" w:cs="宋体"/>
          <w:color w:val="auto"/>
          <w:szCs w:val="21"/>
          <w:highlight w:val="none"/>
        </w:rPr>
      </w:pPr>
    </w:p>
    <w:p>
      <w:pPr>
        <w:spacing w:line="360" w:lineRule="auto"/>
        <w:ind w:left="2730" w:leftChars="1300" w:firstLine="3360" w:firstLineChars="1600"/>
        <w:rPr>
          <w:rFonts w:ascii="宋体" w:cs="宋体"/>
          <w:color w:val="auto"/>
          <w:szCs w:val="21"/>
          <w:highlight w:val="none"/>
        </w:rPr>
      </w:pPr>
      <w:r>
        <w:rPr>
          <w:rFonts w:hint="eastAsia" w:ascii="宋体" w:hAnsi="宋体" w:cs="宋体"/>
          <w:color w:val="auto"/>
          <w:szCs w:val="21"/>
          <w:highlight w:val="none"/>
        </w:rPr>
        <w:t>（单位公章）</w:t>
      </w:r>
    </w:p>
    <w:p>
      <w:pPr>
        <w:pBdr>
          <w:bottom w:val="single" w:color="auto" w:sz="6" w:space="1"/>
        </w:pBdr>
        <w:spacing w:line="360" w:lineRule="auto"/>
        <w:ind w:left="3465" w:hanging="3465" w:hangingChars="16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pBdr>
          <w:bottom w:val="single" w:color="auto" w:sz="6" w:space="1"/>
        </w:pBdr>
        <w:ind w:left="3465" w:hanging="3465" w:hangingChars="1650"/>
        <w:rPr>
          <w:rFonts w:ascii="宋体" w:cs="宋体"/>
          <w:color w:val="auto"/>
          <w:szCs w:val="21"/>
          <w:highlight w:val="none"/>
        </w:rPr>
      </w:pPr>
    </w:p>
    <w:p>
      <w:pPr>
        <w:ind w:left="3465" w:hanging="3465" w:hangingChars="1650"/>
        <w:rPr>
          <w:rFonts w:ascii="宋体" w:cs="宋体"/>
          <w:color w:val="auto"/>
          <w:szCs w:val="21"/>
          <w:highlight w:val="none"/>
        </w:rPr>
      </w:pPr>
      <w:r>
        <w:rPr>
          <w:rFonts w:hint="eastAsia" w:ascii="宋体" w:hAnsi="宋体" w:cs="宋体"/>
          <w:color w:val="auto"/>
          <w:szCs w:val="21"/>
          <w:highlight w:val="none"/>
        </w:rPr>
        <w:t>附：</w:t>
      </w:r>
    </w:p>
    <w:p>
      <w:pPr>
        <w:ind w:left="3479" w:hanging="3479" w:hangingChars="1650"/>
        <w:jc w:val="center"/>
        <w:rPr>
          <w:rFonts w:ascii="宋体" w:cs="宋体"/>
          <w:b/>
          <w:bCs/>
          <w:color w:val="auto"/>
          <w:szCs w:val="21"/>
          <w:highlight w:val="none"/>
        </w:rPr>
      </w:pPr>
      <w:r>
        <w:rPr>
          <w:rFonts w:hint="eastAsia" w:ascii="宋体" w:hAnsi="宋体" w:cs="宋体"/>
          <w:b/>
          <w:bCs/>
          <w:color w:val="auto"/>
          <w:szCs w:val="21"/>
          <w:highlight w:val="none"/>
        </w:rPr>
        <w:t>供应商联系表</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628"/>
        <w:gridCol w:w="2268"/>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统一社会信用代码</w:t>
            </w:r>
          </w:p>
        </w:tc>
        <w:tc>
          <w:tcPr>
            <w:tcW w:w="7361" w:type="dxa"/>
            <w:gridSpan w:val="3"/>
            <w:tcBorders>
              <w:left w:val="nil"/>
            </w:tcBorders>
          </w:tcPr>
          <w:p>
            <w:pPr>
              <w:spacing w:line="360" w:lineRule="auto"/>
              <w:jc w:val="center"/>
              <w:rPr>
                <w:rFonts w:asci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开</w:t>
            </w:r>
            <w:r>
              <w:rPr>
                <w:rFonts w:ascii="宋体" w:hAnsi="宋体" w:cs="宋体"/>
                <w:color w:val="auto"/>
                <w:szCs w:val="21"/>
                <w:highlight w:val="none"/>
              </w:rPr>
              <w:t xml:space="preserve"> </w:t>
            </w:r>
            <w:r>
              <w:rPr>
                <w:rFonts w:hint="eastAsia" w:ascii="宋体" w:hAnsi="宋体" w:cs="宋体"/>
                <w:color w:val="auto"/>
                <w:szCs w:val="21"/>
                <w:highlight w:val="none"/>
              </w:rPr>
              <w:t>户</w:t>
            </w:r>
            <w:r>
              <w:rPr>
                <w:rFonts w:ascii="宋体" w:hAnsi="宋体" w:cs="宋体"/>
                <w:color w:val="auto"/>
                <w:szCs w:val="21"/>
                <w:highlight w:val="none"/>
              </w:rPr>
              <w:t xml:space="preserve"> </w:t>
            </w:r>
            <w:r>
              <w:rPr>
                <w:rFonts w:hint="eastAsia" w:ascii="宋体" w:hAnsi="宋体" w:cs="宋体"/>
                <w:color w:val="auto"/>
                <w:szCs w:val="21"/>
                <w:highlight w:val="none"/>
              </w:rPr>
              <w:t>行</w:t>
            </w:r>
          </w:p>
        </w:tc>
        <w:tc>
          <w:tcPr>
            <w:tcW w:w="7361" w:type="dxa"/>
            <w:gridSpan w:val="3"/>
            <w:tcBorders>
              <w:left w:val="nil"/>
            </w:tcBorders>
          </w:tcPr>
          <w:p>
            <w:pPr>
              <w:spacing w:line="360" w:lineRule="auto"/>
              <w:jc w:val="center"/>
              <w:rPr>
                <w:rFonts w:asci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p>
        </w:tc>
        <w:tc>
          <w:tcPr>
            <w:tcW w:w="7361" w:type="dxa"/>
            <w:gridSpan w:val="3"/>
            <w:tcBorders>
              <w:left w:val="nil"/>
            </w:tcBorders>
          </w:tcPr>
          <w:p>
            <w:pPr>
              <w:spacing w:line="360" w:lineRule="auto"/>
              <w:jc w:val="center"/>
              <w:rPr>
                <w:rFonts w:asci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单位地址</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法定代表人</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单位电话</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传真号码</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项目联系人</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箱</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联系人固定电话</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联系人手机</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所投项目名称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所投包（如有）</w:t>
            </w:r>
          </w:p>
        </w:tc>
        <w:tc>
          <w:tcPr>
            <w:tcW w:w="7361" w:type="dxa"/>
            <w:gridSpan w:val="3"/>
            <w:tcBorders>
              <w:left w:val="nil"/>
            </w:tcBorders>
            <w:vAlign w:val="center"/>
          </w:tcPr>
          <w:p>
            <w:pPr>
              <w:adjustRightInd w:val="0"/>
              <w:snapToGrid w:val="0"/>
              <w:spacing w:line="360" w:lineRule="auto"/>
              <w:jc w:val="center"/>
              <w:rPr>
                <w:rFonts w:ascii="宋体" w:cs="宋体"/>
                <w:color w:val="auto"/>
                <w:sz w:val="28"/>
                <w:szCs w:val="28"/>
                <w:highlight w:val="none"/>
              </w:rPr>
            </w:pPr>
          </w:p>
        </w:tc>
      </w:tr>
    </w:tbl>
    <w:p>
      <w:pPr>
        <w:spacing w:line="360" w:lineRule="auto"/>
        <w:rPr>
          <w:rFonts w:ascii="宋体" w:cs="宋体"/>
          <w:b/>
          <w:bCs/>
          <w:color w:val="auto"/>
          <w:szCs w:val="21"/>
          <w:highlight w:val="none"/>
        </w:rPr>
      </w:pPr>
      <w:r>
        <w:rPr>
          <w:rFonts w:hint="eastAsia" w:ascii="宋体" w:hAnsi="宋体" w:cs="宋体"/>
          <w:b/>
          <w:bCs/>
          <w:color w:val="auto"/>
          <w:szCs w:val="21"/>
          <w:highlight w:val="none"/>
        </w:rPr>
        <w:t>备注：</w:t>
      </w:r>
      <w:r>
        <w:rPr>
          <w:rFonts w:ascii="宋体" w:hAnsi="宋体" w:cs="宋体"/>
          <w:b/>
          <w:bCs/>
          <w:color w:val="auto"/>
          <w:szCs w:val="21"/>
          <w:highlight w:val="none"/>
        </w:rPr>
        <w:t>1</w:t>
      </w:r>
      <w:r>
        <w:rPr>
          <w:rFonts w:hint="eastAsia" w:ascii="宋体" w:hAnsi="宋体" w:cs="宋体"/>
          <w:b/>
          <w:bCs/>
          <w:color w:val="auto"/>
          <w:szCs w:val="21"/>
          <w:highlight w:val="none"/>
        </w:rPr>
        <w:t>、请准备参与本项目投标的供应商如实填写（以上信息均为必填内容）后邮件或原件送至代理机构（邮箱：</w:t>
      </w:r>
      <w:r>
        <w:rPr>
          <w:rFonts w:ascii="宋体" w:hAnsi="宋体" w:cs="宋体"/>
          <w:b/>
          <w:bCs/>
          <w:color w:val="auto"/>
          <w:szCs w:val="21"/>
          <w:highlight w:val="none"/>
        </w:rPr>
        <w:t xml:space="preserve">1024493245@qq.com  </w:t>
      </w:r>
      <w:r>
        <w:rPr>
          <w:rFonts w:hint="eastAsia" w:ascii="宋体" w:hAnsi="宋体" w:cs="宋体"/>
          <w:b/>
          <w:bCs/>
          <w:color w:val="auto"/>
          <w:szCs w:val="21"/>
          <w:highlight w:val="none"/>
        </w:rPr>
        <w:t>电话：</w:t>
      </w:r>
      <w:r>
        <w:rPr>
          <w:rFonts w:ascii="宋体" w:hAnsi="宋体" w:cs="宋体"/>
          <w:b/>
          <w:bCs/>
          <w:color w:val="auto"/>
          <w:szCs w:val="21"/>
          <w:highlight w:val="none"/>
        </w:rPr>
        <w:t>13952573302</w:t>
      </w:r>
      <w:r>
        <w:rPr>
          <w:rFonts w:hint="eastAsia" w:ascii="宋体" w:hAnsi="宋体" w:cs="宋体"/>
          <w:b/>
          <w:bCs/>
          <w:color w:val="auto"/>
          <w:szCs w:val="21"/>
          <w:highlight w:val="none"/>
        </w:rPr>
        <w:t>）。</w:t>
      </w:r>
    </w:p>
    <w:p>
      <w:pPr>
        <w:spacing w:line="360" w:lineRule="auto"/>
        <w:rPr>
          <w:rFonts w:ascii="宋体" w:cs="宋体"/>
          <w:b/>
          <w:bCs/>
          <w:color w:val="auto"/>
          <w:szCs w:val="21"/>
          <w:highlight w:val="none"/>
        </w:rPr>
      </w:pPr>
      <w:r>
        <w:rPr>
          <w:rFonts w:ascii="宋体" w:hAnsi="宋体" w:cs="宋体"/>
          <w:b/>
          <w:bCs/>
          <w:color w:val="auto"/>
          <w:szCs w:val="21"/>
          <w:highlight w:val="none"/>
        </w:rPr>
        <w:t xml:space="preserve">      2</w:t>
      </w:r>
      <w:r>
        <w:rPr>
          <w:rFonts w:hint="eastAsia" w:ascii="宋体" w:hAnsi="宋体" w:cs="宋体"/>
          <w:b/>
          <w:bCs/>
          <w:color w:val="auto"/>
          <w:szCs w:val="21"/>
          <w:highlight w:val="none"/>
        </w:rPr>
        <w:t>、因供应商填写有误，造成以上信息资料的不实将由投标人承担责任。</w:t>
      </w:r>
    </w:p>
    <w:p>
      <w:pPr>
        <w:rPr>
          <w:rFonts w:ascii="宋体" w:cs="宋体"/>
          <w:color w:val="auto"/>
          <w:highlight w:val="none"/>
        </w:rPr>
      </w:pPr>
    </w:p>
    <w:p>
      <w:pPr>
        <w:spacing w:beforeLines="100" w:line="360" w:lineRule="auto"/>
        <w:jc w:val="center"/>
        <w:rPr>
          <w:rFonts w:ascii="宋体" w:cs="宋体"/>
          <w:b/>
          <w:color w:val="auto"/>
          <w:highlight w:val="none"/>
        </w:rPr>
      </w:pPr>
    </w:p>
    <w:p>
      <w:pPr>
        <w:spacing w:beforeLines="100" w:line="360" w:lineRule="auto"/>
        <w:jc w:val="center"/>
        <w:rPr>
          <w:rFonts w:ascii="宋体" w:hAnsi="宋体" w:cs="宋体"/>
          <w:b/>
          <w:color w:val="auto"/>
          <w:highlight w:val="none"/>
        </w:rPr>
      </w:pPr>
    </w:p>
    <w:p>
      <w:pPr>
        <w:spacing w:beforeLines="100" w:line="360" w:lineRule="auto"/>
        <w:jc w:val="center"/>
        <w:rPr>
          <w:rFonts w:ascii="宋体" w:cs="宋体"/>
          <w:b/>
          <w:color w:val="auto"/>
          <w:highlight w:val="none"/>
        </w:rPr>
      </w:pPr>
      <w:r>
        <w:rPr>
          <w:rFonts w:hint="eastAsia" w:ascii="宋体" w:hAnsi="宋体" w:cs="宋体"/>
          <w:b/>
          <w:color w:val="auto"/>
          <w:highlight w:val="none"/>
        </w:rPr>
        <w:t>主要标的信息（中标后将公示）</w:t>
      </w:r>
    </w:p>
    <w:p>
      <w:pPr>
        <w:spacing w:line="360" w:lineRule="auto"/>
        <w:rPr>
          <w:rFonts w:ascii="宋体" w:cs="宋体"/>
          <w:color w:val="auto"/>
          <w:highlight w:val="none"/>
        </w:rPr>
      </w:pPr>
      <w:r>
        <w:rPr>
          <w:rFonts w:hint="eastAsia" w:ascii="宋体" w:hAnsi="宋体" w:cs="宋体"/>
          <w:color w:val="auto"/>
          <w:szCs w:val="21"/>
          <w:highlight w:val="none"/>
        </w:rPr>
        <w:t>磋商供应商全称（盖章）：</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5"/>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901" w:type="dxa"/>
          </w:tcPr>
          <w:p>
            <w:pPr>
              <w:jc w:val="center"/>
              <w:rPr>
                <w:rFonts w:ascii="宋体" w:cs="宋体"/>
                <w:color w:val="auto"/>
                <w:kern w:val="0"/>
                <w:highlight w:val="none"/>
              </w:rPr>
            </w:pPr>
            <w:r>
              <w:rPr>
                <w:rFonts w:hint="eastAsia" w:ascii="宋体" w:hAnsi="宋体" w:cs="宋体"/>
                <w:color w:val="auto"/>
                <w:kern w:val="0"/>
                <w:highlight w:val="none"/>
              </w:rPr>
              <w:t>货物类</w:t>
            </w:r>
          </w:p>
        </w:tc>
        <w:tc>
          <w:tcPr>
            <w:tcW w:w="3780" w:type="dxa"/>
          </w:tcPr>
          <w:p>
            <w:pPr>
              <w:jc w:val="center"/>
              <w:rPr>
                <w:rFonts w:ascii="宋体" w:cs="宋体"/>
                <w:color w:val="auto"/>
                <w:kern w:val="0"/>
                <w:highlight w:val="none"/>
              </w:rPr>
            </w:pPr>
            <w:r>
              <w:rPr>
                <w:rFonts w:hint="eastAsia" w:ascii="宋体" w:hAnsi="宋体" w:cs="宋体"/>
                <w:color w:val="auto"/>
                <w:kern w:val="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3901" w:type="dxa"/>
          </w:tcPr>
          <w:p>
            <w:pPr>
              <w:spacing w:line="360" w:lineRule="auto"/>
              <w:rPr>
                <w:rFonts w:ascii="宋体" w:cs="宋体"/>
                <w:color w:val="auto"/>
                <w:kern w:val="0"/>
                <w:highlight w:val="none"/>
              </w:rPr>
            </w:pPr>
            <w:r>
              <w:rPr>
                <w:rFonts w:hint="eastAsia" w:ascii="宋体" w:hAnsi="宋体" w:cs="宋体"/>
                <w:color w:val="auto"/>
                <w:kern w:val="0"/>
                <w:highlight w:val="none"/>
              </w:rPr>
              <w:t>项目名称：</w:t>
            </w:r>
          </w:p>
          <w:p>
            <w:pPr>
              <w:spacing w:line="360" w:lineRule="auto"/>
              <w:rPr>
                <w:rFonts w:ascii="宋体" w:cs="宋体"/>
                <w:color w:val="auto"/>
                <w:kern w:val="0"/>
                <w:highlight w:val="none"/>
              </w:rPr>
            </w:pPr>
            <w:r>
              <w:rPr>
                <w:rFonts w:hint="eastAsia" w:ascii="宋体" w:hAnsi="宋体" w:cs="宋体"/>
                <w:color w:val="auto"/>
                <w:kern w:val="0"/>
                <w:highlight w:val="none"/>
              </w:rPr>
              <w:t>品牌（如有）：</w:t>
            </w:r>
          </w:p>
          <w:p>
            <w:pPr>
              <w:spacing w:line="360" w:lineRule="auto"/>
              <w:rPr>
                <w:rFonts w:ascii="宋体" w:cs="宋体"/>
                <w:color w:val="auto"/>
                <w:kern w:val="0"/>
                <w:highlight w:val="none"/>
              </w:rPr>
            </w:pPr>
            <w:r>
              <w:rPr>
                <w:rFonts w:hint="eastAsia" w:ascii="宋体" w:hAnsi="宋体" w:cs="宋体"/>
                <w:color w:val="auto"/>
                <w:kern w:val="0"/>
                <w:highlight w:val="none"/>
              </w:rPr>
              <w:t>规格型号：</w:t>
            </w:r>
          </w:p>
          <w:p>
            <w:pPr>
              <w:spacing w:line="360" w:lineRule="auto"/>
              <w:rPr>
                <w:rFonts w:ascii="宋体" w:cs="宋体"/>
                <w:color w:val="auto"/>
                <w:kern w:val="0"/>
                <w:highlight w:val="none"/>
              </w:rPr>
            </w:pPr>
            <w:r>
              <w:rPr>
                <w:rFonts w:hint="eastAsia" w:ascii="宋体" w:hAnsi="宋体" w:cs="宋体"/>
                <w:color w:val="auto"/>
                <w:kern w:val="0"/>
                <w:highlight w:val="none"/>
              </w:rPr>
              <w:t>数量：</w:t>
            </w:r>
          </w:p>
          <w:p>
            <w:pPr>
              <w:spacing w:line="360" w:lineRule="auto"/>
              <w:rPr>
                <w:rFonts w:ascii="宋体" w:cs="宋体"/>
                <w:color w:val="auto"/>
                <w:kern w:val="0"/>
                <w:highlight w:val="none"/>
              </w:rPr>
            </w:pPr>
            <w:r>
              <w:rPr>
                <w:rFonts w:hint="eastAsia" w:ascii="宋体" w:hAnsi="宋体" w:cs="宋体"/>
                <w:color w:val="auto"/>
                <w:kern w:val="0"/>
                <w:highlight w:val="none"/>
              </w:rPr>
              <w:t>单价：</w:t>
            </w:r>
          </w:p>
        </w:tc>
        <w:tc>
          <w:tcPr>
            <w:tcW w:w="3780" w:type="dxa"/>
          </w:tcPr>
          <w:p>
            <w:pPr>
              <w:spacing w:line="360" w:lineRule="auto"/>
              <w:rPr>
                <w:rFonts w:ascii="宋体" w:cs="宋体"/>
                <w:color w:val="auto"/>
                <w:kern w:val="0"/>
                <w:highlight w:val="none"/>
              </w:rPr>
            </w:pPr>
            <w:r>
              <w:rPr>
                <w:rFonts w:hint="eastAsia" w:ascii="宋体" w:hAnsi="宋体" w:cs="宋体"/>
                <w:color w:val="auto"/>
                <w:kern w:val="0"/>
                <w:highlight w:val="none"/>
              </w:rPr>
              <w:t>项目名称：</w:t>
            </w:r>
          </w:p>
          <w:p>
            <w:pPr>
              <w:spacing w:line="360" w:lineRule="auto"/>
              <w:rPr>
                <w:rFonts w:ascii="宋体" w:cs="宋体"/>
                <w:color w:val="auto"/>
                <w:kern w:val="0"/>
                <w:highlight w:val="none"/>
              </w:rPr>
            </w:pPr>
            <w:r>
              <w:rPr>
                <w:rFonts w:hint="eastAsia" w:ascii="宋体" w:hAnsi="宋体" w:cs="宋体"/>
                <w:color w:val="auto"/>
                <w:kern w:val="0"/>
                <w:highlight w:val="none"/>
              </w:rPr>
              <w:t>服务范围：</w:t>
            </w:r>
          </w:p>
          <w:p>
            <w:pPr>
              <w:spacing w:line="360" w:lineRule="auto"/>
              <w:rPr>
                <w:rFonts w:ascii="宋体" w:cs="宋体"/>
                <w:color w:val="auto"/>
                <w:kern w:val="0"/>
                <w:highlight w:val="none"/>
                <w:u w:val="single"/>
              </w:rPr>
            </w:pPr>
            <w:r>
              <w:rPr>
                <w:rFonts w:hint="eastAsia" w:ascii="宋体" w:hAnsi="宋体" w:cs="宋体"/>
                <w:color w:val="auto"/>
                <w:kern w:val="0"/>
                <w:highlight w:val="none"/>
              </w:rPr>
              <w:t>服务要求：</w:t>
            </w:r>
          </w:p>
          <w:p>
            <w:pPr>
              <w:spacing w:line="360" w:lineRule="auto"/>
              <w:rPr>
                <w:rFonts w:ascii="宋体" w:cs="宋体"/>
                <w:color w:val="auto"/>
                <w:kern w:val="0"/>
                <w:highlight w:val="none"/>
                <w:u w:val="single"/>
              </w:rPr>
            </w:pPr>
            <w:r>
              <w:rPr>
                <w:rFonts w:hint="eastAsia" w:ascii="宋体" w:hAnsi="宋体" w:cs="宋体"/>
                <w:color w:val="auto"/>
                <w:kern w:val="0"/>
                <w:highlight w:val="none"/>
              </w:rPr>
              <w:t>服务时间：</w:t>
            </w:r>
          </w:p>
          <w:p>
            <w:pPr>
              <w:spacing w:line="360" w:lineRule="auto"/>
              <w:rPr>
                <w:rFonts w:ascii="宋体" w:cs="宋体"/>
                <w:color w:val="auto"/>
                <w:kern w:val="0"/>
                <w:highlight w:val="none"/>
              </w:rPr>
            </w:pPr>
            <w:r>
              <w:rPr>
                <w:rFonts w:hint="eastAsia" w:ascii="宋体" w:hAnsi="宋体" w:cs="宋体"/>
                <w:color w:val="auto"/>
                <w:kern w:val="0"/>
                <w:highlight w:val="none"/>
              </w:rPr>
              <w:t>服务标准：</w:t>
            </w:r>
          </w:p>
        </w:tc>
      </w:tr>
    </w:tbl>
    <w:p>
      <w:pPr>
        <w:rPr>
          <w:rFonts w:ascii="宋体" w:cs="宋体"/>
          <w:color w:val="auto"/>
          <w:highlight w:val="none"/>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t>48</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10" w:firstLineChars="100"/>
      <w:jc w:val="both"/>
      <w:rPr>
        <w:rFonts w:ascii="宋体"/>
        <w:sz w:val="21"/>
        <w:szCs w:val="21"/>
      </w:rPr>
    </w:pPr>
    <w:r>
      <w:rPr>
        <w:rFonts w:ascii="宋体" w:hAnsi="宋体" w:cs="宋体"/>
        <w:sz w:val="21"/>
        <w:szCs w:val="21"/>
      </w:rPr>
      <w:t>JSHCZ</w:t>
    </w:r>
    <w:r>
      <w:rPr>
        <w:rFonts w:ascii="宋体" w:hAnsi="宋体" w:cs="宋体"/>
        <w:sz w:val="21"/>
        <w:szCs w:val="21"/>
        <w:lang w:val="en-US"/>
      </w:rPr>
      <w:t>B</w:t>
    </w:r>
    <w:r>
      <w:rPr>
        <w:rFonts w:ascii="宋体" w:hAnsi="宋体" w:cs="宋体"/>
        <w:sz w:val="21"/>
        <w:szCs w:val="21"/>
      </w:rPr>
      <w:t>-202</w:t>
    </w:r>
    <w:r>
      <w:rPr>
        <w:rFonts w:ascii="宋体" w:hAnsi="宋体" w:cs="宋体"/>
        <w:sz w:val="21"/>
        <w:szCs w:val="21"/>
        <w:lang w:val="en-US"/>
      </w:rPr>
      <w:t>2</w:t>
    </w:r>
    <w:r>
      <w:rPr>
        <w:rFonts w:hint="eastAsia" w:ascii="宋体" w:hAnsi="宋体" w:cs="宋体"/>
        <w:sz w:val="21"/>
        <w:szCs w:val="21"/>
        <w:lang w:val="en-US"/>
      </w:rPr>
      <w:t>538</w:t>
    </w:r>
    <w:r>
      <w:rPr>
        <w:rFonts w:ascii="宋体" w:hAnsi="宋体"/>
        <w:sz w:val="21"/>
        <w:szCs w:val="21"/>
      </w:rPr>
      <w:t xml:space="preserve"> </w:t>
    </w:r>
    <w:r>
      <w:rPr>
        <w:rFonts w:ascii="宋体" w:hAnsi="宋体"/>
      </w:rPr>
      <w:t xml:space="preserve">                                          </w:t>
    </w:r>
    <w:r>
      <w:rPr>
        <w:rFonts w:hint="eastAsia"/>
        <w:sz w:val="21"/>
        <w:szCs w:val="21"/>
      </w:rPr>
      <w:t>江苏汇诚投资咨询管理有限公司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87C8C"/>
    <w:multiLevelType w:val="singleLevel"/>
    <w:tmpl w:val="AD387C8C"/>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1393C647"/>
    <w:multiLevelType w:val="singleLevel"/>
    <w:tmpl w:val="1393C647"/>
    <w:lvl w:ilvl="0" w:tentative="0">
      <w:start w:val="3"/>
      <w:numFmt w:val="chineseCounting"/>
      <w:suff w:val="space"/>
      <w:lvlText w:val="第%1章"/>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4NzEzNTY4NjVmYWQzMmY1M2ViNGExZGE1MTMyYmIifQ=="/>
  </w:docVars>
  <w:rsids>
    <w:rsidRoot w:val="00F77236"/>
    <w:rsid w:val="00000D19"/>
    <w:rsid w:val="00000DAB"/>
    <w:rsid w:val="0000176D"/>
    <w:rsid w:val="00001D73"/>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254B0"/>
    <w:rsid w:val="000319D0"/>
    <w:rsid w:val="00032061"/>
    <w:rsid w:val="000326C1"/>
    <w:rsid w:val="00032C8E"/>
    <w:rsid w:val="00032D2A"/>
    <w:rsid w:val="00032EF1"/>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19C"/>
    <w:rsid w:val="000533FB"/>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67238"/>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B39"/>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924"/>
    <w:rsid w:val="000D4F4C"/>
    <w:rsid w:val="000D5931"/>
    <w:rsid w:val="000D5A78"/>
    <w:rsid w:val="000D61D0"/>
    <w:rsid w:val="000D626F"/>
    <w:rsid w:val="000D63C9"/>
    <w:rsid w:val="000D65B5"/>
    <w:rsid w:val="000D7482"/>
    <w:rsid w:val="000D7995"/>
    <w:rsid w:val="000D7F2C"/>
    <w:rsid w:val="000E02BD"/>
    <w:rsid w:val="000E19ED"/>
    <w:rsid w:val="000E1DEA"/>
    <w:rsid w:val="000E3E6C"/>
    <w:rsid w:val="000E4879"/>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3897"/>
    <w:rsid w:val="001052C6"/>
    <w:rsid w:val="00105E92"/>
    <w:rsid w:val="00106824"/>
    <w:rsid w:val="00106AC5"/>
    <w:rsid w:val="00107104"/>
    <w:rsid w:val="001101D6"/>
    <w:rsid w:val="0011052E"/>
    <w:rsid w:val="00114683"/>
    <w:rsid w:val="00115DF2"/>
    <w:rsid w:val="00116261"/>
    <w:rsid w:val="001169E4"/>
    <w:rsid w:val="00117433"/>
    <w:rsid w:val="001174BC"/>
    <w:rsid w:val="00117565"/>
    <w:rsid w:val="00121FEC"/>
    <w:rsid w:val="00122F8C"/>
    <w:rsid w:val="00123750"/>
    <w:rsid w:val="001267FA"/>
    <w:rsid w:val="00126AF3"/>
    <w:rsid w:val="00126BD8"/>
    <w:rsid w:val="00126EB8"/>
    <w:rsid w:val="00126F23"/>
    <w:rsid w:val="00127AE4"/>
    <w:rsid w:val="00131290"/>
    <w:rsid w:val="0013356E"/>
    <w:rsid w:val="0013378D"/>
    <w:rsid w:val="0013407C"/>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0CE0"/>
    <w:rsid w:val="00161A0B"/>
    <w:rsid w:val="00161F65"/>
    <w:rsid w:val="001638BB"/>
    <w:rsid w:val="0016486B"/>
    <w:rsid w:val="00165C6C"/>
    <w:rsid w:val="001663A1"/>
    <w:rsid w:val="00167A6D"/>
    <w:rsid w:val="0017008D"/>
    <w:rsid w:val="00171526"/>
    <w:rsid w:val="0017232C"/>
    <w:rsid w:val="00176322"/>
    <w:rsid w:val="0017775B"/>
    <w:rsid w:val="00181BE0"/>
    <w:rsid w:val="00181FF2"/>
    <w:rsid w:val="001820E0"/>
    <w:rsid w:val="00182D50"/>
    <w:rsid w:val="00185B30"/>
    <w:rsid w:val="00185CA4"/>
    <w:rsid w:val="00185FAF"/>
    <w:rsid w:val="00186583"/>
    <w:rsid w:val="00187D1E"/>
    <w:rsid w:val="0019006E"/>
    <w:rsid w:val="001913F6"/>
    <w:rsid w:val="00192300"/>
    <w:rsid w:val="00192BC5"/>
    <w:rsid w:val="00192EAA"/>
    <w:rsid w:val="00193DDA"/>
    <w:rsid w:val="00194D33"/>
    <w:rsid w:val="00195CC9"/>
    <w:rsid w:val="00195F6A"/>
    <w:rsid w:val="00196949"/>
    <w:rsid w:val="001A0CFC"/>
    <w:rsid w:val="001A0ED8"/>
    <w:rsid w:val="001A0FFC"/>
    <w:rsid w:val="001A219E"/>
    <w:rsid w:val="001A4D8D"/>
    <w:rsid w:val="001A599F"/>
    <w:rsid w:val="001A5C07"/>
    <w:rsid w:val="001A64C4"/>
    <w:rsid w:val="001A70AA"/>
    <w:rsid w:val="001B0695"/>
    <w:rsid w:val="001B20A4"/>
    <w:rsid w:val="001B48F2"/>
    <w:rsid w:val="001B5944"/>
    <w:rsid w:val="001C116A"/>
    <w:rsid w:val="001C26F3"/>
    <w:rsid w:val="001C2832"/>
    <w:rsid w:val="001C3261"/>
    <w:rsid w:val="001C3290"/>
    <w:rsid w:val="001C385A"/>
    <w:rsid w:val="001C39F4"/>
    <w:rsid w:val="001C41AE"/>
    <w:rsid w:val="001C5027"/>
    <w:rsid w:val="001C61F4"/>
    <w:rsid w:val="001C7017"/>
    <w:rsid w:val="001C76B0"/>
    <w:rsid w:val="001D02DF"/>
    <w:rsid w:val="001D17A6"/>
    <w:rsid w:val="001D2039"/>
    <w:rsid w:val="001D23CB"/>
    <w:rsid w:val="001D2EEE"/>
    <w:rsid w:val="001D46D9"/>
    <w:rsid w:val="001D5A3C"/>
    <w:rsid w:val="001D65C9"/>
    <w:rsid w:val="001E00B0"/>
    <w:rsid w:val="001E0235"/>
    <w:rsid w:val="001E1DAE"/>
    <w:rsid w:val="001E2E76"/>
    <w:rsid w:val="001E3E64"/>
    <w:rsid w:val="001E6A96"/>
    <w:rsid w:val="001E71D1"/>
    <w:rsid w:val="001F1684"/>
    <w:rsid w:val="001F1A80"/>
    <w:rsid w:val="001F1A99"/>
    <w:rsid w:val="001F3068"/>
    <w:rsid w:val="001F329A"/>
    <w:rsid w:val="001F3ADA"/>
    <w:rsid w:val="001F46B4"/>
    <w:rsid w:val="001F5E13"/>
    <w:rsid w:val="001F714A"/>
    <w:rsid w:val="00200A6D"/>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551D"/>
    <w:rsid w:val="002362D0"/>
    <w:rsid w:val="0023665C"/>
    <w:rsid w:val="002410F1"/>
    <w:rsid w:val="00241F8E"/>
    <w:rsid w:val="002425E1"/>
    <w:rsid w:val="0024368F"/>
    <w:rsid w:val="00244084"/>
    <w:rsid w:val="00244263"/>
    <w:rsid w:val="0024483C"/>
    <w:rsid w:val="00246E4A"/>
    <w:rsid w:val="00250527"/>
    <w:rsid w:val="00250C72"/>
    <w:rsid w:val="00252202"/>
    <w:rsid w:val="00252357"/>
    <w:rsid w:val="00253431"/>
    <w:rsid w:val="002539EE"/>
    <w:rsid w:val="00255328"/>
    <w:rsid w:val="00256C6B"/>
    <w:rsid w:val="00257705"/>
    <w:rsid w:val="00257818"/>
    <w:rsid w:val="00257EFD"/>
    <w:rsid w:val="00257F49"/>
    <w:rsid w:val="0026188D"/>
    <w:rsid w:val="002629D7"/>
    <w:rsid w:val="00264A24"/>
    <w:rsid w:val="002662EC"/>
    <w:rsid w:val="00266530"/>
    <w:rsid w:val="002670A6"/>
    <w:rsid w:val="00267A3F"/>
    <w:rsid w:val="00267E43"/>
    <w:rsid w:val="00272022"/>
    <w:rsid w:val="002730F7"/>
    <w:rsid w:val="0027332A"/>
    <w:rsid w:val="00273370"/>
    <w:rsid w:val="00273B4C"/>
    <w:rsid w:val="002744FC"/>
    <w:rsid w:val="00274C13"/>
    <w:rsid w:val="00275587"/>
    <w:rsid w:val="00277467"/>
    <w:rsid w:val="00277B11"/>
    <w:rsid w:val="00277D4D"/>
    <w:rsid w:val="002809FD"/>
    <w:rsid w:val="00281791"/>
    <w:rsid w:val="0028390D"/>
    <w:rsid w:val="00283C3D"/>
    <w:rsid w:val="0028513E"/>
    <w:rsid w:val="002855A7"/>
    <w:rsid w:val="00286202"/>
    <w:rsid w:val="002867DE"/>
    <w:rsid w:val="0028681C"/>
    <w:rsid w:val="002918FA"/>
    <w:rsid w:val="002935BC"/>
    <w:rsid w:val="00293683"/>
    <w:rsid w:val="002951AF"/>
    <w:rsid w:val="00295216"/>
    <w:rsid w:val="0029792B"/>
    <w:rsid w:val="002A01BB"/>
    <w:rsid w:val="002A0AEB"/>
    <w:rsid w:val="002A128A"/>
    <w:rsid w:val="002A5A8F"/>
    <w:rsid w:val="002A7798"/>
    <w:rsid w:val="002B0CCE"/>
    <w:rsid w:val="002B1077"/>
    <w:rsid w:val="002B2FD1"/>
    <w:rsid w:val="002B30B7"/>
    <w:rsid w:val="002B38BB"/>
    <w:rsid w:val="002B4976"/>
    <w:rsid w:val="002B4A24"/>
    <w:rsid w:val="002C0FD7"/>
    <w:rsid w:val="002C12EA"/>
    <w:rsid w:val="002C2309"/>
    <w:rsid w:val="002C244F"/>
    <w:rsid w:val="002C3319"/>
    <w:rsid w:val="002C4E1D"/>
    <w:rsid w:val="002C50E4"/>
    <w:rsid w:val="002C5BAF"/>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0C5"/>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51FE"/>
    <w:rsid w:val="0030649B"/>
    <w:rsid w:val="00311232"/>
    <w:rsid w:val="0031202E"/>
    <w:rsid w:val="00315E69"/>
    <w:rsid w:val="003170D9"/>
    <w:rsid w:val="00317293"/>
    <w:rsid w:val="003208A7"/>
    <w:rsid w:val="00321215"/>
    <w:rsid w:val="0032314B"/>
    <w:rsid w:val="003232D2"/>
    <w:rsid w:val="00323F4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3EE5"/>
    <w:rsid w:val="0034418F"/>
    <w:rsid w:val="003465B6"/>
    <w:rsid w:val="003469B7"/>
    <w:rsid w:val="00347669"/>
    <w:rsid w:val="003476E6"/>
    <w:rsid w:val="00351207"/>
    <w:rsid w:val="00352A49"/>
    <w:rsid w:val="0035350A"/>
    <w:rsid w:val="00354269"/>
    <w:rsid w:val="00355046"/>
    <w:rsid w:val="003559BB"/>
    <w:rsid w:val="00355A4D"/>
    <w:rsid w:val="003568CD"/>
    <w:rsid w:val="00356CE3"/>
    <w:rsid w:val="003574E3"/>
    <w:rsid w:val="00357FA2"/>
    <w:rsid w:val="003620D6"/>
    <w:rsid w:val="00362982"/>
    <w:rsid w:val="00362BED"/>
    <w:rsid w:val="00362D08"/>
    <w:rsid w:val="0036314E"/>
    <w:rsid w:val="00363801"/>
    <w:rsid w:val="00364ACE"/>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2D5"/>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401B"/>
    <w:rsid w:val="003C64D3"/>
    <w:rsid w:val="003D01CA"/>
    <w:rsid w:val="003D155E"/>
    <w:rsid w:val="003D201B"/>
    <w:rsid w:val="003D4DC5"/>
    <w:rsid w:val="003D5042"/>
    <w:rsid w:val="003E0334"/>
    <w:rsid w:val="003E0F4B"/>
    <w:rsid w:val="003E1642"/>
    <w:rsid w:val="003E2426"/>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AD0"/>
    <w:rsid w:val="003F5B6A"/>
    <w:rsid w:val="003F6875"/>
    <w:rsid w:val="004007BD"/>
    <w:rsid w:val="004009E1"/>
    <w:rsid w:val="004017CC"/>
    <w:rsid w:val="00402E76"/>
    <w:rsid w:val="00403150"/>
    <w:rsid w:val="00406281"/>
    <w:rsid w:val="0040675D"/>
    <w:rsid w:val="00406AE8"/>
    <w:rsid w:val="00406F98"/>
    <w:rsid w:val="00410CE6"/>
    <w:rsid w:val="00411D91"/>
    <w:rsid w:val="00412EB7"/>
    <w:rsid w:val="00413576"/>
    <w:rsid w:val="00417591"/>
    <w:rsid w:val="00420040"/>
    <w:rsid w:val="00420907"/>
    <w:rsid w:val="00420EB0"/>
    <w:rsid w:val="0042117F"/>
    <w:rsid w:val="00424594"/>
    <w:rsid w:val="00425F70"/>
    <w:rsid w:val="004262CB"/>
    <w:rsid w:val="00426456"/>
    <w:rsid w:val="00426EFC"/>
    <w:rsid w:val="004300B1"/>
    <w:rsid w:val="00431972"/>
    <w:rsid w:val="00432334"/>
    <w:rsid w:val="00432942"/>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05CE"/>
    <w:rsid w:val="00480FAD"/>
    <w:rsid w:val="004814A9"/>
    <w:rsid w:val="004826E8"/>
    <w:rsid w:val="004833C9"/>
    <w:rsid w:val="004834B7"/>
    <w:rsid w:val="00484394"/>
    <w:rsid w:val="00485D80"/>
    <w:rsid w:val="0048694D"/>
    <w:rsid w:val="004919A9"/>
    <w:rsid w:val="004928C6"/>
    <w:rsid w:val="00492C64"/>
    <w:rsid w:val="0049319A"/>
    <w:rsid w:val="004968B8"/>
    <w:rsid w:val="00496A09"/>
    <w:rsid w:val="004A019B"/>
    <w:rsid w:val="004A0BC2"/>
    <w:rsid w:val="004A174D"/>
    <w:rsid w:val="004A190C"/>
    <w:rsid w:val="004A2A50"/>
    <w:rsid w:val="004A3BA8"/>
    <w:rsid w:val="004A440C"/>
    <w:rsid w:val="004A4D28"/>
    <w:rsid w:val="004A58B0"/>
    <w:rsid w:val="004A5A25"/>
    <w:rsid w:val="004A607F"/>
    <w:rsid w:val="004A7830"/>
    <w:rsid w:val="004B248D"/>
    <w:rsid w:val="004B2CE9"/>
    <w:rsid w:val="004B3B3B"/>
    <w:rsid w:val="004B4705"/>
    <w:rsid w:val="004B5872"/>
    <w:rsid w:val="004B59F4"/>
    <w:rsid w:val="004B5E08"/>
    <w:rsid w:val="004B6525"/>
    <w:rsid w:val="004B733D"/>
    <w:rsid w:val="004B756C"/>
    <w:rsid w:val="004C0B6D"/>
    <w:rsid w:val="004C15EB"/>
    <w:rsid w:val="004C342E"/>
    <w:rsid w:val="004C36FF"/>
    <w:rsid w:val="004C5FB6"/>
    <w:rsid w:val="004C6AF5"/>
    <w:rsid w:val="004C73D5"/>
    <w:rsid w:val="004C77C0"/>
    <w:rsid w:val="004D028B"/>
    <w:rsid w:val="004D052F"/>
    <w:rsid w:val="004D07C1"/>
    <w:rsid w:val="004D0CDC"/>
    <w:rsid w:val="004D362A"/>
    <w:rsid w:val="004D409D"/>
    <w:rsid w:val="004D42AA"/>
    <w:rsid w:val="004D44E2"/>
    <w:rsid w:val="004D5BF3"/>
    <w:rsid w:val="004D5E07"/>
    <w:rsid w:val="004D62B3"/>
    <w:rsid w:val="004D6E35"/>
    <w:rsid w:val="004D6E40"/>
    <w:rsid w:val="004D7B7E"/>
    <w:rsid w:val="004E1425"/>
    <w:rsid w:val="004E168C"/>
    <w:rsid w:val="004E3A55"/>
    <w:rsid w:val="004E416E"/>
    <w:rsid w:val="004F1161"/>
    <w:rsid w:val="004F1488"/>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9C6"/>
    <w:rsid w:val="00520C30"/>
    <w:rsid w:val="00521467"/>
    <w:rsid w:val="005215B1"/>
    <w:rsid w:val="00521E23"/>
    <w:rsid w:val="00530046"/>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2FB9"/>
    <w:rsid w:val="00553C00"/>
    <w:rsid w:val="005546F0"/>
    <w:rsid w:val="0055485C"/>
    <w:rsid w:val="0055729E"/>
    <w:rsid w:val="0056422E"/>
    <w:rsid w:val="00564827"/>
    <w:rsid w:val="00564ED6"/>
    <w:rsid w:val="00566198"/>
    <w:rsid w:val="00566C4E"/>
    <w:rsid w:val="00570182"/>
    <w:rsid w:val="005714A5"/>
    <w:rsid w:val="005717E3"/>
    <w:rsid w:val="00571FBE"/>
    <w:rsid w:val="00573733"/>
    <w:rsid w:val="00575F6B"/>
    <w:rsid w:val="0057600E"/>
    <w:rsid w:val="005808AD"/>
    <w:rsid w:val="005809A1"/>
    <w:rsid w:val="00581C19"/>
    <w:rsid w:val="00583BE7"/>
    <w:rsid w:val="00585BBD"/>
    <w:rsid w:val="00586A57"/>
    <w:rsid w:val="005870D3"/>
    <w:rsid w:val="005875F4"/>
    <w:rsid w:val="00590251"/>
    <w:rsid w:val="0059099C"/>
    <w:rsid w:val="00590F56"/>
    <w:rsid w:val="00592879"/>
    <w:rsid w:val="0059399D"/>
    <w:rsid w:val="00593BDA"/>
    <w:rsid w:val="00594354"/>
    <w:rsid w:val="00595DF0"/>
    <w:rsid w:val="0059686C"/>
    <w:rsid w:val="00596FA2"/>
    <w:rsid w:val="005A0FB6"/>
    <w:rsid w:val="005A1083"/>
    <w:rsid w:val="005A117F"/>
    <w:rsid w:val="005A2814"/>
    <w:rsid w:val="005A44FF"/>
    <w:rsid w:val="005A4EE3"/>
    <w:rsid w:val="005A5E19"/>
    <w:rsid w:val="005A6048"/>
    <w:rsid w:val="005A60E6"/>
    <w:rsid w:val="005B1596"/>
    <w:rsid w:val="005B49D9"/>
    <w:rsid w:val="005B4E22"/>
    <w:rsid w:val="005B5103"/>
    <w:rsid w:val="005B5654"/>
    <w:rsid w:val="005B57CD"/>
    <w:rsid w:val="005C1BF0"/>
    <w:rsid w:val="005C5AE5"/>
    <w:rsid w:val="005C69B5"/>
    <w:rsid w:val="005C6A11"/>
    <w:rsid w:val="005C74E9"/>
    <w:rsid w:val="005C7C86"/>
    <w:rsid w:val="005D0FA4"/>
    <w:rsid w:val="005D1DD0"/>
    <w:rsid w:val="005D245C"/>
    <w:rsid w:val="005D2B5F"/>
    <w:rsid w:val="005D6343"/>
    <w:rsid w:val="005D635C"/>
    <w:rsid w:val="005D6524"/>
    <w:rsid w:val="005D6578"/>
    <w:rsid w:val="005D6C2E"/>
    <w:rsid w:val="005D7384"/>
    <w:rsid w:val="005E3853"/>
    <w:rsid w:val="005E3A58"/>
    <w:rsid w:val="005E5120"/>
    <w:rsid w:val="005E5C58"/>
    <w:rsid w:val="005E6C37"/>
    <w:rsid w:val="005E7206"/>
    <w:rsid w:val="005F040B"/>
    <w:rsid w:val="005F12A6"/>
    <w:rsid w:val="005F18C3"/>
    <w:rsid w:val="005F206C"/>
    <w:rsid w:val="005F289B"/>
    <w:rsid w:val="005F52AE"/>
    <w:rsid w:val="005F54D1"/>
    <w:rsid w:val="005F5A77"/>
    <w:rsid w:val="005F6B7B"/>
    <w:rsid w:val="006003B4"/>
    <w:rsid w:val="006005F3"/>
    <w:rsid w:val="006034D0"/>
    <w:rsid w:val="00604613"/>
    <w:rsid w:val="00604F20"/>
    <w:rsid w:val="00605675"/>
    <w:rsid w:val="006060B4"/>
    <w:rsid w:val="00606F06"/>
    <w:rsid w:val="0061056B"/>
    <w:rsid w:val="00611B86"/>
    <w:rsid w:val="00612757"/>
    <w:rsid w:val="00613AE3"/>
    <w:rsid w:val="00615DB1"/>
    <w:rsid w:val="00616798"/>
    <w:rsid w:val="006200C2"/>
    <w:rsid w:val="00621A72"/>
    <w:rsid w:val="00621D5D"/>
    <w:rsid w:val="0062262A"/>
    <w:rsid w:val="00624808"/>
    <w:rsid w:val="00624DF1"/>
    <w:rsid w:val="006254FE"/>
    <w:rsid w:val="00626084"/>
    <w:rsid w:val="006260FD"/>
    <w:rsid w:val="00626A7F"/>
    <w:rsid w:val="006277F9"/>
    <w:rsid w:val="00630C24"/>
    <w:rsid w:val="0063194A"/>
    <w:rsid w:val="00631AC0"/>
    <w:rsid w:val="00632DE2"/>
    <w:rsid w:val="00633EFC"/>
    <w:rsid w:val="00634669"/>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1EF6"/>
    <w:rsid w:val="00653B29"/>
    <w:rsid w:val="00655311"/>
    <w:rsid w:val="00655A3A"/>
    <w:rsid w:val="00657F96"/>
    <w:rsid w:val="00660394"/>
    <w:rsid w:val="00660AD9"/>
    <w:rsid w:val="00660D21"/>
    <w:rsid w:val="00660E30"/>
    <w:rsid w:val="006613B1"/>
    <w:rsid w:val="006615B5"/>
    <w:rsid w:val="006630E2"/>
    <w:rsid w:val="0066361C"/>
    <w:rsid w:val="00663761"/>
    <w:rsid w:val="00663BC7"/>
    <w:rsid w:val="00663F57"/>
    <w:rsid w:val="00665E7B"/>
    <w:rsid w:val="00665F37"/>
    <w:rsid w:val="006666DF"/>
    <w:rsid w:val="00667D74"/>
    <w:rsid w:val="00667EC1"/>
    <w:rsid w:val="0067091C"/>
    <w:rsid w:val="006709F9"/>
    <w:rsid w:val="0067199B"/>
    <w:rsid w:val="00672A6A"/>
    <w:rsid w:val="006737A4"/>
    <w:rsid w:val="00673DC8"/>
    <w:rsid w:val="00674819"/>
    <w:rsid w:val="00674977"/>
    <w:rsid w:val="0067576A"/>
    <w:rsid w:val="00677A64"/>
    <w:rsid w:val="0068120B"/>
    <w:rsid w:val="0068170B"/>
    <w:rsid w:val="006826D3"/>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2747"/>
    <w:rsid w:val="006B3BFF"/>
    <w:rsid w:val="006B4748"/>
    <w:rsid w:val="006B4BCE"/>
    <w:rsid w:val="006B6662"/>
    <w:rsid w:val="006B6B2B"/>
    <w:rsid w:val="006B73AE"/>
    <w:rsid w:val="006C03D4"/>
    <w:rsid w:val="006C0A5F"/>
    <w:rsid w:val="006C2886"/>
    <w:rsid w:val="006C2926"/>
    <w:rsid w:val="006C3F59"/>
    <w:rsid w:val="006C53FE"/>
    <w:rsid w:val="006C5463"/>
    <w:rsid w:val="006C6EA5"/>
    <w:rsid w:val="006D01EF"/>
    <w:rsid w:val="006D4335"/>
    <w:rsid w:val="006D530A"/>
    <w:rsid w:val="006D61F7"/>
    <w:rsid w:val="006D6718"/>
    <w:rsid w:val="006D73DD"/>
    <w:rsid w:val="006D775F"/>
    <w:rsid w:val="006D794F"/>
    <w:rsid w:val="006E2980"/>
    <w:rsid w:val="006E4130"/>
    <w:rsid w:val="006F09AF"/>
    <w:rsid w:val="006F188B"/>
    <w:rsid w:val="006F3CF2"/>
    <w:rsid w:val="006F41B5"/>
    <w:rsid w:val="006F621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0C6"/>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57D39"/>
    <w:rsid w:val="007615E8"/>
    <w:rsid w:val="00761C4D"/>
    <w:rsid w:val="0076294D"/>
    <w:rsid w:val="007631FD"/>
    <w:rsid w:val="0076436A"/>
    <w:rsid w:val="00770373"/>
    <w:rsid w:val="007709A2"/>
    <w:rsid w:val="00774449"/>
    <w:rsid w:val="0077493A"/>
    <w:rsid w:val="00774BAD"/>
    <w:rsid w:val="00774D5C"/>
    <w:rsid w:val="007751E3"/>
    <w:rsid w:val="00775364"/>
    <w:rsid w:val="00775D18"/>
    <w:rsid w:val="00780651"/>
    <w:rsid w:val="00781C2D"/>
    <w:rsid w:val="00784381"/>
    <w:rsid w:val="00784D75"/>
    <w:rsid w:val="007903C9"/>
    <w:rsid w:val="0079259D"/>
    <w:rsid w:val="00796FE3"/>
    <w:rsid w:val="0079701F"/>
    <w:rsid w:val="007A0068"/>
    <w:rsid w:val="007A2057"/>
    <w:rsid w:val="007A2FD9"/>
    <w:rsid w:val="007A314A"/>
    <w:rsid w:val="007A43B5"/>
    <w:rsid w:val="007A46F4"/>
    <w:rsid w:val="007A5A0F"/>
    <w:rsid w:val="007B06F5"/>
    <w:rsid w:val="007B0C01"/>
    <w:rsid w:val="007B12E5"/>
    <w:rsid w:val="007B2BFC"/>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5D6C"/>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ABB"/>
    <w:rsid w:val="0080237D"/>
    <w:rsid w:val="0080290C"/>
    <w:rsid w:val="00802E5A"/>
    <w:rsid w:val="008041EC"/>
    <w:rsid w:val="0080482B"/>
    <w:rsid w:val="0080681C"/>
    <w:rsid w:val="00806A52"/>
    <w:rsid w:val="00810262"/>
    <w:rsid w:val="0081057F"/>
    <w:rsid w:val="00810B57"/>
    <w:rsid w:val="00812B31"/>
    <w:rsid w:val="008132C8"/>
    <w:rsid w:val="00813EC8"/>
    <w:rsid w:val="0081540A"/>
    <w:rsid w:val="008179D4"/>
    <w:rsid w:val="00817D1F"/>
    <w:rsid w:val="00817F2E"/>
    <w:rsid w:val="0082045A"/>
    <w:rsid w:val="00820487"/>
    <w:rsid w:val="00821EE9"/>
    <w:rsid w:val="0082259A"/>
    <w:rsid w:val="0083008F"/>
    <w:rsid w:val="00831E29"/>
    <w:rsid w:val="0083243A"/>
    <w:rsid w:val="0083261C"/>
    <w:rsid w:val="00835672"/>
    <w:rsid w:val="00837ED7"/>
    <w:rsid w:val="00841023"/>
    <w:rsid w:val="00841629"/>
    <w:rsid w:val="00841B5D"/>
    <w:rsid w:val="00841B7B"/>
    <w:rsid w:val="00843632"/>
    <w:rsid w:val="00843A04"/>
    <w:rsid w:val="00845FF7"/>
    <w:rsid w:val="008465ED"/>
    <w:rsid w:val="00846C2F"/>
    <w:rsid w:val="00846CC6"/>
    <w:rsid w:val="00850489"/>
    <w:rsid w:val="00854E32"/>
    <w:rsid w:val="00855731"/>
    <w:rsid w:val="00856195"/>
    <w:rsid w:val="00856AB7"/>
    <w:rsid w:val="00856B38"/>
    <w:rsid w:val="008578F1"/>
    <w:rsid w:val="00860641"/>
    <w:rsid w:val="0086079D"/>
    <w:rsid w:val="0086161F"/>
    <w:rsid w:val="00862C4C"/>
    <w:rsid w:val="00862CB3"/>
    <w:rsid w:val="0086469A"/>
    <w:rsid w:val="008650F5"/>
    <w:rsid w:val="00865C42"/>
    <w:rsid w:val="00866D95"/>
    <w:rsid w:val="008706FB"/>
    <w:rsid w:val="00871594"/>
    <w:rsid w:val="00871F74"/>
    <w:rsid w:val="0087447F"/>
    <w:rsid w:val="0087454F"/>
    <w:rsid w:val="00875C73"/>
    <w:rsid w:val="008760E0"/>
    <w:rsid w:val="00876BEA"/>
    <w:rsid w:val="00876C7C"/>
    <w:rsid w:val="00877CDA"/>
    <w:rsid w:val="00877ECE"/>
    <w:rsid w:val="008806CC"/>
    <w:rsid w:val="008807FB"/>
    <w:rsid w:val="00880CDC"/>
    <w:rsid w:val="0088140B"/>
    <w:rsid w:val="00881DC0"/>
    <w:rsid w:val="0088453E"/>
    <w:rsid w:val="0088486A"/>
    <w:rsid w:val="00884F8B"/>
    <w:rsid w:val="0088723B"/>
    <w:rsid w:val="0088771D"/>
    <w:rsid w:val="00890223"/>
    <w:rsid w:val="00890E94"/>
    <w:rsid w:val="00891D94"/>
    <w:rsid w:val="00893FE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2CA"/>
    <w:rsid w:val="008D3583"/>
    <w:rsid w:val="008D491D"/>
    <w:rsid w:val="008D56E5"/>
    <w:rsid w:val="008D588A"/>
    <w:rsid w:val="008D637E"/>
    <w:rsid w:val="008D695E"/>
    <w:rsid w:val="008D7630"/>
    <w:rsid w:val="008E085A"/>
    <w:rsid w:val="008E1310"/>
    <w:rsid w:val="008E1D6C"/>
    <w:rsid w:val="008E2EAB"/>
    <w:rsid w:val="008E2F05"/>
    <w:rsid w:val="008E3026"/>
    <w:rsid w:val="008E3353"/>
    <w:rsid w:val="008E478F"/>
    <w:rsid w:val="008E4A66"/>
    <w:rsid w:val="008E4B15"/>
    <w:rsid w:val="008E5177"/>
    <w:rsid w:val="008E7324"/>
    <w:rsid w:val="008E760D"/>
    <w:rsid w:val="008E7653"/>
    <w:rsid w:val="008E7F2E"/>
    <w:rsid w:val="008F05B9"/>
    <w:rsid w:val="008F07EB"/>
    <w:rsid w:val="008F1839"/>
    <w:rsid w:val="008F1D96"/>
    <w:rsid w:val="008F2BA0"/>
    <w:rsid w:val="008F2BF9"/>
    <w:rsid w:val="008F2E02"/>
    <w:rsid w:val="008F2E11"/>
    <w:rsid w:val="008F3169"/>
    <w:rsid w:val="008F429C"/>
    <w:rsid w:val="008F42B2"/>
    <w:rsid w:val="008F49F0"/>
    <w:rsid w:val="008F5017"/>
    <w:rsid w:val="008F5C81"/>
    <w:rsid w:val="008F5F4C"/>
    <w:rsid w:val="008F64EC"/>
    <w:rsid w:val="008F6FBC"/>
    <w:rsid w:val="008F7543"/>
    <w:rsid w:val="008F7C7F"/>
    <w:rsid w:val="008F7F60"/>
    <w:rsid w:val="00901A19"/>
    <w:rsid w:val="00901DE4"/>
    <w:rsid w:val="00902665"/>
    <w:rsid w:val="0090363F"/>
    <w:rsid w:val="0090411E"/>
    <w:rsid w:val="009041DF"/>
    <w:rsid w:val="0090457A"/>
    <w:rsid w:val="00904673"/>
    <w:rsid w:val="00904FD8"/>
    <w:rsid w:val="0090520F"/>
    <w:rsid w:val="0090717F"/>
    <w:rsid w:val="00907C37"/>
    <w:rsid w:val="009105D6"/>
    <w:rsid w:val="009134B8"/>
    <w:rsid w:val="00914303"/>
    <w:rsid w:val="00914649"/>
    <w:rsid w:val="009159C9"/>
    <w:rsid w:val="00915E3C"/>
    <w:rsid w:val="00915E3F"/>
    <w:rsid w:val="0092188E"/>
    <w:rsid w:val="00922528"/>
    <w:rsid w:val="00923E4E"/>
    <w:rsid w:val="00924DB3"/>
    <w:rsid w:val="00924EA9"/>
    <w:rsid w:val="0092516A"/>
    <w:rsid w:val="00925ADD"/>
    <w:rsid w:val="00931150"/>
    <w:rsid w:val="00932585"/>
    <w:rsid w:val="00932955"/>
    <w:rsid w:val="00933519"/>
    <w:rsid w:val="00933768"/>
    <w:rsid w:val="00934DBD"/>
    <w:rsid w:val="00935269"/>
    <w:rsid w:val="00936065"/>
    <w:rsid w:val="009365F8"/>
    <w:rsid w:val="00936A99"/>
    <w:rsid w:val="00936FFE"/>
    <w:rsid w:val="009447D0"/>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67B32"/>
    <w:rsid w:val="00971B7B"/>
    <w:rsid w:val="00971E70"/>
    <w:rsid w:val="009725A8"/>
    <w:rsid w:val="00972F0C"/>
    <w:rsid w:val="00973E83"/>
    <w:rsid w:val="00974F4F"/>
    <w:rsid w:val="0097620E"/>
    <w:rsid w:val="009775F8"/>
    <w:rsid w:val="00980BB2"/>
    <w:rsid w:val="009814ED"/>
    <w:rsid w:val="00982A50"/>
    <w:rsid w:val="00984492"/>
    <w:rsid w:val="009845D1"/>
    <w:rsid w:val="00984CE7"/>
    <w:rsid w:val="0098536C"/>
    <w:rsid w:val="00985783"/>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A61D2"/>
    <w:rsid w:val="009B077C"/>
    <w:rsid w:val="009B0F8C"/>
    <w:rsid w:val="009B0FAE"/>
    <w:rsid w:val="009B5512"/>
    <w:rsid w:val="009B5ED7"/>
    <w:rsid w:val="009B6566"/>
    <w:rsid w:val="009B68AC"/>
    <w:rsid w:val="009B7BDB"/>
    <w:rsid w:val="009B7C67"/>
    <w:rsid w:val="009C1522"/>
    <w:rsid w:val="009C2A94"/>
    <w:rsid w:val="009C2AAE"/>
    <w:rsid w:val="009C2E56"/>
    <w:rsid w:val="009C306D"/>
    <w:rsid w:val="009C3631"/>
    <w:rsid w:val="009C5BAB"/>
    <w:rsid w:val="009C5D21"/>
    <w:rsid w:val="009C5F28"/>
    <w:rsid w:val="009C6DD9"/>
    <w:rsid w:val="009C7810"/>
    <w:rsid w:val="009C796B"/>
    <w:rsid w:val="009C7F7F"/>
    <w:rsid w:val="009D001F"/>
    <w:rsid w:val="009D0154"/>
    <w:rsid w:val="009D0F0E"/>
    <w:rsid w:val="009D212E"/>
    <w:rsid w:val="009D3B21"/>
    <w:rsid w:val="009D4CC3"/>
    <w:rsid w:val="009D6C91"/>
    <w:rsid w:val="009D6F03"/>
    <w:rsid w:val="009E0A1F"/>
    <w:rsid w:val="009E0A8A"/>
    <w:rsid w:val="009E0F4E"/>
    <w:rsid w:val="009E1340"/>
    <w:rsid w:val="009E3423"/>
    <w:rsid w:val="009E43A3"/>
    <w:rsid w:val="009E5052"/>
    <w:rsid w:val="009E67C7"/>
    <w:rsid w:val="009E6B06"/>
    <w:rsid w:val="009E6F07"/>
    <w:rsid w:val="009F05F8"/>
    <w:rsid w:val="009F0CD6"/>
    <w:rsid w:val="009F3CAE"/>
    <w:rsid w:val="009F4E8E"/>
    <w:rsid w:val="009F4F29"/>
    <w:rsid w:val="009F6351"/>
    <w:rsid w:val="009F7950"/>
    <w:rsid w:val="009F7966"/>
    <w:rsid w:val="009F7E3B"/>
    <w:rsid w:val="00A00195"/>
    <w:rsid w:val="00A018C6"/>
    <w:rsid w:val="00A025FD"/>
    <w:rsid w:val="00A02F59"/>
    <w:rsid w:val="00A03329"/>
    <w:rsid w:val="00A03FB3"/>
    <w:rsid w:val="00A05574"/>
    <w:rsid w:val="00A06234"/>
    <w:rsid w:val="00A109C5"/>
    <w:rsid w:val="00A12E2E"/>
    <w:rsid w:val="00A156E8"/>
    <w:rsid w:val="00A16A00"/>
    <w:rsid w:val="00A2159D"/>
    <w:rsid w:val="00A24409"/>
    <w:rsid w:val="00A2587D"/>
    <w:rsid w:val="00A26305"/>
    <w:rsid w:val="00A27C17"/>
    <w:rsid w:val="00A30720"/>
    <w:rsid w:val="00A310E2"/>
    <w:rsid w:val="00A314A1"/>
    <w:rsid w:val="00A32E7B"/>
    <w:rsid w:val="00A33248"/>
    <w:rsid w:val="00A33A2C"/>
    <w:rsid w:val="00A34C91"/>
    <w:rsid w:val="00A35378"/>
    <w:rsid w:val="00A3617A"/>
    <w:rsid w:val="00A36425"/>
    <w:rsid w:val="00A40251"/>
    <w:rsid w:val="00A402C5"/>
    <w:rsid w:val="00A410B7"/>
    <w:rsid w:val="00A41E05"/>
    <w:rsid w:val="00A42271"/>
    <w:rsid w:val="00A42FAF"/>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6B3"/>
    <w:rsid w:val="00A62F73"/>
    <w:rsid w:val="00A636BB"/>
    <w:rsid w:val="00A64B12"/>
    <w:rsid w:val="00A65B0E"/>
    <w:rsid w:val="00A66A84"/>
    <w:rsid w:val="00A66F75"/>
    <w:rsid w:val="00A670C2"/>
    <w:rsid w:val="00A67EF3"/>
    <w:rsid w:val="00A67F3D"/>
    <w:rsid w:val="00A70399"/>
    <w:rsid w:val="00A70AD3"/>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3FB2"/>
    <w:rsid w:val="00A95A3B"/>
    <w:rsid w:val="00A97093"/>
    <w:rsid w:val="00AA33E5"/>
    <w:rsid w:val="00AA395F"/>
    <w:rsid w:val="00AA46E8"/>
    <w:rsid w:val="00AA4D5B"/>
    <w:rsid w:val="00AA56C4"/>
    <w:rsid w:val="00AA71DA"/>
    <w:rsid w:val="00AA77FE"/>
    <w:rsid w:val="00AB0290"/>
    <w:rsid w:val="00AB0693"/>
    <w:rsid w:val="00AB19B0"/>
    <w:rsid w:val="00AB2868"/>
    <w:rsid w:val="00AB4E1F"/>
    <w:rsid w:val="00AB57B7"/>
    <w:rsid w:val="00AB657A"/>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782"/>
    <w:rsid w:val="00B14963"/>
    <w:rsid w:val="00B15CED"/>
    <w:rsid w:val="00B16D47"/>
    <w:rsid w:val="00B17A7C"/>
    <w:rsid w:val="00B20A8B"/>
    <w:rsid w:val="00B20FE4"/>
    <w:rsid w:val="00B21D6A"/>
    <w:rsid w:val="00B21E81"/>
    <w:rsid w:val="00B22952"/>
    <w:rsid w:val="00B22B96"/>
    <w:rsid w:val="00B22E2D"/>
    <w:rsid w:val="00B233EB"/>
    <w:rsid w:val="00B239DC"/>
    <w:rsid w:val="00B23CC5"/>
    <w:rsid w:val="00B24CAF"/>
    <w:rsid w:val="00B250DA"/>
    <w:rsid w:val="00B27786"/>
    <w:rsid w:val="00B302CE"/>
    <w:rsid w:val="00B349A1"/>
    <w:rsid w:val="00B34CBD"/>
    <w:rsid w:val="00B352AB"/>
    <w:rsid w:val="00B35416"/>
    <w:rsid w:val="00B36231"/>
    <w:rsid w:val="00B3738E"/>
    <w:rsid w:val="00B420FB"/>
    <w:rsid w:val="00B43B99"/>
    <w:rsid w:val="00B43F30"/>
    <w:rsid w:val="00B43FB4"/>
    <w:rsid w:val="00B444AA"/>
    <w:rsid w:val="00B44A44"/>
    <w:rsid w:val="00B518E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1E91"/>
    <w:rsid w:val="00B73964"/>
    <w:rsid w:val="00B7481E"/>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19D"/>
    <w:rsid w:val="00BA59B6"/>
    <w:rsid w:val="00BA7835"/>
    <w:rsid w:val="00BA7B3B"/>
    <w:rsid w:val="00BA7E0C"/>
    <w:rsid w:val="00BB0C1C"/>
    <w:rsid w:val="00BB1A51"/>
    <w:rsid w:val="00BB2088"/>
    <w:rsid w:val="00BB2AFF"/>
    <w:rsid w:val="00BB321C"/>
    <w:rsid w:val="00BB324A"/>
    <w:rsid w:val="00BB332E"/>
    <w:rsid w:val="00BB4FCA"/>
    <w:rsid w:val="00BB5F00"/>
    <w:rsid w:val="00BB7B60"/>
    <w:rsid w:val="00BC0024"/>
    <w:rsid w:val="00BC1AB4"/>
    <w:rsid w:val="00BC1E23"/>
    <w:rsid w:val="00BC55A3"/>
    <w:rsid w:val="00BC6D6D"/>
    <w:rsid w:val="00BC713B"/>
    <w:rsid w:val="00BC7196"/>
    <w:rsid w:val="00BD014C"/>
    <w:rsid w:val="00BD0F47"/>
    <w:rsid w:val="00BD1018"/>
    <w:rsid w:val="00BD184C"/>
    <w:rsid w:val="00BD2474"/>
    <w:rsid w:val="00BD272C"/>
    <w:rsid w:val="00BD35DE"/>
    <w:rsid w:val="00BD37A9"/>
    <w:rsid w:val="00BD38F6"/>
    <w:rsid w:val="00BD52C2"/>
    <w:rsid w:val="00BD6990"/>
    <w:rsid w:val="00BD73B9"/>
    <w:rsid w:val="00BD7C4C"/>
    <w:rsid w:val="00BD7EF4"/>
    <w:rsid w:val="00BE1BC5"/>
    <w:rsid w:val="00BE24BF"/>
    <w:rsid w:val="00BE3152"/>
    <w:rsid w:val="00BE4DEB"/>
    <w:rsid w:val="00BE5DAE"/>
    <w:rsid w:val="00BE5E37"/>
    <w:rsid w:val="00BE61C0"/>
    <w:rsid w:val="00BE6B6C"/>
    <w:rsid w:val="00BF0AA4"/>
    <w:rsid w:val="00BF0D14"/>
    <w:rsid w:val="00BF10C6"/>
    <w:rsid w:val="00BF126E"/>
    <w:rsid w:val="00BF2FDE"/>
    <w:rsid w:val="00BF3D9F"/>
    <w:rsid w:val="00BF3ED7"/>
    <w:rsid w:val="00BF4BD3"/>
    <w:rsid w:val="00BF5288"/>
    <w:rsid w:val="00BF5FD4"/>
    <w:rsid w:val="00BF6729"/>
    <w:rsid w:val="00BF7F9B"/>
    <w:rsid w:val="00BF7FA2"/>
    <w:rsid w:val="00C00879"/>
    <w:rsid w:val="00C00912"/>
    <w:rsid w:val="00C0122A"/>
    <w:rsid w:val="00C015E1"/>
    <w:rsid w:val="00C0229D"/>
    <w:rsid w:val="00C0237A"/>
    <w:rsid w:val="00C0512F"/>
    <w:rsid w:val="00C07B71"/>
    <w:rsid w:val="00C10BD2"/>
    <w:rsid w:val="00C11926"/>
    <w:rsid w:val="00C12962"/>
    <w:rsid w:val="00C129EC"/>
    <w:rsid w:val="00C13D6C"/>
    <w:rsid w:val="00C158F5"/>
    <w:rsid w:val="00C162E4"/>
    <w:rsid w:val="00C16C44"/>
    <w:rsid w:val="00C17220"/>
    <w:rsid w:val="00C17A0E"/>
    <w:rsid w:val="00C200AF"/>
    <w:rsid w:val="00C206F3"/>
    <w:rsid w:val="00C22358"/>
    <w:rsid w:val="00C22AD1"/>
    <w:rsid w:val="00C22B5D"/>
    <w:rsid w:val="00C23F9F"/>
    <w:rsid w:val="00C24147"/>
    <w:rsid w:val="00C2486C"/>
    <w:rsid w:val="00C2693B"/>
    <w:rsid w:val="00C30FC8"/>
    <w:rsid w:val="00C3185C"/>
    <w:rsid w:val="00C328F4"/>
    <w:rsid w:val="00C33F03"/>
    <w:rsid w:val="00C3412D"/>
    <w:rsid w:val="00C3657C"/>
    <w:rsid w:val="00C36614"/>
    <w:rsid w:val="00C36B66"/>
    <w:rsid w:val="00C374DA"/>
    <w:rsid w:val="00C403EA"/>
    <w:rsid w:val="00C4125E"/>
    <w:rsid w:val="00C4198D"/>
    <w:rsid w:val="00C42748"/>
    <w:rsid w:val="00C432E6"/>
    <w:rsid w:val="00C43798"/>
    <w:rsid w:val="00C4390D"/>
    <w:rsid w:val="00C45A9A"/>
    <w:rsid w:val="00C45CAF"/>
    <w:rsid w:val="00C46305"/>
    <w:rsid w:val="00C4730D"/>
    <w:rsid w:val="00C5015C"/>
    <w:rsid w:val="00C5212B"/>
    <w:rsid w:val="00C53962"/>
    <w:rsid w:val="00C539DA"/>
    <w:rsid w:val="00C55682"/>
    <w:rsid w:val="00C55887"/>
    <w:rsid w:val="00C5767A"/>
    <w:rsid w:val="00C5785E"/>
    <w:rsid w:val="00C608EE"/>
    <w:rsid w:val="00C60CB8"/>
    <w:rsid w:val="00C61774"/>
    <w:rsid w:val="00C6209B"/>
    <w:rsid w:val="00C6308B"/>
    <w:rsid w:val="00C64D81"/>
    <w:rsid w:val="00C64E8B"/>
    <w:rsid w:val="00C65868"/>
    <w:rsid w:val="00C66FC1"/>
    <w:rsid w:val="00C67F03"/>
    <w:rsid w:val="00C716EE"/>
    <w:rsid w:val="00C71C0E"/>
    <w:rsid w:val="00C71C96"/>
    <w:rsid w:val="00C726D2"/>
    <w:rsid w:val="00C746D0"/>
    <w:rsid w:val="00C754F1"/>
    <w:rsid w:val="00C760DF"/>
    <w:rsid w:val="00C76F66"/>
    <w:rsid w:val="00C77BEF"/>
    <w:rsid w:val="00C83C0A"/>
    <w:rsid w:val="00C849C4"/>
    <w:rsid w:val="00C84C92"/>
    <w:rsid w:val="00C8627A"/>
    <w:rsid w:val="00C90B0B"/>
    <w:rsid w:val="00C90CDA"/>
    <w:rsid w:val="00C91DA8"/>
    <w:rsid w:val="00C9510F"/>
    <w:rsid w:val="00C95115"/>
    <w:rsid w:val="00C969D6"/>
    <w:rsid w:val="00C96A3A"/>
    <w:rsid w:val="00C96DFF"/>
    <w:rsid w:val="00CA0B6E"/>
    <w:rsid w:val="00CA261B"/>
    <w:rsid w:val="00CA2B33"/>
    <w:rsid w:val="00CA3762"/>
    <w:rsid w:val="00CA54FC"/>
    <w:rsid w:val="00CA5B27"/>
    <w:rsid w:val="00CA5EA3"/>
    <w:rsid w:val="00CA63F8"/>
    <w:rsid w:val="00CA7071"/>
    <w:rsid w:val="00CA746B"/>
    <w:rsid w:val="00CB045E"/>
    <w:rsid w:val="00CB0681"/>
    <w:rsid w:val="00CB1934"/>
    <w:rsid w:val="00CB1A59"/>
    <w:rsid w:val="00CB1EF7"/>
    <w:rsid w:val="00CB22DB"/>
    <w:rsid w:val="00CB3229"/>
    <w:rsid w:val="00CB41CE"/>
    <w:rsid w:val="00CB7146"/>
    <w:rsid w:val="00CB7691"/>
    <w:rsid w:val="00CC0744"/>
    <w:rsid w:val="00CC1189"/>
    <w:rsid w:val="00CC4E19"/>
    <w:rsid w:val="00CC5902"/>
    <w:rsid w:val="00CC5961"/>
    <w:rsid w:val="00CC5D5B"/>
    <w:rsid w:val="00CC5F7A"/>
    <w:rsid w:val="00CD0254"/>
    <w:rsid w:val="00CD1AB3"/>
    <w:rsid w:val="00CD2EA1"/>
    <w:rsid w:val="00CD479A"/>
    <w:rsid w:val="00CD5A60"/>
    <w:rsid w:val="00CE0617"/>
    <w:rsid w:val="00CE0BC1"/>
    <w:rsid w:val="00CE1E52"/>
    <w:rsid w:val="00CE2187"/>
    <w:rsid w:val="00CE4383"/>
    <w:rsid w:val="00CE51F1"/>
    <w:rsid w:val="00CE53C4"/>
    <w:rsid w:val="00CE6974"/>
    <w:rsid w:val="00CE6C50"/>
    <w:rsid w:val="00CE71B8"/>
    <w:rsid w:val="00CE776A"/>
    <w:rsid w:val="00CF1D11"/>
    <w:rsid w:val="00CF3498"/>
    <w:rsid w:val="00CF3585"/>
    <w:rsid w:val="00CF395D"/>
    <w:rsid w:val="00CF5AD0"/>
    <w:rsid w:val="00CF5D4D"/>
    <w:rsid w:val="00D00CD5"/>
    <w:rsid w:val="00D01354"/>
    <w:rsid w:val="00D02A44"/>
    <w:rsid w:val="00D03588"/>
    <w:rsid w:val="00D041F5"/>
    <w:rsid w:val="00D051C5"/>
    <w:rsid w:val="00D05566"/>
    <w:rsid w:val="00D05737"/>
    <w:rsid w:val="00D0585C"/>
    <w:rsid w:val="00D06A3C"/>
    <w:rsid w:val="00D070F7"/>
    <w:rsid w:val="00D0763B"/>
    <w:rsid w:val="00D115D5"/>
    <w:rsid w:val="00D11ED8"/>
    <w:rsid w:val="00D14F53"/>
    <w:rsid w:val="00D173AD"/>
    <w:rsid w:val="00D20031"/>
    <w:rsid w:val="00D20374"/>
    <w:rsid w:val="00D20494"/>
    <w:rsid w:val="00D211EC"/>
    <w:rsid w:val="00D255CA"/>
    <w:rsid w:val="00D260FD"/>
    <w:rsid w:val="00D267B4"/>
    <w:rsid w:val="00D334D0"/>
    <w:rsid w:val="00D3385A"/>
    <w:rsid w:val="00D3485C"/>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75540"/>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2C88"/>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5C6"/>
    <w:rsid w:val="00DC4B44"/>
    <w:rsid w:val="00DC57F7"/>
    <w:rsid w:val="00DC59A2"/>
    <w:rsid w:val="00DC76AB"/>
    <w:rsid w:val="00DD2090"/>
    <w:rsid w:val="00DD485A"/>
    <w:rsid w:val="00DD7145"/>
    <w:rsid w:val="00DE0073"/>
    <w:rsid w:val="00DE08A2"/>
    <w:rsid w:val="00DE283F"/>
    <w:rsid w:val="00DE2B30"/>
    <w:rsid w:val="00DE2E2D"/>
    <w:rsid w:val="00DE4459"/>
    <w:rsid w:val="00DE4E1B"/>
    <w:rsid w:val="00DE5421"/>
    <w:rsid w:val="00DF0064"/>
    <w:rsid w:val="00DF0243"/>
    <w:rsid w:val="00DF0403"/>
    <w:rsid w:val="00DF0706"/>
    <w:rsid w:val="00DF0769"/>
    <w:rsid w:val="00DF0AA9"/>
    <w:rsid w:val="00DF2500"/>
    <w:rsid w:val="00DF26C7"/>
    <w:rsid w:val="00DF305B"/>
    <w:rsid w:val="00DF4130"/>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F7D"/>
    <w:rsid w:val="00E136A3"/>
    <w:rsid w:val="00E15375"/>
    <w:rsid w:val="00E15D2F"/>
    <w:rsid w:val="00E16707"/>
    <w:rsid w:val="00E16815"/>
    <w:rsid w:val="00E168B2"/>
    <w:rsid w:val="00E205A7"/>
    <w:rsid w:val="00E20BE6"/>
    <w:rsid w:val="00E21091"/>
    <w:rsid w:val="00E24552"/>
    <w:rsid w:val="00E252EA"/>
    <w:rsid w:val="00E25C1F"/>
    <w:rsid w:val="00E265F1"/>
    <w:rsid w:val="00E27892"/>
    <w:rsid w:val="00E30A3F"/>
    <w:rsid w:val="00E32D73"/>
    <w:rsid w:val="00E33544"/>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2D6D"/>
    <w:rsid w:val="00E533F1"/>
    <w:rsid w:val="00E5390D"/>
    <w:rsid w:val="00E53AF4"/>
    <w:rsid w:val="00E54BBA"/>
    <w:rsid w:val="00E56130"/>
    <w:rsid w:val="00E56CFA"/>
    <w:rsid w:val="00E62A0F"/>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4B6A"/>
    <w:rsid w:val="00E75EB8"/>
    <w:rsid w:val="00E773E8"/>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1A5B"/>
    <w:rsid w:val="00EB22BF"/>
    <w:rsid w:val="00EB60E9"/>
    <w:rsid w:val="00EB6227"/>
    <w:rsid w:val="00EB6C15"/>
    <w:rsid w:val="00EB70BB"/>
    <w:rsid w:val="00EB78AD"/>
    <w:rsid w:val="00EC0FE1"/>
    <w:rsid w:val="00EC0FE9"/>
    <w:rsid w:val="00EC1BEE"/>
    <w:rsid w:val="00EC23F9"/>
    <w:rsid w:val="00EC49F3"/>
    <w:rsid w:val="00EC4B64"/>
    <w:rsid w:val="00EC51C0"/>
    <w:rsid w:val="00EC548E"/>
    <w:rsid w:val="00EC5940"/>
    <w:rsid w:val="00EC5C0B"/>
    <w:rsid w:val="00EC688C"/>
    <w:rsid w:val="00EC6943"/>
    <w:rsid w:val="00EC6A75"/>
    <w:rsid w:val="00EC7C65"/>
    <w:rsid w:val="00ED06E1"/>
    <w:rsid w:val="00ED08DC"/>
    <w:rsid w:val="00ED1B66"/>
    <w:rsid w:val="00ED1E2A"/>
    <w:rsid w:val="00ED1EEE"/>
    <w:rsid w:val="00ED3E32"/>
    <w:rsid w:val="00ED4095"/>
    <w:rsid w:val="00ED5092"/>
    <w:rsid w:val="00ED5C48"/>
    <w:rsid w:val="00ED6505"/>
    <w:rsid w:val="00ED66B0"/>
    <w:rsid w:val="00ED7FEC"/>
    <w:rsid w:val="00EE1085"/>
    <w:rsid w:val="00EE1CE3"/>
    <w:rsid w:val="00EE2789"/>
    <w:rsid w:val="00EE2B24"/>
    <w:rsid w:val="00EE2EC8"/>
    <w:rsid w:val="00EE62F7"/>
    <w:rsid w:val="00EE657E"/>
    <w:rsid w:val="00EE67A1"/>
    <w:rsid w:val="00EF14C7"/>
    <w:rsid w:val="00EF1D3B"/>
    <w:rsid w:val="00EF3B26"/>
    <w:rsid w:val="00EF3E9B"/>
    <w:rsid w:val="00EF70D6"/>
    <w:rsid w:val="00EF7B86"/>
    <w:rsid w:val="00F0135D"/>
    <w:rsid w:val="00F0139B"/>
    <w:rsid w:val="00F01F33"/>
    <w:rsid w:val="00F022A9"/>
    <w:rsid w:val="00F0243E"/>
    <w:rsid w:val="00F0378F"/>
    <w:rsid w:val="00F03BEE"/>
    <w:rsid w:val="00F043B4"/>
    <w:rsid w:val="00F04D5A"/>
    <w:rsid w:val="00F04F8C"/>
    <w:rsid w:val="00F05273"/>
    <w:rsid w:val="00F06D73"/>
    <w:rsid w:val="00F07418"/>
    <w:rsid w:val="00F07684"/>
    <w:rsid w:val="00F1023A"/>
    <w:rsid w:val="00F15634"/>
    <w:rsid w:val="00F16D1B"/>
    <w:rsid w:val="00F16E17"/>
    <w:rsid w:val="00F1766D"/>
    <w:rsid w:val="00F17BF1"/>
    <w:rsid w:val="00F205B3"/>
    <w:rsid w:val="00F21724"/>
    <w:rsid w:val="00F232BD"/>
    <w:rsid w:val="00F23743"/>
    <w:rsid w:val="00F24F8B"/>
    <w:rsid w:val="00F32279"/>
    <w:rsid w:val="00F338AA"/>
    <w:rsid w:val="00F33E69"/>
    <w:rsid w:val="00F34EDD"/>
    <w:rsid w:val="00F35C40"/>
    <w:rsid w:val="00F366EE"/>
    <w:rsid w:val="00F36829"/>
    <w:rsid w:val="00F36AF4"/>
    <w:rsid w:val="00F40064"/>
    <w:rsid w:val="00F41B6D"/>
    <w:rsid w:val="00F449B2"/>
    <w:rsid w:val="00F4550F"/>
    <w:rsid w:val="00F45556"/>
    <w:rsid w:val="00F4596D"/>
    <w:rsid w:val="00F45D5F"/>
    <w:rsid w:val="00F462DF"/>
    <w:rsid w:val="00F533B0"/>
    <w:rsid w:val="00F552A0"/>
    <w:rsid w:val="00F56E72"/>
    <w:rsid w:val="00F5707A"/>
    <w:rsid w:val="00F60002"/>
    <w:rsid w:val="00F6044D"/>
    <w:rsid w:val="00F608DD"/>
    <w:rsid w:val="00F60F2B"/>
    <w:rsid w:val="00F61252"/>
    <w:rsid w:val="00F6182F"/>
    <w:rsid w:val="00F62842"/>
    <w:rsid w:val="00F66C0B"/>
    <w:rsid w:val="00F67902"/>
    <w:rsid w:val="00F679E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510E"/>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4577"/>
    <w:rsid w:val="00FC572B"/>
    <w:rsid w:val="00FC6962"/>
    <w:rsid w:val="00FC7D9E"/>
    <w:rsid w:val="00FD113F"/>
    <w:rsid w:val="00FD1EF9"/>
    <w:rsid w:val="00FD49D2"/>
    <w:rsid w:val="00FD6117"/>
    <w:rsid w:val="00FD6A58"/>
    <w:rsid w:val="00FD7088"/>
    <w:rsid w:val="00FD719B"/>
    <w:rsid w:val="00FD7644"/>
    <w:rsid w:val="00FE0286"/>
    <w:rsid w:val="00FE0D18"/>
    <w:rsid w:val="00FE0D71"/>
    <w:rsid w:val="00FE1899"/>
    <w:rsid w:val="00FE23FE"/>
    <w:rsid w:val="00FE32D8"/>
    <w:rsid w:val="00FE38E8"/>
    <w:rsid w:val="00FE3B0C"/>
    <w:rsid w:val="00FE3B38"/>
    <w:rsid w:val="00FE3F7E"/>
    <w:rsid w:val="00FE4AD5"/>
    <w:rsid w:val="00FE530B"/>
    <w:rsid w:val="00FE54E0"/>
    <w:rsid w:val="00FE5DE6"/>
    <w:rsid w:val="00FE6E94"/>
    <w:rsid w:val="00FE72C4"/>
    <w:rsid w:val="00FE74C6"/>
    <w:rsid w:val="00FE7CE5"/>
    <w:rsid w:val="00FF0DBE"/>
    <w:rsid w:val="00FF1BD8"/>
    <w:rsid w:val="00FF25C4"/>
    <w:rsid w:val="00FF3DAF"/>
    <w:rsid w:val="00FF3DE5"/>
    <w:rsid w:val="00FF443F"/>
    <w:rsid w:val="00FF5AA4"/>
    <w:rsid w:val="00FF7669"/>
    <w:rsid w:val="00FF7EFF"/>
    <w:rsid w:val="01042CA7"/>
    <w:rsid w:val="01136DB5"/>
    <w:rsid w:val="0118422B"/>
    <w:rsid w:val="011D017A"/>
    <w:rsid w:val="012A44D4"/>
    <w:rsid w:val="013F08BA"/>
    <w:rsid w:val="0157321E"/>
    <w:rsid w:val="015D2789"/>
    <w:rsid w:val="01710365"/>
    <w:rsid w:val="01772A9E"/>
    <w:rsid w:val="017E5A02"/>
    <w:rsid w:val="017F092E"/>
    <w:rsid w:val="01937269"/>
    <w:rsid w:val="01A85FE8"/>
    <w:rsid w:val="01B41DF8"/>
    <w:rsid w:val="01BA31C1"/>
    <w:rsid w:val="01C0058B"/>
    <w:rsid w:val="01CD7566"/>
    <w:rsid w:val="01D55085"/>
    <w:rsid w:val="01D658A3"/>
    <w:rsid w:val="01DA7E91"/>
    <w:rsid w:val="01DD498F"/>
    <w:rsid w:val="01F82835"/>
    <w:rsid w:val="01FF705E"/>
    <w:rsid w:val="0213055E"/>
    <w:rsid w:val="021533E7"/>
    <w:rsid w:val="02215CC8"/>
    <w:rsid w:val="022741A1"/>
    <w:rsid w:val="02294CFE"/>
    <w:rsid w:val="025031E6"/>
    <w:rsid w:val="02553862"/>
    <w:rsid w:val="026D058B"/>
    <w:rsid w:val="026E1E0E"/>
    <w:rsid w:val="02713C9A"/>
    <w:rsid w:val="02793573"/>
    <w:rsid w:val="02916B03"/>
    <w:rsid w:val="029B393C"/>
    <w:rsid w:val="02B04CE7"/>
    <w:rsid w:val="02C556DE"/>
    <w:rsid w:val="02D01386"/>
    <w:rsid w:val="02E028BF"/>
    <w:rsid w:val="02F2197A"/>
    <w:rsid w:val="02FA756A"/>
    <w:rsid w:val="0302498A"/>
    <w:rsid w:val="03190CB5"/>
    <w:rsid w:val="031B2C7F"/>
    <w:rsid w:val="033B1EC9"/>
    <w:rsid w:val="033F0645"/>
    <w:rsid w:val="033F70B5"/>
    <w:rsid w:val="03495DB3"/>
    <w:rsid w:val="0359372A"/>
    <w:rsid w:val="035D7CE7"/>
    <w:rsid w:val="03600692"/>
    <w:rsid w:val="03613C53"/>
    <w:rsid w:val="03731012"/>
    <w:rsid w:val="037973CF"/>
    <w:rsid w:val="03830824"/>
    <w:rsid w:val="038A4FA3"/>
    <w:rsid w:val="03987CF4"/>
    <w:rsid w:val="03A16863"/>
    <w:rsid w:val="03AC1B29"/>
    <w:rsid w:val="03C407DA"/>
    <w:rsid w:val="03C7337A"/>
    <w:rsid w:val="03D44BC0"/>
    <w:rsid w:val="03E61157"/>
    <w:rsid w:val="03FC5D64"/>
    <w:rsid w:val="040800B2"/>
    <w:rsid w:val="040D00EE"/>
    <w:rsid w:val="042042C5"/>
    <w:rsid w:val="04223B99"/>
    <w:rsid w:val="042E37EE"/>
    <w:rsid w:val="04400272"/>
    <w:rsid w:val="04447FB3"/>
    <w:rsid w:val="045126D0"/>
    <w:rsid w:val="04582332"/>
    <w:rsid w:val="04592FE1"/>
    <w:rsid w:val="04602913"/>
    <w:rsid w:val="046B18AF"/>
    <w:rsid w:val="046C7442"/>
    <w:rsid w:val="048D41B4"/>
    <w:rsid w:val="048F4B55"/>
    <w:rsid w:val="04934B59"/>
    <w:rsid w:val="04A252B4"/>
    <w:rsid w:val="04A473F6"/>
    <w:rsid w:val="04C02AB8"/>
    <w:rsid w:val="04D04B06"/>
    <w:rsid w:val="04D122E5"/>
    <w:rsid w:val="04E6106A"/>
    <w:rsid w:val="04E86B91"/>
    <w:rsid w:val="04EE705C"/>
    <w:rsid w:val="04FD35E1"/>
    <w:rsid w:val="04FF7AF4"/>
    <w:rsid w:val="0506170D"/>
    <w:rsid w:val="051B60CD"/>
    <w:rsid w:val="052A216E"/>
    <w:rsid w:val="053634AD"/>
    <w:rsid w:val="053F1F04"/>
    <w:rsid w:val="05550D59"/>
    <w:rsid w:val="055661F0"/>
    <w:rsid w:val="05666563"/>
    <w:rsid w:val="05765EB1"/>
    <w:rsid w:val="05797E16"/>
    <w:rsid w:val="05856853"/>
    <w:rsid w:val="05995CDA"/>
    <w:rsid w:val="05A33031"/>
    <w:rsid w:val="05B2719F"/>
    <w:rsid w:val="05BE2B54"/>
    <w:rsid w:val="05C04E4B"/>
    <w:rsid w:val="05C95A8D"/>
    <w:rsid w:val="05CD47B7"/>
    <w:rsid w:val="05E071CA"/>
    <w:rsid w:val="05EA6938"/>
    <w:rsid w:val="05EC07C0"/>
    <w:rsid w:val="05EC6DD5"/>
    <w:rsid w:val="05EF06BF"/>
    <w:rsid w:val="05F51031"/>
    <w:rsid w:val="06127C3D"/>
    <w:rsid w:val="061816F7"/>
    <w:rsid w:val="06245265"/>
    <w:rsid w:val="063201D2"/>
    <w:rsid w:val="063256A2"/>
    <w:rsid w:val="063302DF"/>
    <w:rsid w:val="063F1F55"/>
    <w:rsid w:val="065C05EF"/>
    <w:rsid w:val="06675445"/>
    <w:rsid w:val="067174EE"/>
    <w:rsid w:val="067259F5"/>
    <w:rsid w:val="06760E3F"/>
    <w:rsid w:val="067E51AF"/>
    <w:rsid w:val="06867AE1"/>
    <w:rsid w:val="068E2D1C"/>
    <w:rsid w:val="06964D1E"/>
    <w:rsid w:val="06AF1E70"/>
    <w:rsid w:val="06B86A37"/>
    <w:rsid w:val="06CA4C0B"/>
    <w:rsid w:val="06E206C5"/>
    <w:rsid w:val="06F832D7"/>
    <w:rsid w:val="07005C95"/>
    <w:rsid w:val="0701218C"/>
    <w:rsid w:val="070419DC"/>
    <w:rsid w:val="0708176C"/>
    <w:rsid w:val="07084943"/>
    <w:rsid w:val="07185777"/>
    <w:rsid w:val="071A4FFB"/>
    <w:rsid w:val="07287E8D"/>
    <w:rsid w:val="07293275"/>
    <w:rsid w:val="072969F5"/>
    <w:rsid w:val="073E68E9"/>
    <w:rsid w:val="074A4384"/>
    <w:rsid w:val="074C7422"/>
    <w:rsid w:val="074C7BE7"/>
    <w:rsid w:val="07677AD1"/>
    <w:rsid w:val="076A5F83"/>
    <w:rsid w:val="076E04DA"/>
    <w:rsid w:val="07944A78"/>
    <w:rsid w:val="079C3B16"/>
    <w:rsid w:val="079E55D0"/>
    <w:rsid w:val="07A92D32"/>
    <w:rsid w:val="07BC60B3"/>
    <w:rsid w:val="07D478A0"/>
    <w:rsid w:val="07D837C6"/>
    <w:rsid w:val="07F42CF5"/>
    <w:rsid w:val="08017F69"/>
    <w:rsid w:val="08097825"/>
    <w:rsid w:val="08101677"/>
    <w:rsid w:val="08125F8A"/>
    <w:rsid w:val="081465CD"/>
    <w:rsid w:val="08167EB9"/>
    <w:rsid w:val="081A0393"/>
    <w:rsid w:val="08332073"/>
    <w:rsid w:val="083974C5"/>
    <w:rsid w:val="083A3A7D"/>
    <w:rsid w:val="083E3C46"/>
    <w:rsid w:val="08401FE6"/>
    <w:rsid w:val="0858227F"/>
    <w:rsid w:val="08586AAC"/>
    <w:rsid w:val="085E720F"/>
    <w:rsid w:val="08601134"/>
    <w:rsid w:val="086329D2"/>
    <w:rsid w:val="08637291"/>
    <w:rsid w:val="0868185C"/>
    <w:rsid w:val="08701591"/>
    <w:rsid w:val="087C4470"/>
    <w:rsid w:val="088A4403"/>
    <w:rsid w:val="088E13FF"/>
    <w:rsid w:val="089D7C92"/>
    <w:rsid w:val="08B5506F"/>
    <w:rsid w:val="08B731D9"/>
    <w:rsid w:val="08E83CBC"/>
    <w:rsid w:val="08EB4AF7"/>
    <w:rsid w:val="08F46583"/>
    <w:rsid w:val="091618D3"/>
    <w:rsid w:val="091A4C8C"/>
    <w:rsid w:val="092E1A43"/>
    <w:rsid w:val="09363300"/>
    <w:rsid w:val="093B2BE4"/>
    <w:rsid w:val="0946032A"/>
    <w:rsid w:val="09465686"/>
    <w:rsid w:val="095771A0"/>
    <w:rsid w:val="097444BF"/>
    <w:rsid w:val="09747C12"/>
    <w:rsid w:val="09756413"/>
    <w:rsid w:val="09864BCA"/>
    <w:rsid w:val="098B3F8E"/>
    <w:rsid w:val="098E3A7F"/>
    <w:rsid w:val="09A80FE4"/>
    <w:rsid w:val="09C15C02"/>
    <w:rsid w:val="09C247EA"/>
    <w:rsid w:val="09C332D8"/>
    <w:rsid w:val="09C5063C"/>
    <w:rsid w:val="09D67C0C"/>
    <w:rsid w:val="09DA4F52"/>
    <w:rsid w:val="09DE2879"/>
    <w:rsid w:val="09EA2A75"/>
    <w:rsid w:val="09EA7634"/>
    <w:rsid w:val="09EB2018"/>
    <w:rsid w:val="09EF451D"/>
    <w:rsid w:val="09F204B1"/>
    <w:rsid w:val="0A055A51"/>
    <w:rsid w:val="0A0861E8"/>
    <w:rsid w:val="0A1A4B32"/>
    <w:rsid w:val="0A240DA6"/>
    <w:rsid w:val="0A2D5046"/>
    <w:rsid w:val="0A310FDA"/>
    <w:rsid w:val="0A3E36F7"/>
    <w:rsid w:val="0A3E4466"/>
    <w:rsid w:val="0A3F55CC"/>
    <w:rsid w:val="0A443016"/>
    <w:rsid w:val="0A502A1D"/>
    <w:rsid w:val="0A552874"/>
    <w:rsid w:val="0A752E7F"/>
    <w:rsid w:val="0A844BED"/>
    <w:rsid w:val="0A8A0357"/>
    <w:rsid w:val="0A8C4462"/>
    <w:rsid w:val="0AAA0B3D"/>
    <w:rsid w:val="0AAA28B5"/>
    <w:rsid w:val="0AAF24CD"/>
    <w:rsid w:val="0AB37C41"/>
    <w:rsid w:val="0AB53202"/>
    <w:rsid w:val="0ABA1D18"/>
    <w:rsid w:val="0ABA3543"/>
    <w:rsid w:val="0ADD6A2A"/>
    <w:rsid w:val="0ADF705F"/>
    <w:rsid w:val="0AE0030A"/>
    <w:rsid w:val="0AE0454C"/>
    <w:rsid w:val="0AFD2C6A"/>
    <w:rsid w:val="0B00275A"/>
    <w:rsid w:val="0B0D0BCA"/>
    <w:rsid w:val="0B1A381C"/>
    <w:rsid w:val="0B1F7828"/>
    <w:rsid w:val="0B210D3D"/>
    <w:rsid w:val="0B271E28"/>
    <w:rsid w:val="0B381B27"/>
    <w:rsid w:val="0B487B5A"/>
    <w:rsid w:val="0B4E5E19"/>
    <w:rsid w:val="0B5A379F"/>
    <w:rsid w:val="0B5D195B"/>
    <w:rsid w:val="0B8D1D0F"/>
    <w:rsid w:val="0BA2216C"/>
    <w:rsid w:val="0BB3612B"/>
    <w:rsid w:val="0BC814CA"/>
    <w:rsid w:val="0BC95428"/>
    <w:rsid w:val="0BD467FE"/>
    <w:rsid w:val="0BF31619"/>
    <w:rsid w:val="0BF41048"/>
    <w:rsid w:val="0C032816"/>
    <w:rsid w:val="0C052330"/>
    <w:rsid w:val="0C063DA0"/>
    <w:rsid w:val="0C0C4C1F"/>
    <w:rsid w:val="0C3E1605"/>
    <w:rsid w:val="0C4B488B"/>
    <w:rsid w:val="0C61547A"/>
    <w:rsid w:val="0C7274C3"/>
    <w:rsid w:val="0C767185"/>
    <w:rsid w:val="0C87231D"/>
    <w:rsid w:val="0C8B409B"/>
    <w:rsid w:val="0C957D50"/>
    <w:rsid w:val="0C9F66CF"/>
    <w:rsid w:val="0CA271F6"/>
    <w:rsid w:val="0CB06E99"/>
    <w:rsid w:val="0CB437FC"/>
    <w:rsid w:val="0CC14B3A"/>
    <w:rsid w:val="0CC91D1A"/>
    <w:rsid w:val="0CD93263"/>
    <w:rsid w:val="0CD979A0"/>
    <w:rsid w:val="0CFD00F8"/>
    <w:rsid w:val="0D094952"/>
    <w:rsid w:val="0D2113BD"/>
    <w:rsid w:val="0D284AA8"/>
    <w:rsid w:val="0D2B7F62"/>
    <w:rsid w:val="0D2C35A1"/>
    <w:rsid w:val="0D2C5F33"/>
    <w:rsid w:val="0D343B6E"/>
    <w:rsid w:val="0D455D61"/>
    <w:rsid w:val="0D487C9F"/>
    <w:rsid w:val="0D4A5F0F"/>
    <w:rsid w:val="0D5D3BBF"/>
    <w:rsid w:val="0D5F3B1D"/>
    <w:rsid w:val="0D692CBB"/>
    <w:rsid w:val="0D6F607A"/>
    <w:rsid w:val="0D7F06A7"/>
    <w:rsid w:val="0D9E4C2B"/>
    <w:rsid w:val="0DB13D45"/>
    <w:rsid w:val="0DC0069F"/>
    <w:rsid w:val="0DC36296"/>
    <w:rsid w:val="0DCF5E5A"/>
    <w:rsid w:val="0DD82FAB"/>
    <w:rsid w:val="0DE6032D"/>
    <w:rsid w:val="0DE80616"/>
    <w:rsid w:val="0DEF66BF"/>
    <w:rsid w:val="0DF8483B"/>
    <w:rsid w:val="0E044D72"/>
    <w:rsid w:val="0E056BBA"/>
    <w:rsid w:val="0E0A401F"/>
    <w:rsid w:val="0E183D0F"/>
    <w:rsid w:val="0E275F95"/>
    <w:rsid w:val="0E2E6D04"/>
    <w:rsid w:val="0E3036A1"/>
    <w:rsid w:val="0E373208"/>
    <w:rsid w:val="0E386A04"/>
    <w:rsid w:val="0E43308A"/>
    <w:rsid w:val="0E454EC9"/>
    <w:rsid w:val="0E583E05"/>
    <w:rsid w:val="0E5A7E2E"/>
    <w:rsid w:val="0E5E1C72"/>
    <w:rsid w:val="0E7C7AF2"/>
    <w:rsid w:val="0E874A82"/>
    <w:rsid w:val="0E910299"/>
    <w:rsid w:val="0E9C0B04"/>
    <w:rsid w:val="0EAE49E5"/>
    <w:rsid w:val="0EB34878"/>
    <w:rsid w:val="0EB5671E"/>
    <w:rsid w:val="0EBA17AC"/>
    <w:rsid w:val="0EC906B2"/>
    <w:rsid w:val="0ECB33E1"/>
    <w:rsid w:val="0EEB4544"/>
    <w:rsid w:val="0EEE63D8"/>
    <w:rsid w:val="0EFC16BF"/>
    <w:rsid w:val="0F073D8A"/>
    <w:rsid w:val="0F091B54"/>
    <w:rsid w:val="0F0B5E28"/>
    <w:rsid w:val="0F1241C4"/>
    <w:rsid w:val="0F1B7394"/>
    <w:rsid w:val="0F307AB2"/>
    <w:rsid w:val="0F3313DE"/>
    <w:rsid w:val="0F423ED2"/>
    <w:rsid w:val="0F4A0448"/>
    <w:rsid w:val="0F56503F"/>
    <w:rsid w:val="0F5B4403"/>
    <w:rsid w:val="0F692FC4"/>
    <w:rsid w:val="0F6C03BE"/>
    <w:rsid w:val="0F6D2910"/>
    <w:rsid w:val="0F6E6493"/>
    <w:rsid w:val="0F777891"/>
    <w:rsid w:val="0F7F01D5"/>
    <w:rsid w:val="0F933B9D"/>
    <w:rsid w:val="0F956892"/>
    <w:rsid w:val="0FAE2B5B"/>
    <w:rsid w:val="0FB055AB"/>
    <w:rsid w:val="0FB26719"/>
    <w:rsid w:val="0FCE11FD"/>
    <w:rsid w:val="0FE248B1"/>
    <w:rsid w:val="0FF13986"/>
    <w:rsid w:val="0FF7237E"/>
    <w:rsid w:val="100D0CBF"/>
    <w:rsid w:val="10142F30"/>
    <w:rsid w:val="101D4E26"/>
    <w:rsid w:val="10230D7E"/>
    <w:rsid w:val="103B0FFA"/>
    <w:rsid w:val="104220FC"/>
    <w:rsid w:val="10524731"/>
    <w:rsid w:val="10532F3B"/>
    <w:rsid w:val="105E0D63"/>
    <w:rsid w:val="10650B81"/>
    <w:rsid w:val="1073069D"/>
    <w:rsid w:val="1081433D"/>
    <w:rsid w:val="10A746C8"/>
    <w:rsid w:val="10A90E1E"/>
    <w:rsid w:val="10AA3690"/>
    <w:rsid w:val="10B14C22"/>
    <w:rsid w:val="10B169D0"/>
    <w:rsid w:val="10B40314"/>
    <w:rsid w:val="10B93B5D"/>
    <w:rsid w:val="10BA5C7B"/>
    <w:rsid w:val="10CA791B"/>
    <w:rsid w:val="10CB7366"/>
    <w:rsid w:val="10CC0E95"/>
    <w:rsid w:val="10D514BB"/>
    <w:rsid w:val="10DA7E65"/>
    <w:rsid w:val="11012ADB"/>
    <w:rsid w:val="1108602C"/>
    <w:rsid w:val="110C12EC"/>
    <w:rsid w:val="11203B56"/>
    <w:rsid w:val="112E3186"/>
    <w:rsid w:val="112F78F5"/>
    <w:rsid w:val="11412AD3"/>
    <w:rsid w:val="114D7316"/>
    <w:rsid w:val="114E2E99"/>
    <w:rsid w:val="11503E8B"/>
    <w:rsid w:val="11623419"/>
    <w:rsid w:val="11642BB0"/>
    <w:rsid w:val="1170063A"/>
    <w:rsid w:val="117B0D8C"/>
    <w:rsid w:val="118177CD"/>
    <w:rsid w:val="11877E37"/>
    <w:rsid w:val="11892AB1"/>
    <w:rsid w:val="118A0AE5"/>
    <w:rsid w:val="11A35F07"/>
    <w:rsid w:val="11AA3420"/>
    <w:rsid w:val="11B036FF"/>
    <w:rsid w:val="11C2031E"/>
    <w:rsid w:val="11E239D1"/>
    <w:rsid w:val="11FD5C45"/>
    <w:rsid w:val="12096398"/>
    <w:rsid w:val="12163497"/>
    <w:rsid w:val="1245095E"/>
    <w:rsid w:val="124A56F1"/>
    <w:rsid w:val="124D2822"/>
    <w:rsid w:val="12523542"/>
    <w:rsid w:val="12577104"/>
    <w:rsid w:val="12665150"/>
    <w:rsid w:val="126D1B09"/>
    <w:rsid w:val="128B0C3D"/>
    <w:rsid w:val="12921A41"/>
    <w:rsid w:val="12A53EC8"/>
    <w:rsid w:val="12AE7380"/>
    <w:rsid w:val="12BF67F1"/>
    <w:rsid w:val="12EF1A32"/>
    <w:rsid w:val="12F45882"/>
    <w:rsid w:val="12FA293C"/>
    <w:rsid w:val="12FC5EFD"/>
    <w:rsid w:val="130D7296"/>
    <w:rsid w:val="13135191"/>
    <w:rsid w:val="132308D5"/>
    <w:rsid w:val="1323146A"/>
    <w:rsid w:val="13253184"/>
    <w:rsid w:val="13287873"/>
    <w:rsid w:val="133A3304"/>
    <w:rsid w:val="133F1B8B"/>
    <w:rsid w:val="134753CA"/>
    <w:rsid w:val="134B4B21"/>
    <w:rsid w:val="137B1518"/>
    <w:rsid w:val="137B32C6"/>
    <w:rsid w:val="138802A8"/>
    <w:rsid w:val="13881915"/>
    <w:rsid w:val="13936861"/>
    <w:rsid w:val="13AE369B"/>
    <w:rsid w:val="13B779A7"/>
    <w:rsid w:val="13C24A51"/>
    <w:rsid w:val="13D2119F"/>
    <w:rsid w:val="13DC1B3B"/>
    <w:rsid w:val="13DF05F8"/>
    <w:rsid w:val="13E763F7"/>
    <w:rsid w:val="13E97E92"/>
    <w:rsid w:val="13EB3FA7"/>
    <w:rsid w:val="13F77E23"/>
    <w:rsid w:val="142C122E"/>
    <w:rsid w:val="14383003"/>
    <w:rsid w:val="143E1410"/>
    <w:rsid w:val="14540D18"/>
    <w:rsid w:val="145577B1"/>
    <w:rsid w:val="14560958"/>
    <w:rsid w:val="145A2EDB"/>
    <w:rsid w:val="146975C2"/>
    <w:rsid w:val="146D2C0E"/>
    <w:rsid w:val="147E5A04"/>
    <w:rsid w:val="148777E9"/>
    <w:rsid w:val="14883EEC"/>
    <w:rsid w:val="149B42C1"/>
    <w:rsid w:val="14A81E98"/>
    <w:rsid w:val="14C61E0A"/>
    <w:rsid w:val="14C76687"/>
    <w:rsid w:val="14CB5E06"/>
    <w:rsid w:val="14EA24B1"/>
    <w:rsid w:val="14FC37AF"/>
    <w:rsid w:val="150271A4"/>
    <w:rsid w:val="151942B4"/>
    <w:rsid w:val="15240D32"/>
    <w:rsid w:val="154F7F7D"/>
    <w:rsid w:val="15512530"/>
    <w:rsid w:val="155142DE"/>
    <w:rsid w:val="15526F98"/>
    <w:rsid w:val="156D4E90"/>
    <w:rsid w:val="15745013"/>
    <w:rsid w:val="158B1C21"/>
    <w:rsid w:val="158E5532"/>
    <w:rsid w:val="15966195"/>
    <w:rsid w:val="15A17A92"/>
    <w:rsid w:val="15C46ED2"/>
    <w:rsid w:val="15C9656A"/>
    <w:rsid w:val="15DB6D87"/>
    <w:rsid w:val="15E64498"/>
    <w:rsid w:val="15F66C34"/>
    <w:rsid w:val="15F921CF"/>
    <w:rsid w:val="160B4B78"/>
    <w:rsid w:val="16131D5F"/>
    <w:rsid w:val="16185C51"/>
    <w:rsid w:val="162602BE"/>
    <w:rsid w:val="162A64DB"/>
    <w:rsid w:val="162B76AB"/>
    <w:rsid w:val="16304DFB"/>
    <w:rsid w:val="16397448"/>
    <w:rsid w:val="164A1473"/>
    <w:rsid w:val="16637DDE"/>
    <w:rsid w:val="16824DBA"/>
    <w:rsid w:val="16845DB3"/>
    <w:rsid w:val="16895CFA"/>
    <w:rsid w:val="16CD3E38"/>
    <w:rsid w:val="16CD6B0A"/>
    <w:rsid w:val="16E01DBD"/>
    <w:rsid w:val="170768FE"/>
    <w:rsid w:val="170A6E3A"/>
    <w:rsid w:val="1715676F"/>
    <w:rsid w:val="17156920"/>
    <w:rsid w:val="1722304C"/>
    <w:rsid w:val="17302243"/>
    <w:rsid w:val="17323B8E"/>
    <w:rsid w:val="1735378C"/>
    <w:rsid w:val="17484943"/>
    <w:rsid w:val="176005F5"/>
    <w:rsid w:val="17662807"/>
    <w:rsid w:val="17793499"/>
    <w:rsid w:val="178E5FDA"/>
    <w:rsid w:val="17AD06D9"/>
    <w:rsid w:val="17AF3E20"/>
    <w:rsid w:val="17B66642"/>
    <w:rsid w:val="17BF5E77"/>
    <w:rsid w:val="17CC70B0"/>
    <w:rsid w:val="18055854"/>
    <w:rsid w:val="18245CDA"/>
    <w:rsid w:val="182E4DAB"/>
    <w:rsid w:val="18345177"/>
    <w:rsid w:val="18356ABD"/>
    <w:rsid w:val="183879D7"/>
    <w:rsid w:val="183C1CAF"/>
    <w:rsid w:val="183F48C2"/>
    <w:rsid w:val="1840063A"/>
    <w:rsid w:val="184674D5"/>
    <w:rsid w:val="1864257A"/>
    <w:rsid w:val="187432DF"/>
    <w:rsid w:val="18745B5D"/>
    <w:rsid w:val="18860743"/>
    <w:rsid w:val="18867055"/>
    <w:rsid w:val="188F4AF9"/>
    <w:rsid w:val="18921053"/>
    <w:rsid w:val="189A7199"/>
    <w:rsid w:val="18AB271B"/>
    <w:rsid w:val="18AC3DD8"/>
    <w:rsid w:val="18AF7445"/>
    <w:rsid w:val="18BC4164"/>
    <w:rsid w:val="18D41ED5"/>
    <w:rsid w:val="18DA0A03"/>
    <w:rsid w:val="18E32226"/>
    <w:rsid w:val="18ED6ACD"/>
    <w:rsid w:val="194859F8"/>
    <w:rsid w:val="194D4ECD"/>
    <w:rsid w:val="194F11CF"/>
    <w:rsid w:val="19573E8D"/>
    <w:rsid w:val="195D31AC"/>
    <w:rsid w:val="19677E41"/>
    <w:rsid w:val="19687E48"/>
    <w:rsid w:val="196E13B1"/>
    <w:rsid w:val="19723D47"/>
    <w:rsid w:val="197F4614"/>
    <w:rsid w:val="1990114D"/>
    <w:rsid w:val="19A277FE"/>
    <w:rsid w:val="19AC12B9"/>
    <w:rsid w:val="19B97804"/>
    <w:rsid w:val="19BD6338"/>
    <w:rsid w:val="19CE4C41"/>
    <w:rsid w:val="19D674A8"/>
    <w:rsid w:val="19DF07B9"/>
    <w:rsid w:val="19EE7F5C"/>
    <w:rsid w:val="19FF03AC"/>
    <w:rsid w:val="1A083FC8"/>
    <w:rsid w:val="1A0C2995"/>
    <w:rsid w:val="1A0C6ED2"/>
    <w:rsid w:val="1A191824"/>
    <w:rsid w:val="1A197394"/>
    <w:rsid w:val="1A2B5990"/>
    <w:rsid w:val="1A357D2B"/>
    <w:rsid w:val="1A3938AF"/>
    <w:rsid w:val="1A3B730B"/>
    <w:rsid w:val="1A424030"/>
    <w:rsid w:val="1A4E703E"/>
    <w:rsid w:val="1A5722E3"/>
    <w:rsid w:val="1A7F5B57"/>
    <w:rsid w:val="1A884FA3"/>
    <w:rsid w:val="1A9E1655"/>
    <w:rsid w:val="1AA22489"/>
    <w:rsid w:val="1AA54097"/>
    <w:rsid w:val="1AAF5198"/>
    <w:rsid w:val="1AE3090A"/>
    <w:rsid w:val="1B024252"/>
    <w:rsid w:val="1B101730"/>
    <w:rsid w:val="1B3A5814"/>
    <w:rsid w:val="1B3E1038"/>
    <w:rsid w:val="1B5F0C14"/>
    <w:rsid w:val="1B6F1962"/>
    <w:rsid w:val="1B707395"/>
    <w:rsid w:val="1B827F99"/>
    <w:rsid w:val="1B960778"/>
    <w:rsid w:val="1B9675D4"/>
    <w:rsid w:val="1BA23B7C"/>
    <w:rsid w:val="1BAF4651"/>
    <w:rsid w:val="1BC53330"/>
    <w:rsid w:val="1BD23C9F"/>
    <w:rsid w:val="1BE055BE"/>
    <w:rsid w:val="1BFF0CB8"/>
    <w:rsid w:val="1C0A4F54"/>
    <w:rsid w:val="1C0E2F29"/>
    <w:rsid w:val="1C2135BC"/>
    <w:rsid w:val="1C275D99"/>
    <w:rsid w:val="1C28093D"/>
    <w:rsid w:val="1C3E3848"/>
    <w:rsid w:val="1C553DFA"/>
    <w:rsid w:val="1C5564A5"/>
    <w:rsid w:val="1C5C22D4"/>
    <w:rsid w:val="1C5E5533"/>
    <w:rsid w:val="1C632B30"/>
    <w:rsid w:val="1C6413F5"/>
    <w:rsid w:val="1C6E0D10"/>
    <w:rsid w:val="1C785BE8"/>
    <w:rsid w:val="1C8F393E"/>
    <w:rsid w:val="1C9E7E35"/>
    <w:rsid w:val="1CA0065E"/>
    <w:rsid w:val="1CA121A2"/>
    <w:rsid w:val="1CC8184F"/>
    <w:rsid w:val="1CCC75CD"/>
    <w:rsid w:val="1CD76B33"/>
    <w:rsid w:val="1CF2775B"/>
    <w:rsid w:val="1D006E2F"/>
    <w:rsid w:val="1D2A0799"/>
    <w:rsid w:val="1D2B32E7"/>
    <w:rsid w:val="1D2C4EE2"/>
    <w:rsid w:val="1D3268D9"/>
    <w:rsid w:val="1D4E0A90"/>
    <w:rsid w:val="1D4E5E19"/>
    <w:rsid w:val="1D5D0A28"/>
    <w:rsid w:val="1D616D1A"/>
    <w:rsid w:val="1D63374F"/>
    <w:rsid w:val="1D6372A4"/>
    <w:rsid w:val="1D7A3439"/>
    <w:rsid w:val="1D7F1C04"/>
    <w:rsid w:val="1D7F3BCC"/>
    <w:rsid w:val="1DA5166B"/>
    <w:rsid w:val="1DB00010"/>
    <w:rsid w:val="1DB2069D"/>
    <w:rsid w:val="1DB33FAD"/>
    <w:rsid w:val="1DC66CF1"/>
    <w:rsid w:val="1DE026A3"/>
    <w:rsid w:val="1DF86115"/>
    <w:rsid w:val="1E01086B"/>
    <w:rsid w:val="1E1E7014"/>
    <w:rsid w:val="1E213FD7"/>
    <w:rsid w:val="1E2276B5"/>
    <w:rsid w:val="1E312EFF"/>
    <w:rsid w:val="1E4137E5"/>
    <w:rsid w:val="1E586198"/>
    <w:rsid w:val="1E5E7961"/>
    <w:rsid w:val="1E6555EB"/>
    <w:rsid w:val="1E731769"/>
    <w:rsid w:val="1E77466E"/>
    <w:rsid w:val="1E913BFE"/>
    <w:rsid w:val="1E933BB9"/>
    <w:rsid w:val="1E9B6E4D"/>
    <w:rsid w:val="1EAC4C7B"/>
    <w:rsid w:val="1EAF2590"/>
    <w:rsid w:val="1EB37DB8"/>
    <w:rsid w:val="1EBF367A"/>
    <w:rsid w:val="1EC620E5"/>
    <w:rsid w:val="1ED025D1"/>
    <w:rsid w:val="1EDD393D"/>
    <w:rsid w:val="1EE526A2"/>
    <w:rsid w:val="1EFB33BF"/>
    <w:rsid w:val="1F025688"/>
    <w:rsid w:val="1F0B558A"/>
    <w:rsid w:val="1F244811"/>
    <w:rsid w:val="1F670B02"/>
    <w:rsid w:val="1F703FF3"/>
    <w:rsid w:val="1F784B5D"/>
    <w:rsid w:val="1F7F8C41"/>
    <w:rsid w:val="1F8379F1"/>
    <w:rsid w:val="1F8852E1"/>
    <w:rsid w:val="1F896D6A"/>
    <w:rsid w:val="1F8B2AE2"/>
    <w:rsid w:val="1F934EAE"/>
    <w:rsid w:val="1FBC2C9C"/>
    <w:rsid w:val="1FCB6C4F"/>
    <w:rsid w:val="1FD47FE6"/>
    <w:rsid w:val="1FDA1374"/>
    <w:rsid w:val="1FE03470"/>
    <w:rsid w:val="1FEF1CA1"/>
    <w:rsid w:val="1FEF6BCD"/>
    <w:rsid w:val="1FF00B97"/>
    <w:rsid w:val="1FF71F26"/>
    <w:rsid w:val="20187116"/>
    <w:rsid w:val="202C7E22"/>
    <w:rsid w:val="205050A7"/>
    <w:rsid w:val="207218D1"/>
    <w:rsid w:val="20740232"/>
    <w:rsid w:val="2076421B"/>
    <w:rsid w:val="2091237A"/>
    <w:rsid w:val="20994D8B"/>
    <w:rsid w:val="20AC0D39"/>
    <w:rsid w:val="20AD2676"/>
    <w:rsid w:val="20CC5F0A"/>
    <w:rsid w:val="20D110C1"/>
    <w:rsid w:val="20E56222"/>
    <w:rsid w:val="20EC3AAC"/>
    <w:rsid w:val="20F16FDF"/>
    <w:rsid w:val="20F43988"/>
    <w:rsid w:val="20FA2D31"/>
    <w:rsid w:val="2101411A"/>
    <w:rsid w:val="21110DC5"/>
    <w:rsid w:val="211D77DD"/>
    <w:rsid w:val="21336505"/>
    <w:rsid w:val="21400220"/>
    <w:rsid w:val="21472A39"/>
    <w:rsid w:val="215217F5"/>
    <w:rsid w:val="21771DC7"/>
    <w:rsid w:val="217C3D30"/>
    <w:rsid w:val="21803A84"/>
    <w:rsid w:val="21814741"/>
    <w:rsid w:val="21867881"/>
    <w:rsid w:val="21961C6B"/>
    <w:rsid w:val="21C35D68"/>
    <w:rsid w:val="21F23AD9"/>
    <w:rsid w:val="22007F79"/>
    <w:rsid w:val="2229610E"/>
    <w:rsid w:val="22442632"/>
    <w:rsid w:val="225E0A8E"/>
    <w:rsid w:val="22622887"/>
    <w:rsid w:val="226328AB"/>
    <w:rsid w:val="2271780A"/>
    <w:rsid w:val="22781AF5"/>
    <w:rsid w:val="228B62C2"/>
    <w:rsid w:val="22A908E4"/>
    <w:rsid w:val="22BF15CD"/>
    <w:rsid w:val="22C5016C"/>
    <w:rsid w:val="22DF5768"/>
    <w:rsid w:val="22E04A32"/>
    <w:rsid w:val="22EB5812"/>
    <w:rsid w:val="2309444A"/>
    <w:rsid w:val="230C07D1"/>
    <w:rsid w:val="231737DA"/>
    <w:rsid w:val="232C6B09"/>
    <w:rsid w:val="233C2238"/>
    <w:rsid w:val="2345352F"/>
    <w:rsid w:val="23480F82"/>
    <w:rsid w:val="235261BD"/>
    <w:rsid w:val="23672D84"/>
    <w:rsid w:val="236E6BF8"/>
    <w:rsid w:val="23760358"/>
    <w:rsid w:val="23761FB5"/>
    <w:rsid w:val="237856E2"/>
    <w:rsid w:val="237B69CA"/>
    <w:rsid w:val="237C6322"/>
    <w:rsid w:val="238B30B1"/>
    <w:rsid w:val="23A203FB"/>
    <w:rsid w:val="23BD6FE3"/>
    <w:rsid w:val="23CC2EB8"/>
    <w:rsid w:val="23F07EF6"/>
    <w:rsid w:val="24113A54"/>
    <w:rsid w:val="24161299"/>
    <w:rsid w:val="24180127"/>
    <w:rsid w:val="241C3D7E"/>
    <w:rsid w:val="24392B0D"/>
    <w:rsid w:val="243F5206"/>
    <w:rsid w:val="245B500A"/>
    <w:rsid w:val="245D4E45"/>
    <w:rsid w:val="245F6CDB"/>
    <w:rsid w:val="247748F3"/>
    <w:rsid w:val="24921275"/>
    <w:rsid w:val="2498644C"/>
    <w:rsid w:val="24A53231"/>
    <w:rsid w:val="24AD03C9"/>
    <w:rsid w:val="24AF64E2"/>
    <w:rsid w:val="24D3181D"/>
    <w:rsid w:val="25042A95"/>
    <w:rsid w:val="25076767"/>
    <w:rsid w:val="25162E4E"/>
    <w:rsid w:val="251C60A7"/>
    <w:rsid w:val="25307E96"/>
    <w:rsid w:val="254800FA"/>
    <w:rsid w:val="25540371"/>
    <w:rsid w:val="255738F3"/>
    <w:rsid w:val="256960E4"/>
    <w:rsid w:val="258355FB"/>
    <w:rsid w:val="25860FA2"/>
    <w:rsid w:val="258778A8"/>
    <w:rsid w:val="25896B14"/>
    <w:rsid w:val="258C44E3"/>
    <w:rsid w:val="258E557A"/>
    <w:rsid w:val="25902C01"/>
    <w:rsid w:val="25962B88"/>
    <w:rsid w:val="259634A3"/>
    <w:rsid w:val="259650FC"/>
    <w:rsid w:val="259A5BC7"/>
    <w:rsid w:val="259B1E4C"/>
    <w:rsid w:val="259D79CE"/>
    <w:rsid w:val="25AE14E7"/>
    <w:rsid w:val="25AE1F47"/>
    <w:rsid w:val="25BB6D3C"/>
    <w:rsid w:val="25BF5294"/>
    <w:rsid w:val="25D9023D"/>
    <w:rsid w:val="25DA20CE"/>
    <w:rsid w:val="25DF0951"/>
    <w:rsid w:val="25EE259F"/>
    <w:rsid w:val="25F20FBF"/>
    <w:rsid w:val="26087285"/>
    <w:rsid w:val="261977A4"/>
    <w:rsid w:val="261A071C"/>
    <w:rsid w:val="262C710E"/>
    <w:rsid w:val="26331461"/>
    <w:rsid w:val="26452058"/>
    <w:rsid w:val="26484622"/>
    <w:rsid w:val="265F1667"/>
    <w:rsid w:val="2668395B"/>
    <w:rsid w:val="26811F87"/>
    <w:rsid w:val="26A22F53"/>
    <w:rsid w:val="26A5703B"/>
    <w:rsid w:val="26B30242"/>
    <w:rsid w:val="26C04A78"/>
    <w:rsid w:val="26C13CC2"/>
    <w:rsid w:val="26D5433A"/>
    <w:rsid w:val="26ED1903"/>
    <w:rsid w:val="270F7B55"/>
    <w:rsid w:val="27184E29"/>
    <w:rsid w:val="2727601A"/>
    <w:rsid w:val="272A498F"/>
    <w:rsid w:val="273D6418"/>
    <w:rsid w:val="27407D55"/>
    <w:rsid w:val="274243CE"/>
    <w:rsid w:val="27467C6F"/>
    <w:rsid w:val="27483CC3"/>
    <w:rsid w:val="276205CD"/>
    <w:rsid w:val="276C6F54"/>
    <w:rsid w:val="277420AE"/>
    <w:rsid w:val="277D5469"/>
    <w:rsid w:val="2788185D"/>
    <w:rsid w:val="27951CF5"/>
    <w:rsid w:val="27961E98"/>
    <w:rsid w:val="27AC55C1"/>
    <w:rsid w:val="27B877FD"/>
    <w:rsid w:val="27CC1EEA"/>
    <w:rsid w:val="27D9565A"/>
    <w:rsid w:val="27E84B17"/>
    <w:rsid w:val="27F56785"/>
    <w:rsid w:val="27F65145"/>
    <w:rsid w:val="28034484"/>
    <w:rsid w:val="280E6B4E"/>
    <w:rsid w:val="28243AD4"/>
    <w:rsid w:val="282923F0"/>
    <w:rsid w:val="28377363"/>
    <w:rsid w:val="28475245"/>
    <w:rsid w:val="28486FF0"/>
    <w:rsid w:val="284A203F"/>
    <w:rsid w:val="284E2525"/>
    <w:rsid w:val="28532078"/>
    <w:rsid w:val="285C6770"/>
    <w:rsid w:val="28663FBB"/>
    <w:rsid w:val="286B525F"/>
    <w:rsid w:val="286C6DAE"/>
    <w:rsid w:val="287265EE"/>
    <w:rsid w:val="28747F47"/>
    <w:rsid w:val="287711B7"/>
    <w:rsid w:val="287D185D"/>
    <w:rsid w:val="287E3208"/>
    <w:rsid w:val="28910F03"/>
    <w:rsid w:val="28965736"/>
    <w:rsid w:val="28A47074"/>
    <w:rsid w:val="28DD53F1"/>
    <w:rsid w:val="28EE4C6D"/>
    <w:rsid w:val="28F9286B"/>
    <w:rsid w:val="28F96D0F"/>
    <w:rsid w:val="290C6A42"/>
    <w:rsid w:val="29157749"/>
    <w:rsid w:val="291B4189"/>
    <w:rsid w:val="29283150"/>
    <w:rsid w:val="292C6C34"/>
    <w:rsid w:val="29355605"/>
    <w:rsid w:val="29430EEC"/>
    <w:rsid w:val="294D3014"/>
    <w:rsid w:val="294D3E3E"/>
    <w:rsid w:val="29527BB1"/>
    <w:rsid w:val="295A4C13"/>
    <w:rsid w:val="295B6B33"/>
    <w:rsid w:val="295D4C80"/>
    <w:rsid w:val="29611A3A"/>
    <w:rsid w:val="296D0397"/>
    <w:rsid w:val="296D6510"/>
    <w:rsid w:val="296E3259"/>
    <w:rsid w:val="297F4B8F"/>
    <w:rsid w:val="29891E41"/>
    <w:rsid w:val="29AA560E"/>
    <w:rsid w:val="29CD125E"/>
    <w:rsid w:val="29E71475"/>
    <w:rsid w:val="29EB6986"/>
    <w:rsid w:val="29F63C3F"/>
    <w:rsid w:val="2A0B0DEE"/>
    <w:rsid w:val="2A0F4FD8"/>
    <w:rsid w:val="2A1F4B9C"/>
    <w:rsid w:val="2A326386"/>
    <w:rsid w:val="2A3F0751"/>
    <w:rsid w:val="2A463EFD"/>
    <w:rsid w:val="2A4C0D6D"/>
    <w:rsid w:val="2A4D18D4"/>
    <w:rsid w:val="2A565498"/>
    <w:rsid w:val="2A5E25E7"/>
    <w:rsid w:val="2A781EB5"/>
    <w:rsid w:val="2A7E2FBD"/>
    <w:rsid w:val="2A8370E9"/>
    <w:rsid w:val="2A870AC1"/>
    <w:rsid w:val="2AA14F67"/>
    <w:rsid w:val="2ABB749D"/>
    <w:rsid w:val="2ACA554D"/>
    <w:rsid w:val="2ADF5470"/>
    <w:rsid w:val="2AEF021C"/>
    <w:rsid w:val="2AFE685E"/>
    <w:rsid w:val="2B082A58"/>
    <w:rsid w:val="2B0E25EF"/>
    <w:rsid w:val="2B0F62FF"/>
    <w:rsid w:val="2B1622E8"/>
    <w:rsid w:val="2B1A2843"/>
    <w:rsid w:val="2B1D796E"/>
    <w:rsid w:val="2B3E200D"/>
    <w:rsid w:val="2B444F98"/>
    <w:rsid w:val="2B534F40"/>
    <w:rsid w:val="2B585F6F"/>
    <w:rsid w:val="2B683CD8"/>
    <w:rsid w:val="2B786718"/>
    <w:rsid w:val="2B7D59D5"/>
    <w:rsid w:val="2B8C5563"/>
    <w:rsid w:val="2B91322F"/>
    <w:rsid w:val="2B936418"/>
    <w:rsid w:val="2B9D19F7"/>
    <w:rsid w:val="2BAC0068"/>
    <w:rsid w:val="2BAD3D2B"/>
    <w:rsid w:val="2BD358AE"/>
    <w:rsid w:val="2BDA2E28"/>
    <w:rsid w:val="2BE111B9"/>
    <w:rsid w:val="2BE72B57"/>
    <w:rsid w:val="2BEC1007"/>
    <w:rsid w:val="2BF06A33"/>
    <w:rsid w:val="2BF51A0F"/>
    <w:rsid w:val="2BF57C61"/>
    <w:rsid w:val="2BFC5F1F"/>
    <w:rsid w:val="2C0C0B07"/>
    <w:rsid w:val="2C190808"/>
    <w:rsid w:val="2C1D605F"/>
    <w:rsid w:val="2C2A5838"/>
    <w:rsid w:val="2C4038B6"/>
    <w:rsid w:val="2C443560"/>
    <w:rsid w:val="2C53629D"/>
    <w:rsid w:val="2C636D95"/>
    <w:rsid w:val="2C6941AB"/>
    <w:rsid w:val="2C842BA5"/>
    <w:rsid w:val="2C882884"/>
    <w:rsid w:val="2C8D1C48"/>
    <w:rsid w:val="2C8E3F4B"/>
    <w:rsid w:val="2C8F291F"/>
    <w:rsid w:val="2CA123AE"/>
    <w:rsid w:val="2CAB47C4"/>
    <w:rsid w:val="2CB74F17"/>
    <w:rsid w:val="2CC6162B"/>
    <w:rsid w:val="2CDA6E57"/>
    <w:rsid w:val="2CF215C8"/>
    <w:rsid w:val="2D071DCC"/>
    <w:rsid w:val="2D07260C"/>
    <w:rsid w:val="2D0F08AF"/>
    <w:rsid w:val="2D103A00"/>
    <w:rsid w:val="2D331337"/>
    <w:rsid w:val="2D3D38B5"/>
    <w:rsid w:val="2D49434D"/>
    <w:rsid w:val="2D4F02A6"/>
    <w:rsid w:val="2D4F4030"/>
    <w:rsid w:val="2D587F04"/>
    <w:rsid w:val="2D5A3DD5"/>
    <w:rsid w:val="2D6055AE"/>
    <w:rsid w:val="2D652BC5"/>
    <w:rsid w:val="2D841829"/>
    <w:rsid w:val="2D8A5792"/>
    <w:rsid w:val="2D921E75"/>
    <w:rsid w:val="2D962D7E"/>
    <w:rsid w:val="2DA06765"/>
    <w:rsid w:val="2DAD7D50"/>
    <w:rsid w:val="2DB7565B"/>
    <w:rsid w:val="2DBB1F7A"/>
    <w:rsid w:val="2DCA0C7A"/>
    <w:rsid w:val="2DD15077"/>
    <w:rsid w:val="2DD93956"/>
    <w:rsid w:val="2DE030D9"/>
    <w:rsid w:val="2DE97864"/>
    <w:rsid w:val="2DF409C4"/>
    <w:rsid w:val="2E05200C"/>
    <w:rsid w:val="2E0F7C3B"/>
    <w:rsid w:val="2E14419A"/>
    <w:rsid w:val="2E356C4C"/>
    <w:rsid w:val="2E3E5605"/>
    <w:rsid w:val="2E424CB4"/>
    <w:rsid w:val="2E4A3EFC"/>
    <w:rsid w:val="2E587334"/>
    <w:rsid w:val="2E5A79B2"/>
    <w:rsid w:val="2E644C2A"/>
    <w:rsid w:val="2E8170C4"/>
    <w:rsid w:val="2E9572C3"/>
    <w:rsid w:val="2EAD6D5A"/>
    <w:rsid w:val="2EBF6305"/>
    <w:rsid w:val="2EC0365B"/>
    <w:rsid w:val="2ED718A0"/>
    <w:rsid w:val="2EDB2A1C"/>
    <w:rsid w:val="2EE45937"/>
    <w:rsid w:val="2EEB4E30"/>
    <w:rsid w:val="2EF74DD9"/>
    <w:rsid w:val="2F025A51"/>
    <w:rsid w:val="2F034830"/>
    <w:rsid w:val="2F0A3497"/>
    <w:rsid w:val="2F1B02D3"/>
    <w:rsid w:val="2F316003"/>
    <w:rsid w:val="2F39508D"/>
    <w:rsid w:val="2F4E3E09"/>
    <w:rsid w:val="2F7610B9"/>
    <w:rsid w:val="2F8116AB"/>
    <w:rsid w:val="2F8449B2"/>
    <w:rsid w:val="2F9B467C"/>
    <w:rsid w:val="2FA5002B"/>
    <w:rsid w:val="2FAC0C6B"/>
    <w:rsid w:val="2FAC4ADB"/>
    <w:rsid w:val="2FB6580A"/>
    <w:rsid w:val="2FB67784"/>
    <w:rsid w:val="2FBE68FF"/>
    <w:rsid w:val="2FBF5AF9"/>
    <w:rsid w:val="2FCB34DF"/>
    <w:rsid w:val="2FCC7203"/>
    <w:rsid w:val="2FD8767E"/>
    <w:rsid w:val="30087837"/>
    <w:rsid w:val="300B353E"/>
    <w:rsid w:val="301D0CEA"/>
    <w:rsid w:val="301D3804"/>
    <w:rsid w:val="30203BF9"/>
    <w:rsid w:val="304E02C8"/>
    <w:rsid w:val="30570659"/>
    <w:rsid w:val="305A62E5"/>
    <w:rsid w:val="30600DDD"/>
    <w:rsid w:val="30654C8A"/>
    <w:rsid w:val="306D6D08"/>
    <w:rsid w:val="307603AB"/>
    <w:rsid w:val="307B0DF6"/>
    <w:rsid w:val="308050E6"/>
    <w:rsid w:val="30891518"/>
    <w:rsid w:val="308E2433"/>
    <w:rsid w:val="30A532D8"/>
    <w:rsid w:val="30B174A3"/>
    <w:rsid w:val="30B922BE"/>
    <w:rsid w:val="30C47073"/>
    <w:rsid w:val="30CC6AB7"/>
    <w:rsid w:val="30DF5845"/>
    <w:rsid w:val="30E16A06"/>
    <w:rsid w:val="30E33853"/>
    <w:rsid w:val="30FB6377"/>
    <w:rsid w:val="3103697D"/>
    <w:rsid w:val="31091AB9"/>
    <w:rsid w:val="310B68A9"/>
    <w:rsid w:val="311C381A"/>
    <w:rsid w:val="312945C7"/>
    <w:rsid w:val="313D285F"/>
    <w:rsid w:val="31685267"/>
    <w:rsid w:val="31723545"/>
    <w:rsid w:val="3175714F"/>
    <w:rsid w:val="317F3145"/>
    <w:rsid w:val="31A530F8"/>
    <w:rsid w:val="31BB0CE6"/>
    <w:rsid w:val="31DE0830"/>
    <w:rsid w:val="320504D2"/>
    <w:rsid w:val="3210404D"/>
    <w:rsid w:val="321E1594"/>
    <w:rsid w:val="323D7C6C"/>
    <w:rsid w:val="324A1686"/>
    <w:rsid w:val="325C15CF"/>
    <w:rsid w:val="325C317D"/>
    <w:rsid w:val="32614B47"/>
    <w:rsid w:val="3267521C"/>
    <w:rsid w:val="32751332"/>
    <w:rsid w:val="32795868"/>
    <w:rsid w:val="32804AE4"/>
    <w:rsid w:val="328D3825"/>
    <w:rsid w:val="32A96A2A"/>
    <w:rsid w:val="32B048E2"/>
    <w:rsid w:val="32B85C45"/>
    <w:rsid w:val="32C235B0"/>
    <w:rsid w:val="32C80657"/>
    <w:rsid w:val="32DF2AD1"/>
    <w:rsid w:val="32F04CDF"/>
    <w:rsid w:val="32F52609"/>
    <w:rsid w:val="32FC7B27"/>
    <w:rsid w:val="33066910"/>
    <w:rsid w:val="330E1609"/>
    <w:rsid w:val="33122EA7"/>
    <w:rsid w:val="331D1A3A"/>
    <w:rsid w:val="33290D9C"/>
    <w:rsid w:val="332A5E88"/>
    <w:rsid w:val="332F46D9"/>
    <w:rsid w:val="334072EF"/>
    <w:rsid w:val="336631F3"/>
    <w:rsid w:val="33677D8D"/>
    <w:rsid w:val="33705E1F"/>
    <w:rsid w:val="337B756A"/>
    <w:rsid w:val="337C268F"/>
    <w:rsid w:val="338C7AE1"/>
    <w:rsid w:val="338E47CF"/>
    <w:rsid w:val="33A919F8"/>
    <w:rsid w:val="33C63A08"/>
    <w:rsid w:val="33C64103"/>
    <w:rsid w:val="33C955E5"/>
    <w:rsid w:val="33CD0F78"/>
    <w:rsid w:val="33E81E5A"/>
    <w:rsid w:val="33F94067"/>
    <w:rsid w:val="33F9584E"/>
    <w:rsid w:val="342F1801"/>
    <w:rsid w:val="34446A95"/>
    <w:rsid w:val="34565015"/>
    <w:rsid w:val="34706DEA"/>
    <w:rsid w:val="34767986"/>
    <w:rsid w:val="347F5DF7"/>
    <w:rsid w:val="34827719"/>
    <w:rsid w:val="34897732"/>
    <w:rsid w:val="348F3728"/>
    <w:rsid w:val="34B91C21"/>
    <w:rsid w:val="34BA6656"/>
    <w:rsid w:val="34C21397"/>
    <w:rsid w:val="34CD6C66"/>
    <w:rsid w:val="34D00B3E"/>
    <w:rsid w:val="34D6054A"/>
    <w:rsid w:val="34E84619"/>
    <w:rsid w:val="34F3244D"/>
    <w:rsid w:val="34F6450C"/>
    <w:rsid w:val="35124D43"/>
    <w:rsid w:val="35154ED0"/>
    <w:rsid w:val="351B1DBB"/>
    <w:rsid w:val="352C4BF7"/>
    <w:rsid w:val="353061F3"/>
    <w:rsid w:val="353723DB"/>
    <w:rsid w:val="354A121A"/>
    <w:rsid w:val="35545677"/>
    <w:rsid w:val="356716D2"/>
    <w:rsid w:val="357C0AAC"/>
    <w:rsid w:val="357C5910"/>
    <w:rsid w:val="357F234A"/>
    <w:rsid w:val="358812AE"/>
    <w:rsid w:val="35910960"/>
    <w:rsid w:val="35927CC8"/>
    <w:rsid w:val="359A3628"/>
    <w:rsid w:val="359C15F8"/>
    <w:rsid w:val="35A4103B"/>
    <w:rsid w:val="35BD59A2"/>
    <w:rsid w:val="35CA2734"/>
    <w:rsid w:val="35E655A0"/>
    <w:rsid w:val="35F303F6"/>
    <w:rsid w:val="35FD13A9"/>
    <w:rsid w:val="360040FE"/>
    <w:rsid w:val="36012698"/>
    <w:rsid w:val="361E5AAD"/>
    <w:rsid w:val="362F4E47"/>
    <w:rsid w:val="363A2FF8"/>
    <w:rsid w:val="3647449F"/>
    <w:rsid w:val="36527438"/>
    <w:rsid w:val="366A5880"/>
    <w:rsid w:val="3671072D"/>
    <w:rsid w:val="36733E44"/>
    <w:rsid w:val="368815AE"/>
    <w:rsid w:val="3688440F"/>
    <w:rsid w:val="368C11C2"/>
    <w:rsid w:val="369844EE"/>
    <w:rsid w:val="36AC53C0"/>
    <w:rsid w:val="36CC5FB8"/>
    <w:rsid w:val="36CD23AD"/>
    <w:rsid w:val="36CF1A51"/>
    <w:rsid w:val="36DE1936"/>
    <w:rsid w:val="36EE513D"/>
    <w:rsid w:val="36F30D41"/>
    <w:rsid w:val="36F53990"/>
    <w:rsid w:val="36F6663C"/>
    <w:rsid w:val="36FE42F6"/>
    <w:rsid w:val="3701395E"/>
    <w:rsid w:val="370F1A2C"/>
    <w:rsid w:val="370F76FD"/>
    <w:rsid w:val="3713391C"/>
    <w:rsid w:val="37166ACD"/>
    <w:rsid w:val="371F7479"/>
    <w:rsid w:val="37436B38"/>
    <w:rsid w:val="374575B6"/>
    <w:rsid w:val="377472E9"/>
    <w:rsid w:val="37910ACA"/>
    <w:rsid w:val="37A11689"/>
    <w:rsid w:val="37A91F9C"/>
    <w:rsid w:val="37BD30D3"/>
    <w:rsid w:val="37C4070F"/>
    <w:rsid w:val="37CF580A"/>
    <w:rsid w:val="37D53E8C"/>
    <w:rsid w:val="37DB1668"/>
    <w:rsid w:val="37DF79FC"/>
    <w:rsid w:val="37E46561"/>
    <w:rsid w:val="37E746DD"/>
    <w:rsid w:val="380A1551"/>
    <w:rsid w:val="382C078C"/>
    <w:rsid w:val="38376F0C"/>
    <w:rsid w:val="383C5BE5"/>
    <w:rsid w:val="38473550"/>
    <w:rsid w:val="384904F0"/>
    <w:rsid w:val="38563E07"/>
    <w:rsid w:val="38587E1D"/>
    <w:rsid w:val="386274E7"/>
    <w:rsid w:val="38665C5A"/>
    <w:rsid w:val="38876AD2"/>
    <w:rsid w:val="38955B20"/>
    <w:rsid w:val="389B5AE8"/>
    <w:rsid w:val="389E5BD2"/>
    <w:rsid w:val="389F182F"/>
    <w:rsid w:val="38A00F55"/>
    <w:rsid w:val="38B05FC3"/>
    <w:rsid w:val="38BB4F18"/>
    <w:rsid w:val="38E374B8"/>
    <w:rsid w:val="38EA6674"/>
    <w:rsid w:val="38FB37D1"/>
    <w:rsid w:val="38FF3BA7"/>
    <w:rsid w:val="3929250D"/>
    <w:rsid w:val="392B0CC6"/>
    <w:rsid w:val="39440A0C"/>
    <w:rsid w:val="394C61AF"/>
    <w:rsid w:val="395308C8"/>
    <w:rsid w:val="39547F86"/>
    <w:rsid w:val="3971644D"/>
    <w:rsid w:val="3972239A"/>
    <w:rsid w:val="398C3287"/>
    <w:rsid w:val="399529A5"/>
    <w:rsid w:val="39BF365D"/>
    <w:rsid w:val="39C96289"/>
    <w:rsid w:val="39CC499F"/>
    <w:rsid w:val="39CF74E3"/>
    <w:rsid w:val="39DA2245"/>
    <w:rsid w:val="39DF4537"/>
    <w:rsid w:val="39EC4676"/>
    <w:rsid w:val="39F10194"/>
    <w:rsid w:val="3A0D43C8"/>
    <w:rsid w:val="3A15327D"/>
    <w:rsid w:val="3A17559C"/>
    <w:rsid w:val="3A1A0893"/>
    <w:rsid w:val="3A1A731C"/>
    <w:rsid w:val="3A2160C5"/>
    <w:rsid w:val="3A4F49E1"/>
    <w:rsid w:val="3A5C61B1"/>
    <w:rsid w:val="3A60711D"/>
    <w:rsid w:val="3A8A705E"/>
    <w:rsid w:val="3A9B7363"/>
    <w:rsid w:val="3AAB5297"/>
    <w:rsid w:val="3AB561B3"/>
    <w:rsid w:val="3ABE0D51"/>
    <w:rsid w:val="3ACA22B9"/>
    <w:rsid w:val="3ACA4067"/>
    <w:rsid w:val="3AD671AE"/>
    <w:rsid w:val="3ADE5D64"/>
    <w:rsid w:val="3AE11A8E"/>
    <w:rsid w:val="3B057795"/>
    <w:rsid w:val="3B0F23C2"/>
    <w:rsid w:val="3B120246"/>
    <w:rsid w:val="3B145091"/>
    <w:rsid w:val="3B181276"/>
    <w:rsid w:val="3B185BA4"/>
    <w:rsid w:val="3B4569D6"/>
    <w:rsid w:val="3B4651C0"/>
    <w:rsid w:val="3B511807"/>
    <w:rsid w:val="3B734232"/>
    <w:rsid w:val="3B820DE6"/>
    <w:rsid w:val="3B890B2F"/>
    <w:rsid w:val="3B892174"/>
    <w:rsid w:val="3BA0301A"/>
    <w:rsid w:val="3BB523A3"/>
    <w:rsid w:val="3BCD02B3"/>
    <w:rsid w:val="3BD37C50"/>
    <w:rsid w:val="3BD76F29"/>
    <w:rsid w:val="3BE9345E"/>
    <w:rsid w:val="3C0B390A"/>
    <w:rsid w:val="3C106A29"/>
    <w:rsid w:val="3C131A3E"/>
    <w:rsid w:val="3C237B15"/>
    <w:rsid w:val="3C320116"/>
    <w:rsid w:val="3C327CB2"/>
    <w:rsid w:val="3C502C92"/>
    <w:rsid w:val="3C544530"/>
    <w:rsid w:val="3C81109D"/>
    <w:rsid w:val="3C8C7162"/>
    <w:rsid w:val="3C8F03E6"/>
    <w:rsid w:val="3C964B49"/>
    <w:rsid w:val="3CAB184A"/>
    <w:rsid w:val="3CBA0F6A"/>
    <w:rsid w:val="3CC57F97"/>
    <w:rsid w:val="3CD411CD"/>
    <w:rsid w:val="3CD64F45"/>
    <w:rsid w:val="3CDD5108"/>
    <w:rsid w:val="3CF50881"/>
    <w:rsid w:val="3CF76444"/>
    <w:rsid w:val="3D0D109B"/>
    <w:rsid w:val="3D141F11"/>
    <w:rsid w:val="3D207183"/>
    <w:rsid w:val="3D211F38"/>
    <w:rsid w:val="3D2F3868"/>
    <w:rsid w:val="3D475280"/>
    <w:rsid w:val="3D581DFE"/>
    <w:rsid w:val="3D5C6822"/>
    <w:rsid w:val="3D66668C"/>
    <w:rsid w:val="3D671B51"/>
    <w:rsid w:val="3D6F7148"/>
    <w:rsid w:val="3D7B053E"/>
    <w:rsid w:val="3D94095C"/>
    <w:rsid w:val="3D9A2417"/>
    <w:rsid w:val="3D9B43D7"/>
    <w:rsid w:val="3DA6741F"/>
    <w:rsid w:val="3DB03E61"/>
    <w:rsid w:val="3DB263EE"/>
    <w:rsid w:val="3DB61817"/>
    <w:rsid w:val="3DC17498"/>
    <w:rsid w:val="3DC456E6"/>
    <w:rsid w:val="3DDF6425"/>
    <w:rsid w:val="3DE40EEF"/>
    <w:rsid w:val="3DE74F30"/>
    <w:rsid w:val="3DE85D9F"/>
    <w:rsid w:val="3DF443E7"/>
    <w:rsid w:val="3DFD0F89"/>
    <w:rsid w:val="3E1A22A3"/>
    <w:rsid w:val="3E210442"/>
    <w:rsid w:val="3E247F32"/>
    <w:rsid w:val="3E2D35F9"/>
    <w:rsid w:val="3E657343"/>
    <w:rsid w:val="3E704F26"/>
    <w:rsid w:val="3E7A108D"/>
    <w:rsid w:val="3E7D2B7B"/>
    <w:rsid w:val="3E8D2BB0"/>
    <w:rsid w:val="3E952BDE"/>
    <w:rsid w:val="3E95498C"/>
    <w:rsid w:val="3E99615C"/>
    <w:rsid w:val="3EA90437"/>
    <w:rsid w:val="3EB832EC"/>
    <w:rsid w:val="3EC059AC"/>
    <w:rsid w:val="3ED348D8"/>
    <w:rsid w:val="3EF35C41"/>
    <w:rsid w:val="3EFA058A"/>
    <w:rsid w:val="3F012166"/>
    <w:rsid w:val="3F181CF7"/>
    <w:rsid w:val="3F1C6E5B"/>
    <w:rsid w:val="3F20684A"/>
    <w:rsid w:val="3F242089"/>
    <w:rsid w:val="3F32642F"/>
    <w:rsid w:val="3F361FA9"/>
    <w:rsid w:val="3F3E6DD5"/>
    <w:rsid w:val="3F4F7D45"/>
    <w:rsid w:val="3F5322DD"/>
    <w:rsid w:val="3F536D21"/>
    <w:rsid w:val="3F670293"/>
    <w:rsid w:val="3F676006"/>
    <w:rsid w:val="3F71635D"/>
    <w:rsid w:val="3F772067"/>
    <w:rsid w:val="3F870779"/>
    <w:rsid w:val="3F8C2486"/>
    <w:rsid w:val="3F8E0288"/>
    <w:rsid w:val="3F904799"/>
    <w:rsid w:val="3F9D5E49"/>
    <w:rsid w:val="3F9E0A48"/>
    <w:rsid w:val="3F9F681A"/>
    <w:rsid w:val="3FA12D97"/>
    <w:rsid w:val="3FA4132B"/>
    <w:rsid w:val="3FAFD16C"/>
    <w:rsid w:val="3FB05F21"/>
    <w:rsid w:val="3FBD783B"/>
    <w:rsid w:val="3FC65745"/>
    <w:rsid w:val="3FDC3209"/>
    <w:rsid w:val="3FDC7FBB"/>
    <w:rsid w:val="3FED765C"/>
    <w:rsid w:val="3FEE07F8"/>
    <w:rsid w:val="3FF26D08"/>
    <w:rsid w:val="3FF34060"/>
    <w:rsid w:val="3FF94FE8"/>
    <w:rsid w:val="3FFEDD49"/>
    <w:rsid w:val="401B7113"/>
    <w:rsid w:val="40366650"/>
    <w:rsid w:val="403A5BCE"/>
    <w:rsid w:val="403C7C7B"/>
    <w:rsid w:val="403F1D8A"/>
    <w:rsid w:val="40440B6D"/>
    <w:rsid w:val="40466886"/>
    <w:rsid w:val="405E3AA6"/>
    <w:rsid w:val="40721429"/>
    <w:rsid w:val="40793ED9"/>
    <w:rsid w:val="40892030"/>
    <w:rsid w:val="408D5AEF"/>
    <w:rsid w:val="408E7DA0"/>
    <w:rsid w:val="40920761"/>
    <w:rsid w:val="40990401"/>
    <w:rsid w:val="409977D1"/>
    <w:rsid w:val="409C25B3"/>
    <w:rsid w:val="40AA5D17"/>
    <w:rsid w:val="40AF13FE"/>
    <w:rsid w:val="40AF1B5F"/>
    <w:rsid w:val="40B30957"/>
    <w:rsid w:val="40B46CBF"/>
    <w:rsid w:val="40BB23CF"/>
    <w:rsid w:val="40BE01CA"/>
    <w:rsid w:val="40C75166"/>
    <w:rsid w:val="40E478F1"/>
    <w:rsid w:val="40EE720E"/>
    <w:rsid w:val="40F40564"/>
    <w:rsid w:val="40F41DF1"/>
    <w:rsid w:val="40F55BB6"/>
    <w:rsid w:val="40FE4A6B"/>
    <w:rsid w:val="41017F9D"/>
    <w:rsid w:val="4119017F"/>
    <w:rsid w:val="411B5612"/>
    <w:rsid w:val="411E510D"/>
    <w:rsid w:val="412C5A7C"/>
    <w:rsid w:val="41326E0A"/>
    <w:rsid w:val="41364944"/>
    <w:rsid w:val="41434B73"/>
    <w:rsid w:val="415524F4"/>
    <w:rsid w:val="415C41CD"/>
    <w:rsid w:val="41662610"/>
    <w:rsid w:val="416A4524"/>
    <w:rsid w:val="416D2A67"/>
    <w:rsid w:val="41847666"/>
    <w:rsid w:val="41870022"/>
    <w:rsid w:val="41874A60"/>
    <w:rsid w:val="41A42477"/>
    <w:rsid w:val="41A74CD7"/>
    <w:rsid w:val="41B20FEA"/>
    <w:rsid w:val="41BA3831"/>
    <w:rsid w:val="41E92964"/>
    <w:rsid w:val="41F04F82"/>
    <w:rsid w:val="41F50173"/>
    <w:rsid w:val="41FD2F74"/>
    <w:rsid w:val="420155EB"/>
    <w:rsid w:val="420B38E3"/>
    <w:rsid w:val="42130608"/>
    <w:rsid w:val="421559BB"/>
    <w:rsid w:val="421B691A"/>
    <w:rsid w:val="42251BA5"/>
    <w:rsid w:val="422B5D33"/>
    <w:rsid w:val="423B6F55"/>
    <w:rsid w:val="424A76F1"/>
    <w:rsid w:val="424E1FB3"/>
    <w:rsid w:val="4250579A"/>
    <w:rsid w:val="425D2B3C"/>
    <w:rsid w:val="42640D16"/>
    <w:rsid w:val="42662FB4"/>
    <w:rsid w:val="4286519A"/>
    <w:rsid w:val="42880EAC"/>
    <w:rsid w:val="42970A2C"/>
    <w:rsid w:val="429F1414"/>
    <w:rsid w:val="42B50F19"/>
    <w:rsid w:val="42C57A53"/>
    <w:rsid w:val="42C608A9"/>
    <w:rsid w:val="42CC1FB4"/>
    <w:rsid w:val="42DF534A"/>
    <w:rsid w:val="42E35B70"/>
    <w:rsid w:val="42EC14E8"/>
    <w:rsid w:val="42F74744"/>
    <w:rsid w:val="430B741B"/>
    <w:rsid w:val="43291B47"/>
    <w:rsid w:val="433024BD"/>
    <w:rsid w:val="43441126"/>
    <w:rsid w:val="437203C1"/>
    <w:rsid w:val="43722F19"/>
    <w:rsid w:val="43730982"/>
    <w:rsid w:val="43770B04"/>
    <w:rsid w:val="4385592A"/>
    <w:rsid w:val="43967063"/>
    <w:rsid w:val="439F55C2"/>
    <w:rsid w:val="43A51687"/>
    <w:rsid w:val="43A7763B"/>
    <w:rsid w:val="43AC633C"/>
    <w:rsid w:val="43B109C9"/>
    <w:rsid w:val="43B17479"/>
    <w:rsid w:val="43B86640"/>
    <w:rsid w:val="43BE5738"/>
    <w:rsid w:val="43DB5537"/>
    <w:rsid w:val="43E070F7"/>
    <w:rsid w:val="43E443EC"/>
    <w:rsid w:val="43EC1527"/>
    <w:rsid w:val="43FB078D"/>
    <w:rsid w:val="43FC3972"/>
    <w:rsid w:val="44010656"/>
    <w:rsid w:val="440F6F8F"/>
    <w:rsid w:val="44166909"/>
    <w:rsid w:val="441E1676"/>
    <w:rsid w:val="442A5F64"/>
    <w:rsid w:val="44376755"/>
    <w:rsid w:val="443B5FD6"/>
    <w:rsid w:val="444045B7"/>
    <w:rsid w:val="4449279A"/>
    <w:rsid w:val="445A288A"/>
    <w:rsid w:val="445A79C4"/>
    <w:rsid w:val="4466208A"/>
    <w:rsid w:val="44722751"/>
    <w:rsid w:val="44784C6C"/>
    <w:rsid w:val="447B0631"/>
    <w:rsid w:val="448E6105"/>
    <w:rsid w:val="448F119D"/>
    <w:rsid w:val="44B15343"/>
    <w:rsid w:val="44C02D54"/>
    <w:rsid w:val="44DC4738"/>
    <w:rsid w:val="44E641B4"/>
    <w:rsid w:val="44F37464"/>
    <w:rsid w:val="45121946"/>
    <w:rsid w:val="45254F4C"/>
    <w:rsid w:val="452F5D52"/>
    <w:rsid w:val="45356844"/>
    <w:rsid w:val="455D6468"/>
    <w:rsid w:val="4565249C"/>
    <w:rsid w:val="45733B31"/>
    <w:rsid w:val="4574077E"/>
    <w:rsid w:val="45884CAE"/>
    <w:rsid w:val="45972BF0"/>
    <w:rsid w:val="45992FB4"/>
    <w:rsid w:val="45A51959"/>
    <w:rsid w:val="45A9646C"/>
    <w:rsid w:val="45AC7DA0"/>
    <w:rsid w:val="45AF5174"/>
    <w:rsid w:val="45CF2E79"/>
    <w:rsid w:val="45D556D9"/>
    <w:rsid w:val="45D65FB6"/>
    <w:rsid w:val="45D67EF8"/>
    <w:rsid w:val="45E01D88"/>
    <w:rsid w:val="45EB0D2B"/>
    <w:rsid w:val="46036CA3"/>
    <w:rsid w:val="46073B2F"/>
    <w:rsid w:val="46296B09"/>
    <w:rsid w:val="46442E1E"/>
    <w:rsid w:val="464B294F"/>
    <w:rsid w:val="46601D24"/>
    <w:rsid w:val="4661754A"/>
    <w:rsid w:val="46680171"/>
    <w:rsid w:val="466F1F67"/>
    <w:rsid w:val="4670545E"/>
    <w:rsid w:val="46825EE5"/>
    <w:rsid w:val="468E063F"/>
    <w:rsid w:val="46AA3DCD"/>
    <w:rsid w:val="46AC6D17"/>
    <w:rsid w:val="46BD2949"/>
    <w:rsid w:val="46C047CA"/>
    <w:rsid w:val="46E84313"/>
    <w:rsid w:val="46FA23B5"/>
    <w:rsid w:val="46FB5ED4"/>
    <w:rsid w:val="46FE0D29"/>
    <w:rsid w:val="4705716F"/>
    <w:rsid w:val="47083529"/>
    <w:rsid w:val="471054F8"/>
    <w:rsid w:val="471274C2"/>
    <w:rsid w:val="47153A88"/>
    <w:rsid w:val="47193B9F"/>
    <w:rsid w:val="47237D12"/>
    <w:rsid w:val="47262CD6"/>
    <w:rsid w:val="472C3D19"/>
    <w:rsid w:val="473A125A"/>
    <w:rsid w:val="473E7968"/>
    <w:rsid w:val="474F3417"/>
    <w:rsid w:val="475710B6"/>
    <w:rsid w:val="475C4C5A"/>
    <w:rsid w:val="476F66C2"/>
    <w:rsid w:val="476F6D68"/>
    <w:rsid w:val="47707F17"/>
    <w:rsid w:val="47764977"/>
    <w:rsid w:val="47766E67"/>
    <w:rsid w:val="47767A51"/>
    <w:rsid w:val="47952AF8"/>
    <w:rsid w:val="47A82838"/>
    <w:rsid w:val="47AB6C3D"/>
    <w:rsid w:val="47CE1987"/>
    <w:rsid w:val="47D56F41"/>
    <w:rsid w:val="47D811D8"/>
    <w:rsid w:val="47E0136E"/>
    <w:rsid w:val="47F77B88"/>
    <w:rsid w:val="48301FE8"/>
    <w:rsid w:val="48310E04"/>
    <w:rsid w:val="48392779"/>
    <w:rsid w:val="4843355C"/>
    <w:rsid w:val="4846488D"/>
    <w:rsid w:val="48561630"/>
    <w:rsid w:val="48580F04"/>
    <w:rsid w:val="48582BA9"/>
    <w:rsid w:val="48585171"/>
    <w:rsid w:val="485B26A4"/>
    <w:rsid w:val="48651A62"/>
    <w:rsid w:val="48696D7A"/>
    <w:rsid w:val="48741AB6"/>
    <w:rsid w:val="489134A1"/>
    <w:rsid w:val="48A00EA8"/>
    <w:rsid w:val="48A278A6"/>
    <w:rsid w:val="48A51C70"/>
    <w:rsid w:val="48AB197C"/>
    <w:rsid w:val="48B2461A"/>
    <w:rsid w:val="48BB493A"/>
    <w:rsid w:val="48CA0BBB"/>
    <w:rsid w:val="48E95192"/>
    <w:rsid w:val="48EC3D42"/>
    <w:rsid w:val="48FA020D"/>
    <w:rsid w:val="48FF6B87"/>
    <w:rsid w:val="4900334A"/>
    <w:rsid w:val="490F5EC0"/>
    <w:rsid w:val="49314AE6"/>
    <w:rsid w:val="495514C0"/>
    <w:rsid w:val="49585047"/>
    <w:rsid w:val="495C0C56"/>
    <w:rsid w:val="4961276A"/>
    <w:rsid w:val="49623604"/>
    <w:rsid w:val="496259D1"/>
    <w:rsid w:val="496531F5"/>
    <w:rsid w:val="497661D4"/>
    <w:rsid w:val="49847F18"/>
    <w:rsid w:val="49883A6B"/>
    <w:rsid w:val="498C6389"/>
    <w:rsid w:val="499211EB"/>
    <w:rsid w:val="49A11BE2"/>
    <w:rsid w:val="49C1204C"/>
    <w:rsid w:val="49D45120"/>
    <w:rsid w:val="49EC1F73"/>
    <w:rsid w:val="49F42EAF"/>
    <w:rsid w:val="49F70BF1"/>
    <w:rsid w:val="49F75AE8"/>
    <w:rsid w:val="4A1B1FC0"/>
    <w:rsid w:val="4A2B5A7A"/>
    <w:rsid w:val="4A310AD8"/>
    <w:rsid w:val="4A3876E1"/>
    <w:rsid w:val="4A392FB7"/>
    <w:rsid w:val="4A3F5EBF"/>
    <w:rsid w:val="4A433504"/>
    <w:rsid w:val="4A4607B6"/>
    <w:rsid w:val="4A6BC564"/>
    <w:rsid w:val="4A7C5F1F"/>
    <w:rsid w:val="4A7E5139"/>
    <w:rsid w:val="4A9E2E1A"/>
    <w:rsid w:val="4AA03D3C"/>
    <w:rsid w:val="4AA12843"/>
    <w:rsid w:val="4AA625FC"/>
    <w:rsid w:val="4AAC37D1"/>
    <w:rsid w:val="4ADC327B"/>
    <w:rsid w:val="4AF80431"/>
    <w:rsid w:val="4B0940DB"/>
    <w:rsid w:val="4B11183E"/>
    <w:rsid w:val="4B3A1CEA"/>
    <w:rsid w:val="4B412124"/>
    <w:rsid w:val="4B46400B"/>
    <w:rsid w:val="4B48047A"/>
    <w:rsid w:val="4B4B7D5C"/>
    <w:rsid w:val="4B4E2A92"/>
    <w:rsid w:val="4B5005B9"/>
    <w:rsid w:val="4B517E8D"/>
    <w:rsid w:val="4B6360C2"/>
    <w:rsid w:val="4B7047B7"/>
    <w:rsid w:val="4B7A7FCA"/>
    <w:rsid w:val="4B7B33FB"/>
    <w:rsid w:val="4B9D72F0"/>
    <w:rsid w:val="4BA45BDF"/>
    <w:rsid w:val="4BA66610"/>
    <w:rsid w:val="4BAC7763"/>
    <w:rsid w:val="4BAD715A"/>
    <w:rsid w:val="4BB328F5"/>
    <w:rsid w:val="4BB90A10"/>
    <w:rsid w:val="4BBD43A6"/>
    <w:rsid w:val="4BCE5679"/>
    <w:rsid w:val="4BD25472"/>
    <w:rsid w:val="4BD72A88"/>
    <w:rsid w:val="4BE17463"/>
    <w:rsid w:val="4BE40FA7"/>
    <w:rsid w:val="4C0C42E9"/>
    <w:rsid w:val="4C215AB1"/>
    <w:rsid w:val="4C222982"/>
    <w:rsid w:val="4C2A2BB8"/>
    <w:rsid w:val="4C304F2E"/>
    <w:rsid w:val="4C4874E2"/>
    <w:rsid w:val="4C4A325A"/>
    <w:rsid w:val="4C5640D3"/>
    <w:rsid w:val="4C5C5B9B"/>
    <w:rsid w:val="4C63431C"/>
    <w:rsid w:val="4C6B1B8E"/>
    <w:rsid w:val="4C7E2F03"/>
    <w:rsid w:val="4C926A2F"/>
    <w:rsid w:val="4C96006B"/>
    <w:rsid w:val="4CA706AC"/>
    <w:rsid w:val="4CAE6DAA"/>
    <w:rsid w:val="4CB2313A"/>
    <w:rsid w:val="4CB47513"/>
    <w:rsid w:val="4CCD426D"/>
    <w:rsid w:val="4CF43FCB"/>
    <w:rsid w:val="4D091920"/>
    <w:rsid w:val="4D0A53EF"/>
    <w:rsid w:val="4D0B243D"/>
    <w:rsid w:val="4D183358"/>
    <w:rsid w:val="4D4D7DF7"/>
    <w:rsid w:val="4D5775BE"/>
    <w:rsid w:val="4D646208"/>
    <w:rsid w:val="4D6B16DA"/>
    <w:rsid w:val="4D7F152E"/>
    <w:rsid w:val="4D98532F"/>
    <w:rsid w:val="4D9C5088"/>
    <w:rsid w:val="4DA2179A"/>
    <w:rsid w:val="4DC112FA"/>
    <w:rsid w:val="4DC33A3E"/>
    <w:rsid w:val="4DDD665F"/>
    <w:rsid w:val="4DF07E31"/>
    <w:rsid w:val="4E0C12BC"/>
    <w:rsid w:val="4E0E689A"/>
    <w:rsid w:val="4E136B26"/>
    <w:rsid w:val="4E1C29D4"/>
    <w:rsid w:val="4E252782"/>
    <w:rsid w:val="4E332768"/>
    <w:rsid w:val="4E3E0B9C"/>
    <w:rsid w:val="4E4D4137"/>
    <w:rsid w:val="4E557C04"/>
    <w:rsid w:val="4E7119B4"/>
    <w:rsid w:val="4E8C409F"/>
    <w:rsid w:val="4E9116B7"/>
    <w:rsid w:val="4E934CFE"/>
    <w:rsid w:val="4E937000"/>
    <w:rsid w:val="4E942070"/>
    <w:rsid w:val="4E9521EF"/>
    <w:rsid w:val="4E97419F"/>
    <w:rsid w:val="4E9A4960"/>
    <w:rsid w:val="4E9D1D67"/>
    <w:rsid w:val="4EAA6232"/>
    <w:rsid w:val="4EAB1850"/>
    <w:rsid w:val="4EB1136E"/>
    <w:rsid w:val="4EBF6B30"/>
    <w:rsid w:val="4EC4361E"/>
    <w:rsid w:val="4ECF3EEA"/>
    <w:rsid w:val="4EEA4880"/>
    <w:rsid w:val="4EEF1E97"/>
    <w:rsid w:val="4EF35632"/>
    <w:rsid w:val="4F0A748E"/>
    <w:rsid w:val="4F140910"/>
    <w:rsid w:val="4F260AA2"/>
    <w:rsid w:val="4F2A1121"/>
    <w:rsid w:val="4F3D6F80"/>
    <w:rsid w:val="4F457D08"/>
    <w:rsid w:val="4F4A531F"/>
    <w:rsid w:val="4F4D74C0"/>
    <w:rsid w:val="4F555F1E"/>
    <w:rsid w:val="4F58404B"/>
    <w:rsid w:val="4F7269EB"/>
    <w:rsid w:val="4F762E8E"/>
    <w:rsid w:val="4F79558D"/>
    <w:rsid w:val="4F8838BE"/>
    <w:rsid w:val="4F8C5937"/>
    <w:rsid w:val="4FA537CF"/>
    <w:rsid w:val="4FB7735F"/>
    <w:rsid w:val="4FB81A94"/>
    <w:rsid w:val="4FCD4A23"/>
    <w:rsid w:val="4FCE5F50"/>
    <w:rsid w:val="4FDB0BF1"/>
    <w:rsid w:val="4FF8236C"/>
    <w:rsid w:val="50060351"/>
    <w:rsid w:val="500F31B8"/>
    <w:rsid w:val="5011123F"/>
    <w:rsid w:val="501222E0"/>
    <w:rsid w:val="501447C8"/>
    <w:rsid w:val="50284EC1"/>
    <w:rsid w:val="502B287F"/>
    <w:rsid w:val="50334005"/>
    <w:rsid w:val="50357D7D"/>
    <w:rsid w:val="503620FE"/>
    <w:rsid w:val="503C4FFC"/>
    <w:rsid w:val="503D154A"/>
    <w:rsid w:val="5043693E"/>
    <w:rsid w:val="504A7CCC"/>
    <w:rsid w:val="504C7C02"/>
    <w:rsid w:val="50510052"/>
    <w:rsid w:val="50633018"/>
    <w:rsid w:val="50700DB5"/>
    <w:rsid w:val="50776CD1"/>
    <w:rsid w:val="507F0FE6"/>
    <w:rsid w:val="50886420"/>
    <w:rsid w:val="508C47C1"/>
    <w:rsid w:val="50913EC5"/>
    <w:rsid w:val="509A6AC7"/>
    <w:rsid w:val="509C3C82"/>
    <w:rsid w:val="50A43B38"/>
    <w:rsid w:val="50A46653"/>
    <w:rsid w:val="50A562A4"/>
    <w:rsid w:val="50AF14D1"/>
    <w:rsid w:val="50BE401B"/>
    <w:rsid w:val="50C308BA"/>
    <w:rsid w:val="50C335DB"/>
    <w:rsid w:val="50EE71A7"/>
    <w:rsid w:val="50F1663F"/>
    <w:rsid w:val="50F908FB"/>
    <w:rsid w:val="50FA4F04"/>
    <w:rsid w:val="5104586A"/>
    <w:rsid w:val="512B49D9"/>
    <w:rsid w:val="512F21E2"/>
    <w:rsid w:val="51422B90"/>
    <w:rsid w:val="515C6294"/>
    <w:rsid w:val="516C5A20"/>
    <w:rsid w:val="517C5AD7"/>
    <w:rsid w:val="517D0550"/>
    <w:rsid w:val="517D311D"/>
    <w:rsid w:val="51845A0B"/>
    <w:rsid w:val="518544EC"/>
    <w:rsid w:val="518562F5"/>
    <w:rsid w:val="519A39CC"/>
    <w:rsid w:val="519B69CC"/>
    <w:rsid w:val="51A67184"/>
    <w:rsid w:val="51B81CB4"/>
    <w:rsid w:val="51DB4FF3"/>
    <w:rsid w:val="51DD771A"/>
    <w:rsid w:val="51E22155"/>
    <w:rsid w:val="51E607BE"/>
    <w:rsid w:val="51EB6365"/>
    <w:rsid w:val="52115F71"/>
    <w:rsid w:val="5212481A"/>
    <w:rsid w:val="52224331"/>
    <w:rsid w:val="522D3BC2"/>
    <w:rsid w:val="52350372"/>
    <w:rsid w:val="523866DB"/>
    <w:rsid w:val="523E2D1D"/>
    <w:rsid w:val="526F3A1A"/>
    <w:rsid w:val="527E1EAF"/>
    <w:rsid w:val="528201CF"/>
    <w:rsid w:val="528C3D99"/>
    <w:rsid w:val="52900663"/>
    <w:rsid w:val="529214B7"/>
    <w:rsid w:val="52980A88"/>
    <w:rsid w:val="5298522C"/>
    <w:rsid w:val="52A80A9D"/>
    <w:rsid w:val="52BB7D32"/>
    <w:rsid w:val="52CB3036"/>
    <w:rsid w:val="52D128C6"/>
    <w:rsid w:val="52DA09B7"/>
    <w:rsid w:val="52EF6909"/>
    <w:rsid w:val="52F058E9"/>
    <w:rsid w:val="52F83A10"/>
    <w:rsid w:val="53067019"/>
    <w:rsid w:val="5316714C"/>
    <w:rsid w:val="53177C0E"/>
    <w:rsid w:val="531E0F9C"/>
    <w:rsid w:val="532A5B93"/>
    <w:rsid w:val="532F32BF"/>
    <w:rsid w:val="5342670B"/>
    <w:rsid w:val="535B3F9E"/>
    <w:rsid w:val="535D4ADD"/>
    <w:rsid w:val="53764934"/>
    <w:rsid w:val="537F31CD"/>
    <w:rsid w:val="538232D9"/>
    <w:rsid w:val="539D0113"/>
    <w:rsid w:val="53A25729"/>
    <w:rsid w:val="53A2582C"/>
    <w:rsid w:val="53BA0CC5"/>
    <w:rsid w:val="54177385"/>
    <w:rsid w:val="541C1980"/>
    <w:rsid w:val="54282338"/>
    <w:rsid w:val="542B571F"/>
    <w:rsid w:val="5437369B"/>
    <w:rsid w:val="54521934"/>
    <w:rsid w:val="545612CA"/>
    <w:rsid w:val="545807D2"/>
    <w:rsid w:val="545A4256"/>
    <w:rsid w:val="547075D6"/>
    <w:rsid w:val="54774803"/>
    <w:rsid w:val="54776BB6"/>
    <w:rsid w:val="547D1331"/>
    <w:rsid w:val="54895D46"/>
    <w:rsid w:val="54897EE4"/>
    <w:rsid w:val="5493057E"/>
    <w:rsid w:val="549366B5"/>
    <w:rsid w:val="549D2453"/>
    <w:rsid w:val="549E2A0C"/>
    <w:rsid w:val="54AA740A"/>
    <w:rsid w:val="54BE713A"/>
    <w:rsid w:val="54C31873"/>
    <w:rsid w:val="54CB7808"/>
    <w:rsid w:val="54E0475B"/>
    <w:rsid w:val="54F2448F"/>
    <w:rsid w:val="550F0C9B"/>
    <w:rsid w:val="55160F2F"/>
    <w:rsid w:val="55196DA6"/>
    <w:rsid w:val="553230A8"/>
    <w:rsid w:val="55326F81"/>
    <w:rsid w:val="55366A71"/>
    <w:rsid w:val="554A5CB4"/>
    <w:rsid w:val="555144D8"/>
    <w:rsid w:val="556533F4"/>
    <w:rsid w:val="556F1076"/>
    <w:rsid w:val="556F78AD"/>
    <w:rsid w:val="55733457"/>
    <w:rsid w:val="55733D71"/>
    <w:rsid w:val="55786902"/>
    <w:rsid w:val="557A4EB1"/>
    <w:rsid w:val="55801A9A"/>
    <w:rsid w:val="55862E36"/>
    <w:rsid w:val="558D4535"/>
    <w:rsid w:val="558F77E8"/>
    <w:rsid w:val="559422AF"/>
    <w:rsid w:val="55976C9E"/>
    <w:rsid w:val="55BD4A9D"/>
    <w:rsid w:val="55BF0815"/>
    <w:rsid w:val="55C81195"/>
    <w:rsid w:val="55E316B5"/>
    <w:rsid w:val="55FD3B66"/>
    <w:rsid w:val="560669B1"/>
    <w:rsid w:val="563034C0"/>
    <w:rsid w:val="563E7C53"/>
    <w:rsid w:val="56635D06"/>
    <w:rsid w:val="566C50E8"/>
    <w:rsid w:val="56703846"/>
    <w:rsid w:val="568115FD"/>
    <w:rsid w:val="569C2904"/>
    <w:rsid w:val="56A67792"/>
    <w:rsid w:val="56AE751C"/>
    <w:rsid w:val="56BE3197"/>
    <w:rsid w:val="56BE38A3"/>
    <w:rsid w:val="56E401CB"/>
    <w:rsid w:val="570045FE"/>
    <w:rsid w:val="571033C1"/>
    <w:rsid w:val="57141164"/>
    <w:rsid w:val="572F7DFE"/>
    <w:rsid w:val="573520F2"/>
    <w:rsid w:val="573568B4"/>
    <w:rsid w:val="5736794B"/>
    <w:rsid w:val="57511940"/>
    <w:rsid w:val="57665F5A"/>
    <w:rsid w:val="577324F3"/>
    <w:rsid w:val="57770C7B"/>
    <w:rsid w:val="57776ECD"/>
    <w:rsid w:val="57843737"/>
    <w:rsid w:val="57846740"/>
    <w:rsid w:val="57923D07"/>
    <w:rsid w:val="579F6C1A"/>
    <w:rsid w:val="57C62CAE"/>
    <w:rsid w:val="57D74861"/>
    <w:rsid w:val="57E9041E"/>
    <w:rsid w:val="57EB0CC3"/>
    <w:rsid w:val="57F77E76"/>
    <w:rsid w:val="580532FA"/>
    <w:rsid w:val="58265A61"/>
    <w:rsid w:val="58353010"/>
    <w:rsid w:val="58451850"/>
    <w:rsid w:val="58533496"/>
    <w:rsid w:val="58586CFE"/>
    <w:rsid w:val="585B7BE9"/>
    <w:rsid w:val="585E39B1"/>
    <w:rsid w:val="58643165"/>
    <w:rsid w:val="586B3184"/>
    <w:rsid w:val="58882EC9"/>
    <w:rsid w:val="588A48DE"/>
    <w:rsid w:val="589661EB"/>
    <w:rsid w:val="58A17FF0"/>
    <w:rsid w:val="58A91308"/>
    <w:rsid w:val="58AC1A51"/>
    <w:rsid w:val="58AD0DF8"/>
    <w:rsid w:val="58B53938"/>
    <w:rsid w:val="58B9336C"/>
    <w:rsid w:val="58C06B73"/>
    <w:rsid w:val="58C25E86"/>
    <w:rsid w:val="58D217BB"/>
    <w:rsid w:val="58D36773"/>
    <w:rsid w:val="58D613D4"/>
    <w:rsid w:val="58E21BC7"/>
    <w:rsid w:val="58E7409E"/>
    <w:rsid w:val="58E83B65"/>
    <w:rsid w:val="58EA21DF"/>
    <w:rsid w:val="58ED44DD"/>
    <w:rsid w:val="58F57E61"/>
    <w:rsid w:val="58FB6DE6"/>
    <w:rsid w:val="59037C3D"/>
    <w:rsid w:val="59044790"/>
    <w:rsid w:val="5915074C"/>
    <w:rsid w:val="591D79B1"/>
    <w:rsid w:val="59232E69"/>
    <w:rsid w:val="594A6647"/>
    <w:rsid w:val="594E3174"/>
    <w:rsid w:val="59513FBD"/>
    <w:rsid w:val="5961456B"/>
    <w:rsid w:val="59710498"/>
    <w:rsid w:val="59790B19"/>
    <w:rsid w:val="59797C4E"/>
    <w:rsid w:val="59851D75"/>
    <w:rsid w:val="598A51C9"/>
    <w:rsid w:val="599B50F5"/>
    <w:rsid w:val="59BE0DE3"/>
    <w:rsid w:val="59C11551"/>
    <w:rsid w:val="59C53632"/>
    <w:rsid w:val="59EB1207"/>
    <w:rsid w:val="59EE4DAD"/>
    <w:rsid w:val="5A0E377B"/>
    <w:rsid w:val="5A100B94"/>
    <w:rsid w:val="5A137883"/>
    <w:rsid w:val="5A1A4663"/>
    <w:rsid w:val="5A1C5C4A"/>
    <w:rsid w:val="5A1F0775"/>
    <w:rsid w:val="5A236268"/>
    <w:rsid w:val="5A461504"/>
    <w:rsid w:val="5A470DD9"/>
    <w:rsid w:val="5A5B5287"/>
    <w:rsid w:val="5A6248F6"/>
    <w:rsid w:val="5A6403AC"/>
    <w:rsid w:val="5A7670FD"/>
    <w:rsid w:val="5A84202D"/>
    <w:rsid w:val="5A8B4CF4"/>
    <w:rsid w:val="5A8F2CD7"/>
    <w:rsid w:val="5A980073"/>
    <w:rsid w:val="5AA04D46"/>
    <w:rsid w:val="5AA053AE"/>
    <w:rsid w:val="5AB13FD3"/>
    <w:rsid w:val="5AC468CD"/>
    <w:rsid w:val="5AD01FAB"/>
    <w:rsid w:val="5AD563E4"/>
    <w:rsid w:val="5AE8436A"/>
    <w:rsid w:val="5AE94FCE"/>
    <w:rsid w:val="5AF745AD"/>
    <w:rsid w:val="5B046A31"/>
    <w:rsid w:val="5B1C3BB4"/>
    <w:rsid w:val="5B2264C6"/>
    <w:rsid w:val="5B332483"/>
    <w:rsid w:val="5B3F5F54"/>
    <w:rsid w:val="5B503CBD"/>
    <w:rsid w:val="5B5621BB"/>
    <w:rsid w:val="5B62397A"/>
    <w:rsid w:val="5B6677FD"/>
    <w:rsid w:val="5B6B0AF7"/>
    <w:rsid w:val="5B722DD7"/>
    <w:rsid w:val="5B8C73EB"/>
    <w:rsid w:val="5B9D661E"/>
    <w:rsid w:val="5BA1276A"/>
    <w:rsid w:val="5BA9004D"/>
    <w:rsid w:val="5BB05106"/>
    <w:rsid w:val="5BB34C8C"/>
    <w:rsid w:val="5BBE5DF0"/>
    <w:rsid w:val="5BEB7BA1"/>
    <w:rsid w:val="5BF24C58"/>
    <w:rsid w:val="5BF64B27"/>
    <w:rsid w:val="5C037758"/>
    <w:rsid w:val="5C0E385F"/>
    <w:rsid w:val="5C125E56"/>
    <w:rsid w:val="5C1858A3"/>
    <w:rsid w:val="5C342F61"/>
    <w:rsid w:val="5C3936CD"/>
    <w:rsid w:val="5C3F16A6"/>
    <w:rsid w:val="5C4111ED"/>
    <w:rsid w:val="5C5D4249"/>
    <w:rsid w:val="5C686817"/>
    <w:rsid w:val="5C71213D"/>
    <w:rsid w:val="5C8260DC"/>
    <w:rsid w:val="5C9E732D"/>
    <w:rsid w:val="5CAF71DA"/>
    <w:rsid w:val="5CC04E72"/>
    <w:rsid w:val="5CC166A9"/>
    <w:rsid w:val="5CCF75B1"/>
    <w:rsid w:val="5CD37048"/>
    <w:rsid w:val="5CE15296"/>
    <w:rsid w:val="5CE2128D"/>
    <w:rsid w:val="5CEE378D"/>
    <w:rsid w:val="5CEE7C31"/>
    <w:rsid w:val="5CEF66F0"/>
    <w:rsid w:val="5CF178B1"/>
    <w:rsid w:val="5CF72E40"/>
    <w:rsid w:val="5D0E2082"/>
    <w:rsid w:val="5D336D63"/>
    <w:rsid w:val="5D356543"/>
    <w:rsid w:val="5D463BDB"/>
    <w:rsid w:val="5D4A1B1D"/>
    <w:rsid w:val="5D722610"/>
    <w:rsid w:val="5DA500C8"/>
    <w:rsid w:val="5DB64E2A"/>
    <w:rsid w:val="5DBB464E"/>
    <w:rsid w:val="5DC04A97"/>
    <w:rsid w:val="5DF4033E"/>
    <w:rsid w:val="5E3653EC"/>
    <w:rsid w:val="5E423AB4"/>
    <w:rsid w:val="5E4671AD"/>
    <w:rsid w:val="5E4B6A50"/>
    <w:rsid w:val="5E532442"/>
    <w:rsid w:val="5E5A37D0"/>
    <w:rsid w:val="5E653F23"/>
    <w:rsid w:val="5E653F83"/>
    <w:rsid w:val="5E6737F7"/>
    <w:rsid w:val="5E750541"/>
    <w:rsid w:val="5E85125B"/>
    <w:rsid w:val="5E853D0A"/>
    <w:rsid w:val="5ED2165C"/>
    <w:rsid w:val="5ED32AE2"/>
    <w:rsid w:val="5ED461CD"/>
    <w:rsid w:val="5EDF5A84"/>
    <w:rsid w:val="5EE57B01"/>
    <w:rsid w:val="5F08322C"/>
    <w:rsid w:val="5F1B5ED5"/>
    <w:rsid w:val="5F231541"/>
    <w:rsid w:val="5F2B6CCA"/>
    <w:rsid w:val="5F3D7868"/>
    <w:rsid w:val="5F4043B4"/>
    <w:rsid w:val="5F427DC1"/>
    <w:rsid w:val="5F4D125E"/>
    <w:rsid w:val="5F5C0C03"/>
    <w:rsid w:val="5F6C2874"/>
    <w:rsid w:val="5FA5175A"/>
    <w:rsid w:val="5FB203CF"/>
    <w:rsid w:val="5FB94F96"/>
    <w:rsid w:val="5FBC5DC5"/>
    <w:rsid w:val="5FCD7F69"/>
    <w:rsid w:val="5FD14746"/>
    <w:rsid w:val="5FDC73C0"/>
    <w:rsid w:val="5FE7059D"/>
    <w:rsid w:val="5FEA168D"/>
    <w:rsid w:val="5FED4190"/>
    <w:rsid w:val="5FF06B51"/>
    <w:rsid w:val="60017FFF"/>
    <w:rsid w:val="60060A18"/>
    <w:rsid w:val="600809AE"/>
    <w:rsid w:val="601C2FDB"/>
    <w:rsid w:val="602F3923"/>
    <w:rsid w:val="60325C9E"/>
    <w:rsid w:val="603E4A2C"/>
    <w:rsid w:val="604066E9"/>
    <w:rsid w:val="606128F9"/>
    <w:rsid w:val="60807892"/>
    <w:rsid w:val="60820DBC"/>
    <w:rsid w:val="60930716"/>
    <w:rsid w:val="60971779"/>
    <w:rsid w:val="609C650B"/>
    <w:rsid w:val="60A9383C"/>
    <w:rsid w:val="60AE3960"/>
    <w:rsid w:val="60BD13AD"/>
    <w:rsid w:val="60C767CF"/>
    <w:rsid w:val="60CC6897"/>
    <w:rsid w:val="60E53758"/>
    <w:rsid w:val="60EB559E"/>
    <w:rsid w:val="60EC5A98"/>
    <w:rsid w:val="60ED7923"/>
    <w:rsid w:val="60F7513F"/>
    <w:rsid w:val="61020A8B"/>
    <w:rsid w:val="610E43FE"/>
    <w:rsid w:val="61233922"/>
    <w:rsid w:val="61371B9D"/>
    <w:rsid w:val="613A6B72"/>
    <w:rsid w:val="614C3178"/>
    <w:rsid w:val="61507E61"/>
    <w:rsid w:val="61700B7C"/>
    <w:rsid w:val="61862394"/>
    <w:rsid w:val="618A26A8"/>
    <w:rsid w:val="61940E80"/>
    <w:rsid w:val="619C1A0A"/>
    <w:rsid w:val="61B56E1C"/>
    <w:rsid w:val="61BA27D8"/>
    <w:rsid w:val="61CA179A"/>
    <w:rsid w:val="61ED60AB"/>
    <w:rsid w:val="61F561D1"/>
    <w:rsid w:val="61FC5BF7"/>
    <w:rsid w:val="62003D72"/>
    <w:rsid w:val="621041A6"/>
    <w:rsid w:val="62144911"/>
    <w:rsid w:val="62233ED9"/>
    <w:rsid w:val="622C4346"/>
    <w:rsid w:val="62397520"/>
    <w:rsid w:val="623E0E90"/>
    <w:rsid w:val="62456440"/>
    <w:rsid w:val="624A76B8"/>
    <w:rsid w:val="626C7DD0"/>
    <w:rsid w:val="628358B6"/>
    <w:rsid w:val="62970423"/>
    <w:rsid w:val="62A342CB"/>
    <w:rsid w:val="62B53088"/>
    <w:rsid w:val="62B912A0"/>
    <w:rsid w:val="62BA354D"/>
    <w:rsid w:val="62BD60DC"/>
    <w:rsid w:val="62BE3C02"/>
    <w:rsid w:val="62C07F2F"/>
    <w:rsid w:val="62C16C8E"/>
    <w:rsid w:val="62C40FBE"/>
    <w:rsid w:val="62CC0B21"/>
    <w:rsid w:val="62CD0CD8"/>
    <w:rsid w:val="62D31C2E"/>
    <w:rsid w:val="62F578E3"/>
    <w:rsid w:val="630E0255"/>
    <w:rsid w:val="63147F78"/>
    <w:rsid w:val="632B2BBF"/>
    <w:rsid w:val="632C14B3"/>
    <w:rsid w:val="6332592B"/>
    <w:rsid w:val="633667CA"/>
    <w:rsid w:val="633E6D8A"/>
    <w:rsid w:val="63412B7F"/>
    <w:rsid w:val="63694055"/>
    <w:rsid w:val="636D09A0"/>
    <w:rsid w:val="63730B22"/>
    <w:rsid w:val="638D01B0"/>
    <w:rsid w:val="638F5282"/>
    <w:rsid w:val="63903FB2"/>
    <w:rsid w:val="63A4104A"/>
    <w:rsid w:val="63AB6077"/>
    <w:rsid w:val="63B719D9"/>
    <w:rsid w:val="63BA2253"/>
    <w:rsid w:val="63BE6120"/>
    <w:rsid w:val="63E51605"/>
    <w:rsid w:val="63E91313"/>
    <w:rsid w:val="63ED56F4"/>
    <w:rsid w:val="63EE71D7"/>
    <w:rsid w:val="63F62524"/>
    <w:rsid w:val="6410048D"/>
    <w:rsid w:val="641368FC"/>
    <w:rsid w:val="64232B30"/>
    <w:rsid w:val="642750FF"/>
    <w:rsid w:val="642E7FF9"/>
    <w:rsid w:val="64422D1C"/>
    <w:rsid w:val="644A10F6"/>
    <w:rsid w:val="6455312D"/>
    <w:rsid w:val="64584C28"/>
    <w:rsid w:val="64591E7E"/>
    <w:rsid w:val="647D23B3"/>
    <w:rsid w:val="6485431C"/>
    <w:rsid w:val="64CF20BC"/>
    <w:rsid w:val="64D30818"/>
    <w:rsid w:val="64D710A3"/>
    <w:rsid w:val="64D92CF5"/>
    <w:rsid w:val="64DB0A9B"/>
    <w:rsid w:val="64DF10B1"/>
    <w:rsid w:val="64F13BAE"/>
    <w:rsid w:val="64F536EB"/>
    <w:rsid w:val="65193D02"/>
    <w:rsid w:val="65226E48"/>
    <w:rsid w:val="652C12F7"/>
    <w:rsid w:val="65310255"/>
    <w:rsid w:val="653257ED"/>
    <w:rsid w:val="65597932"/>
    <w:rsid w:val="656C76C4"/>
    <w:rsid w:val="656E5D11"/>
    <w:rsid w:val="65846AD9"/>
    <w:rsid w:val="658E1337"/>
    <w:rsid w:val="65961A42"/>
    <w:rsid w:val="65B35574"/>
    <w:rsid w:val="65B9416E"/>
    <w:rsid w:val="65BD04B1"/>
    <w:rsid w:val="65D16EA1"/>
    <w:rsid w:val="65F00576"/>
    <w:rsid w:val="65F05A79"/>
    <w:rsid w:val="65F72169"/>
    <w:rsid w:val="65F83F4C"/>
    <w:rsid w:val="65FA01CE"/>
    <w:rsid w:val="65FF0E50"/>
    <w:rsid w:val="660C1089"/>
    <w:rsid w:val="661701F9"/>
    <w:rsid w:val="66240220"/>
    <w:rsid w:val="662C44D7"/>
    <w:rsid w:val="66355F50"/>
    <w:rsid w:val="66430FEE"/>
    <w:rsid w:val="66440D50"/>
    <w:rsid w:val="66504945"/>
    <w:rsid w:val="665C2090"/>
    <w:rsid w:val="666C12D9"/>
    <w:rsid w:val="666F5527"/>
    <w:rsid w:val="667F60C2"/>
    <w:rsid w:val="668229B8"/>
    <w:rsid w:val="668D7512"/>
    <w:rsid w:val="668F2230"/>
    <w:rsid w:val="669E6224"/>
    <w:rsid w:val="669F36BE"/>
    <w:rsid w:val="66C60076"/>
    <w:rsid w:val="66CF4630"/>
    <w:rsid w:val="66CF5A1A"/>
    <w:rsid w:val="66DF5826"/>
    <w:rsid w:val="6701737A"/>
    <w:rsid w:val="670A3F58"/>
    <w:rsid w:val="67287F82"/>
    <w:rsid w:val="67361904"/>
    <w:rsid w:val="6748553E"/>
    <w:rsid w:val="675220D6"/>
    <w:rsid w:val="675D3F22"/>
    <w:rsid w:val="67604A61"/>
    <w:rsid w:val="676627BE"/>
    <w:rsid w:val="676B3BD9"/>
    <w:rsid w:val="67C12FEA"/>
    <w:rsid w:val="67C63C85"/>
    <w:rsid w:val="67DB0DB2"/>
    <w:rsid w:val="67E040A0"/>
    <w:rsid w:val="67E617FF"/>
    <w:rsid w:val="67E6351E"/>
    <w:rsid w:val="67FE299D"/>
    <w:rsid w:val="68170834"/>
    <w:rsid w:val="683824DF"/>
    <w:rsid w:val="683D552F"/>
    <w:rsid w:val="68430743"/>
    <w:rsid w:val="685A43CD"/>
    <w:rsid w:val="685E66D5"/>
    <w:rsid w:val="6862002F"/>
    <w:rsid w:val="686D775D"/>
    <w:rsid w:val="68A33D77"/>
    <w:rsid w:val="68CF4BCE"/>
    <w:rsid w:val="68DF691E"/>
    <w:rsid w:val="68E41715"/>
    <w:rsid w:val="68E76C65"/>
    <w:rsid w:val="690B3330"/>
    <w:rsid w:val="692B0671"/>
    <w:rsid w:val="692C19DD"/>
    <w:rsid w:val="695A5ED7"/>
    <w:rsid w:val="69623539"/>
    <w:rsid w:val="696755A6"/>
    <w:rsid w:val="69803709"/>
    <w:rsid w:val="698D2869"/>
    <w:rsid w:val="699646B8"/>
    <w:rsid w:val="69AC65BA"/>
    <w:rsid w:val="69AF6473"/>
    <w:rsid w:val="69CF506E"/>
    <w:rsid w:val="69DD52B6"/>
    <w:rsid w:val="69E12588"/>
    <w:rsid w:val="69E93980"/>
    <w:rsid w:val="69EC51D3"/>
    <w:rsid w:val="69F148BD"/>
    <w:rsid w:val="69F543AD"/>
    <w:rsid w:val="69FC76E8"/>
    <w:rsid w:val="6A242933"/>
    <w:rsid w:val="6A26694E"/>
    <w:rsid w:val="6A4064A3"/>
    <w:rsid w:val="6A410B65"/>
    <w:rsid w:val="6A4B221F"/>
    <w:rsid w:val="6A5967A9"/>
    <w:rsid w:val="6A784972"/>
    <w:rsid w:val="6A81170C"/>
    <w:rsid w:val="6A861D5F"/>
    <w:rsid w:val="6A881E6F"/>
    <w:rsid w:val="6A885CF0"/>
    <w:rsid w:val="6A9E484B"/>
    <w:rsid w:val="6ACA0F79"/>
    <w:rsid w:val="6AD9146D"/>
    <w:rsid w:val="6AD9782B"/>
    <w:rsid w:val="6AE4292E"/>
    <w:rsid w:val="6AE508C6"/>
    <w:rsid w:val="6AF15040"/>
    <w:rsid w:val="6AF503DD"/>
    <w:rsid w:val="6AFE6F01"/>
    <w:rsid w:val="6B1452A5"/>
    <w:rsid w:val="6B217424"/>
    <w:rsid w:val="6B2C79C0"/>
    <w:rsid w:val="6B3233DF"/>
    <w:rsid w:val="6B3453A9"/>
    <w:rsid w:val="6B3D6595"/>
    <w:rsid w:val="6B634101"/>
    <w:rsid w:val="6B6F4633"/>
    <w:rsid w:val="6B7D0DA9"/>
    <w:rsid w:val="6B7E74A4"/>
    <w:rsid w:val="6B82574D"/>
    <w:rsid w:val="6B856DA3"/>
    <w:rsid w:val="6B8A1339"/>
    <w:rsid w:val="6B8B1A18"/>
    <w:rsid w:val="6BB1743C"/>
    <w:rsid w:val="6BBF03A5"/>
    <w:rsid w:val="6BC32289"/>
    <w:rsid w:val="6BCA3618"/>
    <w:rsid w:val="6BCF4ECD"/>
    <w:rsid w:val="6BF275A6"/>
    <w:rsid w:val="6BFB0A53"/>
    <w:rsid w:val="6C004DC5"/>
    <w:rsid w:val="6C047748"/>
    <w:rsid w:val="6C0905E4"/>
    <w:rsid w:val="6C1C0317"/>
    <w:rsid w:val="6C1C4A3B"/>
    <w:rsid w:val="6C257A61"/>
    <w:rsid w:val="6C2F473E"/>
    <w:rsid w:val="6C371F77"/>
    <w:rsid w:val="6C3A1E15"/>
    <w:rsid w:val="6C3D766A"/>
    <w:rsid w:val="6C42398B"/>
    <w:rsid w:val="6C553851"/>
    <w:rsid w:val="6C5F0204"/>
    <w:rsid w:val="6C705222"/>
    <w:rsid w:val="6C7D023C"/>
    <w:rsid w:val="6C7E264A"/>
    <w:rsid w:val="6C8028FB"/>
    <w:rsid w:val="6C882850"/>
    <w:rsid w:val="6C8B0FF9"/>
    <w:rsid w:val="6C8E6C86"/>
    <w:rsid w:val="6C953C26"/>
    <w:rsid w:val="6C966E07"/>
    <w:rsid w:val="6CA67BE1"/>
    <w:rsid w:val="6CA96186"/>
    <w:rsid w:val="6CB647AB"/>
    <w:rsid w:val="6CB91EDE"/>
    <w:rsid w:val="6CDA5A90"/>
    <w:rsid w:val="6CDC091B"/>
    <w:rsid w:val="6CFC2D7A"/>
    <w:rsid w:val="6CFE17CB"/>
    <w:rsid w:val="6CFF2D11"/>
    <w:rsid w:val="6D222B06"/>
    <w:rsid w:val="6D34168A"/>
    <w:rsid w:val="6D367283"/>
    <w:rsid w:val="6D4C69DA"/>
    <w:rsid w:val="6D4F57D5"/>
    <w:rsid w:val="6D58189E"/>
    <w:rsid w:val="6D634FB1"/>
    <w:rsid w:val="6D695244"/>
    <w:rsid w:val="6D6B0BCD"/>
    <w:rsid w:val="6D800F2A"/>
    <w:rsid w:val="6D842E46"/>
    <w:rsid w:val="6D855A48"/>
    <w:rsid w:val="6D910891"/>
    <w:rsid w:val="6DA47ADA"/>
    <w:rsid w:val="6DBE0F5A"/>
    <w:rsid w:val="6DD95D94"/>
    <w:rsid w:val="6DF160D4"/>
    <w:rsid w:val="6DF759BD"/>
    <w:rsid w:val="6E0B6B0F"/>
    <w:rsid w:val="6E172CFA"/>
    <w:rsid w:val="6E3336F6"/>
    <w:rsid w:val="6E470F4F"/>
    <w:rsid w:val="6E4846AB"/>
    <w:rsid w:val="6E5362E1"/>
    <w:rsid w:val="6E541E8F"/>
    <w:rsid w:val="6E562D91"/>
    <w:rsid w:val="6E58315D"/>
    <w:rsid w:val="6E71421E"/>
    <w:rsid w:val="6E800798"/>
    <w:rsid w:val="6EB1286D"/>
    <w:rsid w:val="6EB325D7"/>
    <w:rsid w:val="6EBD238C"/>
    <w:rsid w:val="6EFD5AB2"/>
    <w:rsid w:val="6F0C4AF6"/>
    <w:rsid w:val="6F1654F2"/>
    <w:rsid w:val="6F1C062E"/>
    <w:rsid w:val="6F1D6312"/>
    <w:rsid w:val="6F236788"/>
    <w:rsid w:val="6F332872"/>
    <w:rsid w:val="6F3D5CFC"/>
    <w:rsid w:val="6F4E3703"/>
    <w:rsid w:val="6F5463C0"/>
    <w:rsid w:val="6F5C583F"/>
    <w:rsid w:val="6F6617E1"/>
    <w:rsid w:val="6F7155C6"/>
    <w:rsid w:val="6F732214"/>
    <w:rsid w:val="6F86068F"/>
    <w:rsid w:val="6F8655ED"/>
    <w:rsid w:val="6F981576"/>
    <w:rsid w:val="6FA523D2"/>
    <w:rsid w:val="6FA55376"/>
    <w:rsid w:val="6FAA3E8C"/>
    <w:rsid w:val="6FB40441"/>
    <w:rsid w:val="6FB40867"/>
    <w:rsid w:val="6FDF7A4E"/>
    <w:rsid w:val="6FE53A64"/>
    <w:rsid w:val="6FEC1DAE"/>
    <w:rsid w:val="6FEF20F7"/>
    <w:rsid w:val="6FF3138F"/>
    <w:rsid w:val="6FF332D2"/>
    <w:rsid w:val="7008010F"/>
    <w:rsid w:val="70194B6E"/>
    <w:rsid w:val="701A2DBF"/>
    <w:rsid w:val="701D640C"/>
    <w:rsid w:val="701F5529"/>
    <w:rsid w:val="702C664F"/>
    <w:rsid w:val="7032421E"/>
    <w:rsid w:val="70337191"/>
    <w:rsid w:val="703C4830"/>
    <w:rsid w:val="704C1DC4"/>
    <w:rsid w:val="705362D1"/>
    <w:rsid w:val="705B5186"/>
    <w:rsid w:val="7064403B"/>
    <w:rsid w:val="70683E41"/>
    <w:rsid w:val="706D5397"/>
    <w:rsid w:val="707E1F1A"/>
    <w:rsid w:val="708449FD"/>
    <w:rsid w:val="7086195B"/>
    <w:rsid w:val="708F5A70"/>
    <w:rsid w:val="709321A5"/>
    <w:rsid w:val="70A947E0"/>
    <w:rsid w:val="70B12452"/>
    <w:rsid w:val="70BC3E77"/>
    <w:rsid w:val="70BC7FB3"/>
    <w:rsid w:val="70C1323B"/>
    <w:rsid w:val="70CC740D"/>
    <w:rsid w:val="70DA00E7"/>
    <w:rsid w:val="70E231B8"/>
    <w:rsid w:val="70E37655"/>
    <w:rsid w:val="70F52EE5"/>
    <w:rsid w:val="710B264B"/>
    <w:rsid w:val="712266D4"/>
    <w:rsid w:val="7129448C"/>
    <w:rsid w:val="713E764C"/>
    <w:rsid w:val="714A6598"/>
    <w:rsid w:val="7155741A"/>
    <w:rsid w:val="7155779A"/>
    <w:rsid w:val="715972E5"/>
    <w:rsid w:val="71812492"/>
    <w:rsid w:val="71875C7C"/>
    <w:rsid w:val="718951D9"/>
    <w:rsid w:val="71937EC3"/>
    <w:rsid w:val="71941583"/>
    <w:rsid w:val="71990047"/>
    <w:rsid w:val="71AF5789"/>
    <w:rsid w:val="71B2527A"/>
    <w:rsid w:val="71B47D1E"/>
    <w:rsid w:val="71BC3A02"/>
    <w:rsid w:val="71BE3F25"/>
    <w:rsid w:val="71DE7ACB"/>
    <w:rsid w:val="71E811B4"/>
    <w:rsid w:val="71EA4129"/>
    <w:rsid w:val="71F66F14"/>
    <w:rsid w:val="72037883"/>
    <w:rsid w:val="721455EC"/>
    <w:rsid w:val="721815DF"/>
    <w:rsid w:val="722C2936"/>
    <w:rsid w:val="72304E51"/>
    <w:rsid w:val="72342516"/>
    <w:rsid w:val="724C5965"/>
    <w:rsid w:val="72534367"/>
    <w:rsid w:val="727B4EA6"/>
    <w:rsid w:val="727D3056"/>
    <w:rsid w:val="728F6CCB"/>
    <w:rsid w:val="7299A839"/>
    <w:rsid w:val="729F75AC"/>
    <w:rsid w:val="72A131D7"/>
    <w:rsid w:val="72B31656"/>
    <w:rsid w:val="72B8066E"/>
    <w:rsid w:val="72C74D55"/>
    <w:rsid w:val="72DD1E82"/>
    <w:rsid w:val="72E43211"/>
    <w:rsid w:val="72EF11E4"/>
    <w:rsid w:val="72F0605A"/>
    <w:rsid w:val="72F773E8"/>
    <w:rsid w:val="73005B71"/>
    <w:rsid w:val="73096FF1"/>
    <w:rsid w:val="732146AA"/>
    <w:rsid w:val="73217FC1"/>
    <w:rsid w:val="732C4972"/>
    <w:rsid w:val="73325C78"/>
    <w:rsid w:val="7334320B"/>
    <w:rsid w:val="734036B8"/>
    <w:rsid w:val="7343343F"/>
    <w:rsid w:val="73447F37"/>
    <w:rsid w:val="734E1497"/>
    <w:rsid w:val="735A3AF5"/>
    <w:rsid w:val="735C724B"/>
    <w:rsid w:val="73632333"/>
    <w:rsid w:val="7367112D"/>
    <w:rsid w:val="736B748E"/>
    <w:rsid w:val="736F0DD2"/>
    <w:rsid w:val="737261D5"/>
    <w:rsid w:val="737609BC"/>
    <w:rsid w:val="73895E9E"/>
    <w:rsid w:val="73974727"/>
    <w:rsid w:val="73A033C8"/>
    <w:rsid w:val="73A11AEB"/>
    <w:rsid w:val="73B40E35"/>
    <w:rsid w:val="73BC70A2"/>
    <w:rsid w:val="73BE25EF"/>
    <w:rsid w:val="73BE28AA"/>
    <w:rsid w:val="73C46C62"/>
    <w:rsid w:val="73CC4F4E"/>
    <w:rsid w:val="73D4607F"/>
    <w:rsid w:val="73D56224"/>
    <w:rsid w:val="73D74E88"/>
    <w:rsid w:val="73ED07EB"/>
    <w:rsid w:val="73EF2A16"/>
    <w:rsid w:val="73F22F72"/>
    <w:rsid w:val="73F4104B"/>
    <w:rsid w:val="73F5125C"/>
    <w:rsid w:val="740A00A1"/>
    <w:rsid w:val="741F3407"/>
    <w:rsid w:val="74234295"/>
    <w:rsid w:val="74252F3B"/>
    <w:rsid w:val="742712D5"/>
    <w:rsid w:val="743106D8"/>
    <w:rsid w:val="74351074"/>
    <w:rsid w:val="743B172B"/>
    <w:rsid w:val="743C308F"/>
    <w:rsid w:val="744636A7"/>
    <w:rsid w:val="74483CF9"/>
    <w:rsid w:val="744B7EB1"/>
    <w:rsid w:val="7452592D"/>
    <w:rsid w:val="746A63F0"/>
    <w:rsid w:val="74780421"/>
    <w:rsid w:val="74827FC1"/>
    <w:rsid w:val="749110E4"/>
    <w:rsid w:val="74A0760B"/>
    <w:rsid w:val="74C21C21"/>
    <w:rsid w:val="74D13385"/>
    <w:rsid w:val="74D829C8"/>
    <w:rsid w:val="74DF1EE2"/>
    <w:rsid w:val="74E37578"/>
    <w:rsid w:val="75026131"/>
    <w:rsid w:val="753A35BC"/>
    <w:rsid w:val="755551CB"/>
    <w:rsid w:val="755A1962"/>
    <w:rsid w:val="755D5921"/>
    <w:rsid w:val="756F1F34"/>
    <w:rsid w:val="756F231B"/>
    <w:rsid w:val="75752846"/>
    <w:rsid w:val="75760676"/>
    <w:rsid w:val="759E344D"/>
    <w:rsid w:val="75A44ED9"/>
    <w:rsid w:val="75AF2787"/>
    <w:rsid w:val="75B0387E"/>
    <w:rsid w:val="75B62E59"/>
    <w:rsid w:val="75C13CDD"/>
    <w:rsid w:val="75CB0111"/>
    <w:rsid w:val="75D330E5"/>
    <w:rsid w:val="75DC4673"/>
    <w:rsid w:val="75EA4FE2"/>
    <w:rsid w:val="75F25C45"/>
    <w:rsid w:val="75F90ED3"/>
    <w:rsid w:val="760065B4"/>
    <w:rsid w:val="76137A7A"/>
    <w:rsid w:val="762D5F9A"/>
    <w:rsid w:val="76303243"/>
    <w:rsid w:val="763739CF"/>
    <w:rsid w:val="763C3364"/>
    <w:rsid w:val="763F21AA"/>
    <w:rsid w:val="765F5297"/>
    <w:rsid w:val="76622AB4"/>
    <w:rsid w:val="76642274"/>
    <w:rsid w:val="76670D47"/>
    <w:rsid w:val="766D79C1"/>
    <w:rsid w:val="7677064E"/>
    <w:rsid w:val="76790114"/>
    <w:rsid w:val="767E572A"/>
    <w:rsid w:val="768C7E47"/>
    <w:rsid w:val="769244D3"/>
    <w:rsid w:val="76982C90"/>
    <w:rsid w:val="76A520C7"/>
    <w:rsid w:val="76A7225D"/>
    <w:rsid w:val="76B4114C"/>
    <w:rsid w:val="76C53359"/>
    <w:rsid w:val="76C9109B"/>
    <w:rsid w:val="76CF0AFE"/>
    <w:rsid w:val="76D05AB1"/>
    <w:rsid w:val="76DA32A9"/>
    <w:rsid w:val="76E11887"/>
    <w:rsid w:val="76E61C4D"/>
    <w:rsid w:val="77185B7F"/>
    <w:rsid w:val="771D3195"/>
    <w:rsid w:val="77203279"/>
    <w:rsid w:val="77250CE5"/>
    <w:rsid w:val="7725204A"/>
    <w:rsid w:val="772C1EFF"/>
    <w:rsid w:val="77322AA0"/>
    <w:rsid w:val="77396A0F"/>
    <w:rsid w:val="77536BB7"/>
    <w:rsid w:val="775A0BA1"/>
    <w:rsid w:val="77655446"/>
    <w:rsid w:val="7769462C"/>
    <w:rsid w:val="77763CE3"/>
    <w:rsid w:val="777C6BEE"/>
    <w:rsid w:val="778C5E8E"/>
    <w:rsid w:val="77BE31C6"/>
    <w:rsid w:val="77CB541D"/>
    <w:rsid w:val="77D15838"/>
    <w:rsid w:val="77D72FA7"/>
    <w:rsid w:val="77D73344"/>
    <w:rsid w:val="77D743A5"/>
    <w:rsid w:val="77E2548D"/>
    <w:rsid w:val="77F0388B"/>
    <w:rsid w:val="780E25C1"/>
    <w:rsid w:val="781115FC"/>
    <w:rsid w:val="78135C25"/>
    <w:rsid w:val="78171BE7"/>
    <w:rsid w:val="782E3A5D"/>
    <w:rsid w:val="78413FD1"/>
    <w:rsid w:val="784144B5"/>
    <w:rsid w:val="784309DA"/>
    <w:rsid w:val="78643617"/>
    <w:rsid w:val="788E2390"/>
    <w:rsid w:val="78A17F20"/>
    <w:rsid w:val="78A43B05"/>
    <w:rsid w:val="78A55013"/>
    <w:rsid w:val="78A76A06"/>
    <w:rsid w:val="78A97106"/>
    <w:rsid w:val="78D775D2"/>
    <w:rsid w:val="78DD3CE3"/>
    <w:rsid w:val="78E77BE4"/>
    <w:rsid w:val="78FD2FDA"/>
    <w:rsid w:val="790A7749"/>
    <w:rsid w:val="79142800"/>
    <w:rsid w:val="79303730"/>
    <w:rsid w:val="794A5A1C"/>
    <w:rsid w:val="79515418"/>
    <w:rsid w:val="7957181A"/>
    <w:rsid w:val="795A422D"/>
    <w:rsid w:val="796F05D4"/>
    <w:rsid w:val="797F5A41"/>
    <w:rsid w:val="798F2021"/>
    <w:rsid w:val="79914641"/>
    <w:rsid w:val="799A50B2"/>
    <w:rsid w:val="79A51C73"/>
    <w:rsid w:val="79AA36CA"/>
    <w:rsid w:val="79B20CE6"/>
    <w:rsid w:val="79BA116F"/>
    <w:rsid w:val="79C8550A"/>
    <w:rsid w:val="79D1798A"/>
    <w:rsid w:val="79DC2E94"/>
    <w:rsid w:val="79E9392D"/>
    <w:rsid w:val="79FA156C"/>
    <w:rsid w:val="79FA389E"/>
    <w:rsid w:val="7A007DDB"/>
    <w:rsid w:val="7A1C4878"/>
    <w:rsid w:val="7A2A44F3"/>
    <w:rsid w:val="7A4E6D1A"/>
    <w:rsid w:val="7A584D5B"/>
    <w:rsid w:val="7A6A33BA"/>
    <w:rsid w:val="7A6D3881"/>
    <w:rsid w:val="7A7C01D3"/>
    <w:rsid w:val="7A811C8D"/>
    <w:rsid w:val="7A8442E1"/>
    <w:rsid w:val="7A9A0C38"/>
    <w:rsid w:val="7AA35626"/>
    <w:rsid w:val="7AA7180D"/>
    <w:rsid w:val="7AC05268"/>
    <w:rsid w:val="7AC2652D"/>
    <w:rsid w:val="7ACF4F8D"/>
    <w:rsid w:val="7AD07232"/>
    <w:rsid w:val="7AE5675B"/>
    <w:rsid w:val="7AE7575A"/>
    <w:rsid w:val="7AF44A09"/>
    <w:rsid w:val="7AF525A0"/>
    <w:rsid w:val="7AF86BB8"/>
    <w:rsid w:val="7AF92F43"/>
    <w:rsid w:val="7B0216C6"/>
    <w:rsid w:val="7B057AFA"/>
    <w:rsid w:val="7B112071"/>
    <w:rsid w:val="7B130B37"/>
    <w:rsid w:val="7B2122FD"/>
    <w:rsid w:val="7B3E0C33"/>
    <w:rsid w:val="7B6E27CA"/>
    <w:rsid w:val="7B7315D6"/>
    <w:rsid w:val="7B7A5488"/>
    <w:rsid w:val="7BA85CFD"/>
    <w:rsid w:val="7BB71710"/>
    <w:rsid w:val="7BC329AE"/>
    <w:rsid w:val="7BCC60ED"/>
    <w:rsid w:val="7BD00D42"/>
    <w:rsid w:val="7BF2699E"/>
    <w:rsid w:val="7BFC1EB5"/>
    <w:rsid w:val="7C065DC5"/>
    <w:rsid w:val="7C093CE8"/>
    <w:rsid w:val="7C1E59E5"/>
    <w:rsid w:val="7C2A4D43"/>
    <w:rsid w:val="7C305FE2"/>
    <w:rsid w:val="7C377987"/>
    <w:rsid w:val="7C3A6C6F"/>
    <w:rsid w:val="7C3C1B8D"/>
    <w:rsid w:val="7C4D1B3A"/>
    <w:rsid w:val="7C4D5BD3"/>
    <w:rsid w:val="7C6C7A03"/>
    <w:rsid w:val="7C7A54A1"/>
    <w:rsid w:val="7C7C270C"/>
    <w:rsid w:val="7C7E6484"/>
    <w:rsid w:val="7C8B0BA1"/>
    <w:rsid w:val="7C9C30A6"/>
    <w:rsid w:val="7CA659DB"/>
    <w:rsid w:val="7CAD1BE5"/>
    <w:rsid w:val="7CB50FA6"/>
    <w:rsid w:val="7CB7E803"/>
    <w:rsid w:val="7CCD11BA"/>
    <w:rsid w:val="7CE01269"/>
    <w:rsid w:val="7CE81B50"/>
    <w:rsid w:val="7CF16C86"/>
    <w:rsid w:val="7CF95B0B"/>
    <w:rsid w:val="7CFC48F2"/>
    <w:rsid w:val="7D0C2ED7"/>
    <w:rsid w:val="7D124F47"/>
    <w:rsid w:val="7D1771D4"/>
    <w:rsid w:val="7D1B1A69"/>
    <w:rsid w:val="7D1E37C3"/>
    <w:rsid w:val="7D245A03"/>
    <w:rsid w:val="7D2F777E"/>
    <w:rsid w:val="7D546A18"/>
    <w:rsid w:val="7D5D42EC"/>
    <w:rsid w:val="7D6676DB"/>
    <w:rsid w:val="7D7D498E"/>
    <w:rsid w:val="7D7E5DB2"/>
    <w:rsid w:val="7D8D7F3F"/>
    <w:rsid w:val="7D914D0C"/>
    <w:rsid w:val="7D9A250E"/>
    <w:rsid w:val="7D9E2F5A"/>
    <w:rsid w:val="7DB855BA"/>
    <w:rsid w:val="7DB93D46"/>
    <w:rsid w:val="7DC02AF4"/>
    <w:rsid w:val="7DC53D98"/>
    <w:rsid w:val="7DC551D9"/>
    <w:rsid w:val="7DCB394B"/>
    <w:rsid w:val="7DCD5006"/>
    <w:rsid w:val="7DD10836"/>
    <w:rsid w:val="7DDA68C9"/>
    <w:rsid w:val="7DE0334C"/>
    <w:rsid w:val="7DE06CCB"/>
    <w:rsid w:val="7E0535DA"/>
    <w:rsid w:val="7E096221"/>
    <w:rsid w:val="7E0B2B36"/>
    <w:rsid w:val="7E17093E"/>
    <w:rsid w:val="7E226269"/>
    <w:rsid w:val="7E33504C"/>
    <w:rsid w:val="7E3E411D"/>
    <w:rsid w:val="7E5C45A3"/>
    <w:rsid w:val="7E5F22E5"/>
    <w:rsid w:val="7E60325B"/>
    <w:rsid w:val="7E647FC4"/>
    <w:rsid w:val="7E8558FB"/>
    <w:rsid w:val="7E913C02"/>
    <w:rsid w:val="7E94074B"/>
    <w:rsid w:val="7E9976FC"/>
    <w:rsid w:val="7E9C5E89"/>
    <w:rsid w:val="7EA27E00"/>
    <w:rsid w:val="7EA85AB2"/>
    <w:rsid w:val="7EB52EC3"/>
    <w:rsid w:val="7EBB49F0"/>
    <w:rsid w:val="7EBF6618"/>
    <w:rsid w:val="7ED22876"/>
    <w:rsid w:val="7ED835C2"/>
    <w:rsid w:val="7EE279D7"/>
    <w:rsid w:val="7EE556F5"/>
    <w:rsid w:val="7EEB13A2"/>
    <w:rsid w:val="7EF641FF"/>
    <w:rsid w:val="7EF84FD8"/>
    <w:rsid w:val="7EF850EA"/>
    <w:rsid w:val="7F005876"/>
    <w:rsid w:val="7F054C3B"/>
    <w:rsid w:val="7F0A623D"/>
    <w:rsid w:val="7F382956"/>
    <w:rsid w:val="7F3844F1"/>
    <w:rsid w:val="7F3E5C19"/>
    <w:rsid w:val="7F3E7FE6"/>
    <w:rsid w:val="7F4A2010"/>
    <w:rsid w:val="7F4F5E5A"/>
    <w:rsid w:val="7F515927"/>
    <w:rsid w:val="7F5F5430"/>
    <w:rsid w:val="7F927790"/>
    <w:rsid w:val="7F9774A1"/>
    <w:rsid w:val="7F9A5E1D"/>
    <w:rsid w:val="7FA0496A"/>
    <w:rsid w:val="7FA34FA1"/>
    <w:rsid w:val="7FA4381C"/>
    <w:rsid w:val="7FAD3E96"/>
    <w:rsid w:val="7FB81332"/>
    <w:rsid w:val="7FBC5C32"/>
    <w:rsid w:val="7FCD7EE4"/>
    <w:rsid w:val="7FD0349B"/>
    <w:rsid w:val="7FD340FE"/>
    <w:rsid w:val="7FDB599C"/>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99"/>
    <w:pPr>
      <w:keepNext/>
      <w:keepLines/>
      <w:spacing w:before="340" w:after="330" w:line="578" w:lineRule="auto"/>
      <w:outlineLvl w:val="0"/>
    </w:pPr>
    <w:rPr>
      <w:b/>
      <w:bCs/>
      <w:kern w:val="44"/>
      <w:sz w:val="44"/>
      <w:szCs w:val="44"/>
      <w:lang w:val="zh-CN"/>
    </w:rPr>
  </w:style>
  <w:style w:type="paragraph" w:styleId="5">
    <w:name w:val="heading 2"/>
    <w:basedOn w:val="1"/>
    <w:next w:val="1"/>
    <w:link w:val="7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34"/>
    <w:qFormat/>
    <w:uiPriority w:val="99"/>
    <w:pPr>
      <w:keepNext/>
      <w:keepLines/>
      <w:spacing w:before="260" w:after="260" w:line="416" w:lineRule="auto"/>
      <w:outlineLvl w:val="2"/>
    </w:pPr>
    <w:rPr>
      <w:b/>
      <w:bCs/>
      <w:sz w:val="24"/>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4"/>
    <w:qFormat/>
    <w:uiPriority w:val="99"/>
    <w:pPr>
      <w:adjustRightInd w:val="0"/>
      <w:spacing w:line="312" w:lineRule="atLeast"/>
      <w:ind w:firstLine="574"/>
      <w:textAlignment w:val="baseline"/>
    </w:pPr>
    <w:rPr>
      <w:rFonts w:ascii="宋体"/>
      <w:kern w:val="0"/>
      <w:sz w:val="28"/>
    </w:rPr>
  </w:style>
  <w:style w:type="paragraph" w:styleId="3">
    <w:name w:val="envelope return"/>
    <w:basedOn w:val="1"/>
    <w:qFormat/>
    <w:uiPriority w:val="99"/>
    <w:pPr>
      <w:snapToGrid w:val="0"/>
      <w:spacing w:line="360" w:lineRule="auto"/>
      <w:ind w:firstLine="200" w:firstLineChars="200"/>
    </w:pPr>
    <w:rPr>
      <w:rFonts w:ascii="Arial" w:hAnsi="Arial" w:cs="Arial"/>
      <w:sz w:val="24"/>
      <w:szCs w:val="24"/>
    </w:rPr>
  </w:style>
  <w:style w:type="paragraph" w:styleId="7">
    <w:name w:val="Normal Indent"/>
    <w:basedOn w:val="1"/>
    <w:link w:val="66"/>
    <w:qFormat/>
    <w:uiPriority w:val="99"/>
    <w:pPr>
      <w:ind w:firstLine="420" w:firstLineChars="200"/>
    </w:pPr>
    <w:rPr>
      <w:kern w:val="0"/>
      <w:sz w:val="20"/>
      <w:szCs w:val="20"/>
    </w:rPr>
  </w:style>
  <w:style w:type="paragraph" w:styleId="8">
    <w:name w:val="annotation text"/>
    <w:basedOn w:val="1"/>
    <w:link w:val="42"/>
    <w:semiHidden/>
    <w:qFormat/>
    <w:uiPriority w:val="99"/>
    <w:pPr>
      <w:jc w:val="left"/>
    </w:pPr>
  </w:style>
  <w:style w:type="paragraph" w:styleId="9">
    <w:name w:val="Body Text"/>
    <w:basedOn w:val="1"/>
    <w:link w:val="43"/>
    <w:qFormat/>
    <w:uiPriority w:val="99"/>
    <w:rPr>
      <w:rFonts w:ascii="楷体_GB2312" w:hAnsi="Arial" w:eastAsia="楷体_GB2312"/>
      <w:kern w:val="0"/>
      <w:sz w:val="28"/>
      <w:szCs w:val="28"/>
    </w:rPr>
  </w:style>
  <w:style w:type="paragraph" w:styleId="10">
    <w:name w:val="List Bullet 2"/>
    <w:basedOn w:val="1"/>
    <w:semiHidden/>
    <w:qFormat/>
    <w:uiPriority w:val="99"/>
    <w:pPr>
      <w:numPr>
        <w:ilvl w:val="0"/>
        <w:numId w:val="1"/>
      </w:numPr>
    </w:pPr>
  </w:style>
  <w:style w:type="paragraph" w:styleId="11">
    <w:name w:val="index 4"/>
    <w:basedOn w:val="1"/>
    <w:next w:val="1"/>
    <w:qFormat/>
    <w:uiPriority w:val="99"/>
    <w:pPr>
      <w:ind w:left="1260"/>
    </w:pPr>
  </w:style>
  <w:style w:type="paragraph" w:styleId="12">
    <w:name w:val="Plain Text"/>
    <w:basedOn w:val="1"/>
    <w:link w:val="45"/>
    <w:qFormat/>
    <w:uiPriority w:val="99"/>
    <w:rPr>
      <w:rFonts w:ascii="宋体" w:hAnsi="Courier New"/>
      <w:kern w:val="0"/>
      <w:sz w:val="20"/>
      <w:szCs w:val="21"/>
    </w:rPr>
  </w:style>
  <w:style w:type="paragraph" w:styleId="13">
    <w:name w:val="Date"/>
    <w:basedOn w:val="1"/>
    <w:next w:val="1"/>
    <w:link w:val="46"/>
    <w:qFormat/>
    <w:uiPriority w:val="99"/>
    <w:rPr>
      <w:rFonts w:ascii="Times New Roman" w:hAnsi="Times New Roman"/>
      <w:kern w:val="0"/>
      <w:sz w:val="24"/>
      <w:szCs w:val="20"/>
    </w:rPr>
  </w:style>
  <w:style w:type="paragraph" w:styleId="14">
    <w:name w:val="Body Text Indent 2"/>
    <w:basedOn w:val="1"/>
    <w:link w:val="47"/>
    <w:qFormat/>
    <w:uiPriority w:val="99"/>
    <w:pPr>
      <w:spacing w:after="120" w:line="480" w:lineRule="auto"/>
      <w:ind w:left="640" w:leftChars="200"/>
    </w:pPr>
    <w:rPr>
      <w:rFonts w:eastAsia="仿宋_GB2312"/>
      <w:sz w:val="32"/>
      <w:szCs w:val="28"/>
    </w:rPr>
  </w:style>
  <w:style w:type="paragraph" w:styleId="15">
    <w:name w:val="Balloon Text"/>
    <w:basedOn w:val="1"/>
    <w:link w:val="48"/>
    <w:qFormat/>
    <w:uiPriority w:val="99"/>
    <w:rPr>
      <w:rFonts w:ascii="Times New Roman" w:hAnsi="Times New Roman"/>
      <w:sz w:val="18"/>
      <w:szCs w:val="18"/>
    </w:rPr>
  </w:style>
  <w:style w:type="paragraph" w:styleId="16">
    <w:name w:val="footer"/>
    <w:basedOn w:val="1"/>
    <w:link w:val="49"/>
    <w:qFormat/>
    <w:uiPriority w:val="99"/>
    <w:pPr>
      <w:tabs>
        <w:tab w:val="center" w:pos="4153"/>
        <w:tab w:val="right" w:pos="8306"/>
      </w:tabs>
      <w:snapToGrid w:val="0"/>
      <w:jc w:val="left"/>
    </w:pPr>
    <w:rPr>
      <w:kern w:val="0"/>
      <w:sz w:val="18"/>
      <w:szCs w:val="18"/>
      <w:lang w:val="zh-CN"/>
    </w:rPr>
  </w:style>
  <w:style w:type="paragraph" w:styleId="17">
    <w:name w:val="header"/>
    <w:basedOn w:val="1"/>
    <w:link w:val="50"/>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8">
    <w:name w:val="toc 1"/>
    <w:basedOn w:val="1"/>
    <w:next w:val="1"/>
    <w:qFormat/>
    <w:uiPriority w:val="99"/>
  </w:style>
  <w:style w:type="paragraph" w:styleId="19">
    <w:name w:val="Subtitle"/>
    <w:basedOn w:val="1"/>
    <w:next w:val="1"/>
    <w:link w:val="51"/>
    <w:qFormat/>
    <w:uiPriority w:val="99"/>
    <w:pPr>
      <w:spacing w:before="240" w:after="60" w:line="312" w:lineRule="auto"/>
      <w:jc w:val="center"/>
      <w:outlineLvl w:val="1"/>
    </w:pPr>
    <w:rPr>
      <w:rFonts w:ascii="Cambria" w:hAnsi="Cambria"/>
      <w:b/>
      <w:bCs/>
      <w:kern w:val="28"/>
      <w:sz w:val="32"/>
      <w:szCs w:val="32"/>
    </w:rPr>
  </w:style>
  <w:style w:type="paragraph" w:styleId="20">
    <w:name w:val="toc 9"/>
    <w:basedOn w:val="1"/>
    <w:next w:val="1"/>
    <w:semiHidden/>
    <w:qFormat/>
    <w:uiPriority w:val="99"/>
    <w:pPr>
      <w:ind w:left="3360" w:leftChars="16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2"/>
    <w:qFormat/>
    <w:uiPriority w:val="99"/>
    <w:pPr>
      <w:spacing w:before="240" w:after="60"/>
      <w:jc w:val="center"/>
      <w:outlineLvl w:val="0"/>
    </w:pPr>
    <w:rPr>
      <w:rFonts w:ascii="Cambria" w:hAnsi="Cambria"/>
      <w:b/>
      <w:bCs/>
      <w:sz w:val="32"/>
      <w:szCs w:val="32"/>
    </w:rPr>
  </w:style>
  <w:style w:type="paragraph" w:styleId="23">
    <w:name w:val="annotation subject"/>
    <w:basedOn w:val="8"/>
    <w:next w:val="8"/>
    <w:link w:val="53"/>
    <w:semiHidden/>
    <w:qFormat/>
    <w:uiPriority w:val="99"/>
    <w:rPr>
      <w:b/>
      <w:bCs/>
    </w:rPr>
  </w:style>
  <w:style w:type="paragraph" w:styleId="24">
    <w:name w:val="Body Text First Indent 2"/>
    <w:basedOn w:val="2"/>
    <w:qFormat/>
    <w:locked/>
    <w:uiPriority w:val="0"/>
    <w:pPr>
      <w:ind w:firstLine="42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semiHidden/>
    <w:qFormat/>
    <w:uiPriority w:val="99"/>
    <w:rPr>
      <w:rFonts w:cs="Times New Roman"/>
      <w:color w:val="444444"/>
      <w:u w:val="none"/>
    </w:rPr>
  </w:style>
  <w:style w:type="character" w:styleId="29">
    <w:name w:val="Hyperlink"/>
    <w:basedOn w:val="27"/>
    <w:qFormat/>
    <w:uiPriority w:val="99"/>
    <w:rPr>
      <w:rFonts w:cs="Times New Roman"/>
      <w:color w:val="000000"/>
      <w:u w:val="none"/>
    </w:rPr>
  </w:style>
  <w:style w:type="character" w:styleId="30">
    <w:name w:val="annotation reference"/>
    <w:basedOn w:val="27"/>
    <w:semiHidden/>
    <w:qFormat/>
    <w:uiPriority w:val="99"/>
    <w:rPr>
      <w:rFonts w:cs="Times New Roman"/>
      <w:sz w:val="21"/>
    </w:rPr>
  </w:style>
  <w:style w:type="paragraph" w:customStyle="1" w:styleId="31">
    <w:name w:val="正文1"/>
    <w:next w:val="1"/>
    <w:qFormat/>
    <w:uiPriority w:val="99"/>
    <w:rPr>
      <w:rFonts w:ascii="Times New Roman" w:hAnsi="Times New Roman" w:eastAsia="宋体" w:cs="Times New Roman"/>
      <w:lang w:val="en-US" w:eastAsia="zh-CN" w:bidi="ar-SA"/>
    </w:rPr>
  </w:style>
  <w:style w:type="character" w:customStyle="1" w:styleId="32">
    <w:name w:val="标题 1 Char"/>
    <w:basedOn w:val="27"/>
    <w:link w:val="4"/>
    <w:qFormat/>
    <w:locked/>
    <w:uiPriority w:val="99"/>
    <w:rPr>
      <w:rFonts w:ascii="Calibri" w:hAnsi="Calibri" w:eastAsia="宋体" w:cs="Times New Roman"/>
      <w:b/>
      <w:kern w:val="44"/>
      <w:sz w:val="44"/>
      <w:lang w:val="zh-CN" w:eastAsia="zh-CN"/>
    </w:rPr>
  </w:style>
  <w:style w:type="character" w:customStyle="1" w:styleId="33">
    <w:name w:val="Heading 2 Char"/>
    <w:basedOn w:val="27"/>
    <w:link w:val="5"/>
    <w:semiHidden/>
    <w:qFormat/>
    <w:locked/>
    <w:uiPriority w:val="99"/>
    <w:rPr>
      <w:rFonts w:ascii="Cambria" w:hAnsi="Cambria" w:eastAsia="宋体" w:cs="Times New Roman"/>
      <w:b/>
      <w:bCs/>
      <w:kern w:val="2"/>
      <w:sz w:val="32"/>
      <w:szCs w:val="32"/>
    </w:rPr>
  </w:style>
  <w:style w:type="character" w:customStyle="1" w:styleId="34">
    <w:name w:val="标题 3 Char"/>
    <w:basedOn w:val="27"/>
    <w:link w:val="6"/>
    <w:semiHidden/>
    <w:qFormat/>
    <w:locked/>
    <w:uiPriority w:val="99"/>
    <w:rPr>
      <w:rFonts w:ascii="Calibri" w:hAnsi="Calibri" w:cs="Times New Roman"/>
      <w:b/>
      <w:bCs/>
      <w:sz w:val="32"/>
      <w:szCs w:val="32"/>
    </w:rPr>
  </w:style>
  <w:style w:type="paragraph" w:customStyle="1" w:styleId="35">
    <w:name w:val="正文（缩进）"/>
    <w:basedOn w:val="1"/>
    <w:next w:val="36"/>
    <w:qFormat/>
    <w:uiPriority w:val="99"/>
    <w:pPr>
      <w:autoSpaceDE w:val="0"/>
      <w:autoSpaceDN w:val="0"/>
      <w:spacing w:line="360" w:lineRule="auto"/>
      <w:ind w:firstLine="200" w:firstLineChars="200"/>
    </w:pPr>
    <w:rPr>
      <w:rFonts w:ascii="宋体" w:hAnsi="宋体"/>
      <w:kern w:val="0"/>
      <w:szCs w:val="28"/>
    </w:rPr>
  </w:style>
  <w:style w:type="paragraph" w:customStyle="1" w:styleId="36">
    <w:name w:val="Char Char Char Char Char Char Char Char Char"/>
    <w:basedOn w:val="1"/>
    <w:next w:val="37"/>
    <w:qFormat/>
    <w:uiPriority w:val="99"/>
    <w:pPr>
      <w:tabs>
        <w:tab w:val="left" w:pos="360"/>
      </w:tabs>
      <w:ind w:left="360" w:hanging="360" w:hangingChars="200"/>
    </w:pPr>
    <w:rPr>
      <w:rFonts w:cs="宋体"/>
      <w:sz w:val="24"/>
      <w:szCs w:val="24"/>
      <w:lang w:val="zh-CN"/>
    </w:rPr>
  </w:style>
  <w:style w:type="paragraph" w:customStyle="1" w:styleId="37">
    <w:name w:val="正文文本 21"/>
    <w:basedOn w:val="1"/>
    <w:next w:val="38"/>
    <w:qFormat/>
    <w:uiPriority w:val="99"/>
    <w:pPr>
      <w:widowControl/>
      <w:overflowPunct w:val="0"/>
      <w:autoSpaceDE w:val="0"/>
      <w:autoSpaceDN w:val="0"/>
      <w:adjustRightInd w:val="0"/>
      <w:ind w:left="720" w:hanging="720"/>
      <w:textAlignment w:val="baseline"/>
    </w:pPr>
    <w:rPr>
      <w:rFonts w:cs="宋体"/>
      <w:sz w:val="24"/>
      <w:szCs w:val="20"/>
      <w:lang w:val="en-GB"/>
    </w:rPr>
  </w:style>
  <w:style w:type="paragraph" w:customStyle="1" w:styleId="38">
    <w:name w:val="默认段落字体 Para Char Char Char Char Char Char Char"/>
    <w:basedOn w:val="1"/>
    <w:next w:val="39"/>
    <w:qFormat/>
    <w:uiPriority w:val="99"/>
    <w:rPr>
      <w:rFonts w:cs="宋体"/>
      <w:sz w:val="20"/>
      <w:szCs w:val="20"/>
      <w:lang w:val="zh-CN"/>
    </w:rPr>
  </w:style>
  <w:style w:type="paragraph" w:customStyle="1" w:styleId="39">
    <w:name w:val="样式 首行缩进:  2 字符"/>
    <w:basedOn w:val="1"/>
    <w:next w:val="40"/>
    <w:qFormat/>
    <w:uiPriority w:val="99"/>
    <w:pPr>
      <w:spacing w:line="360" w:lineRule="auto"/>
      <w:ind w:firstLine="480" w:firstLineChars="200"/>
    </w:pPr>
    <w:rPr>
      <w:sz w:val="24"/>
      <w:szCs w:val="20"/>
    </w:rPr>
  </w:style>
  <w:style w:type="paragraph" w:customStyle="1" w:styleId="40">
    <w:name w:val="样式 段后: 0.25 行"/>
    <w:basedOn w:val="1"/>
    <w:next w:val="41"/>
    <w:qFormat/>
    <w:uiPriority w:val="99"/>
    <w:pPr>
      <w:widowControl/>
      <w:spacing w:afterLines="25" w:line="300" w:lineRule="auto"/>
      <w:ind w:firstLine="420" w:firstLineChars="200"/>
      <w:jc w:val="left"/>
    </w:pPr>
    <w:rPr>
      <w:rFonts w:ascii="Arial" w:hAnsi="Arial" w:cs="宋体"/>
      <w:sz w:val="22"/>
      <w:szCs w:val="20"/>
      <w:lang w:val="zh-CN" w:eastAsia="en-US"/>
    </w:rPr>
  </w:style>
  <w:style w:type="paragraph" w:customStyle="1" w:styleId="41">
    <w:name w:val="正文 New New New New New New New New New New New New New New"/>
    <w:next w:val="20"/>
    <w:qFormat/>
    <w:uiPriority w:val="99"/>
    <w:pPr>
      <w:widowControl w:val="0"/>
      <w:jc w:val="both"/>
    </w:pPr>
    <w:rPr>
      <w:rFonts w:ascii="Calibri" w:hAnsi="Calibri" w:eastAsia="宋体" w:cs="Times New Roman"/>
      <w:kern w:val="2"/>
      <w:sz w:val="21"/>
      <w:lang w:val="en-US" w:eastAsia="zh-CN" w:bidi="ar-SA"/>
    </w:rPr>
  </w:style>
  <w:style w:type="character" w:customStyle="1" w:styleId="42">
    <w:name w:val="批注文字 Char"/>
    <w:basedOn w:val="27"/>
    <w:link w:val="8"/>
    <w:semiHidden/>
    <w:qFormat/>
    <w:locked/>
    <w:uiPriority w:val="99"/>
    <w:rPr>
      <w:rFonts w:cs="Times New Roman"/>
      <w:kern w:val="2"/>
      <w:sz w:val="22"/>
      <w:szCs w:val="22"/>
    </w:rPr>
  </w:style>
  <w:style w:type="character" w:customStyle="1" w:styleId="43">
    <w:name w:val="正文文本 Char"/>
    <w:basedOn w:val="27"/>
    <w:link w:val="9"/>
    <w:semiHidden/>
    <w:qFormat/>
    <w:locked/>
    <w:uiPriority w:val="99"/>
    <w:rPr>
      <w:rFonts w:ascii="Calibri" w:hAnsi="Calibri" w:cs="Times New Roman"/>
    </w:rPr>
  </w:style>
  <w:style w:type="character" w:customStyle="1" w:styleId="44">
    <w:name w:val="正文文本缩进 Char"/>
    <w:basedOn w:val="27"/>
    <w:link w:val="2"/>
    <w:semiHidden/>
    <w:qFormat/>
    <w:locked/>
    <w:uiPriority w:val="99"/>
    <w:rPr>
      <w:rFonts w:ascii="Calibri" w:hAnsi="Calibri" w:cs="Times New Roman"/>
    </w:rPr>
  </w:style>
  <w:style w:type="character" w:customStyle="1" w:styleId="45">
    <w:name w:val="纯文本 Char"/>
    <w:basedOn w:val="27"/>
    <w:link w:val="12"/>
    <w:qFormat/>
    <w:locked/>
    <w:uiPriority w:val="99"/>
    <w:rPr>
      <w:rFonts w:ascii="宋体" w:hAnsi="Courier New" w:eastAsia="宋体" w:cs="Times New Roman"/>
      <w:sz w:val="21"/>
    </w:rPr>
  </w:style>
  <w:style w:type="character" w:customStyle="1" w:styleId="46">
    <w:name w:val="日期 Char"/>
    <w:basedOn w:val="27"/>
    <w:link w:val="13"/>
    <w:qFormat/>
    <w:locked/>
    <w:uiPriority w:val="99"/>
    <w:rPr>
      <w:rFonts w:ascii="Times New Roman" w:hAnsi="Times New Roman" w:eastAsia="宋体" w:cs="Times New Roman"/>
      <w:sz w:val="20"/>
    </w:rPr>
  </w:style>
  <w:style w:type="character" w:customStyle="1" w:styleId="47">
    <w:name w:val="正文文本缩进 2 Char"/>
    <w:basedOn w:val="27"/>
    <w:link w:val="14"/>
    <w:semiHidden/>
    <w:qFormat/>
    <w:locked/>
    <w:uiPriority w:val="99"/>
    <w:rPr>
      <w:rFonts w:ascii="Calibri" w:hAnsi="Calibri" w:cs="Times New Roman"/>
    </w:rPr>
  </w:style>
  <w:style w:type="character" w:customStyle="1" w:styleId="48">
    <w:name w:val="批注框文本 Char"/>
    <w:basedOn w:val="27"/>
    <w:link w:val="15"/>
    <w:semiHidden/>
    <w:qFormat/>
    <w:locked/>
    <w:uiPriority w:val="99"/>
    <w:rPr>
      <w:rFonts w:cs="Times New Roman"/>
      <w:kern w:val="2"/>
      <w:sz w:val="18"/>
    </w:rPr>
  </w:style>
  <w:style w:type="character" w:customStyle="1" w:styleId="49">
    <w:name w:val="页脚 Char"/>
    <w:basedOn w:val="27"/>
    <w:link w:val="16"/>
    <w:qFormat/>
    <w:locked/>
    <w:uiPriority w:val="99"/>
    <w:rPr>
      <w:rFonts w:ascii="Calibri" w:hAnsi="Calibri" w:eastAsia="宋体" w:cs="Times New Roman"/>
      <w:sz w:val="18"/>
      <w:lang w:val="zh-CN" w:eastAsia="zh-CN"/>
    </w:rPr>
  </w:style>
  <w:style w:type="character" w:customStyle="1" w:styleId="50">
    <w:name w:val="页眉 Char"/>
    <w:basedOn w:val="27"/>
    <w:link w:val="17"/>
    <w:qFormat/>
    <w:locked/>
    <w:uiPriority w:val="99"/>
    <w:rPr>
      <w:rFonts w:ascii="Calibri" w:hAnsi="Calibri" w:eastAsia="宋体" w:cs="Times New Roman"/>
      <w:sz w:val="18"/>
      <w:lang w:val="zh-CN" w:eastAsia="zh-CN"/>
    </w:rPr>
  </w:style>
  <w:style w:type="character" w:customStyle="1" w:styleId="51">
    <w:name w:val="副标题 Char"/>
    <w:basedOn w:val="27"/>
    <w:link w:val="19"/>
    <w:qFormat/>
    <w:locked/>
    <w:uiPriority w:val="99"/>
    <w:rPr>
      <w:rFonts w:ascii="Cambria" w:hAnsi="Cambria" w:eastAsia="宋体" w:cs="Times New Roman"/>
      <w:b/>
      <w:kern w:val="28"/>
      <w:sz w:val="32"/>
    </w:rPr>
  </w:style>
  <w:style w:type="character" w:customStyle="1" w:styleId="52">
    <w:name w:val="标题 Char"/>
    <w:basedOn w:val="27"/>
    <w:link w:val="22"/>
    <w:qFormat/>
    <w:locked/>
    <w:uiPriority w:val="99"/>
    <w:rPr>
      <w:rFonts w:ascii="Cambria" w:hAnsi="Cambria" w:cs="Times New Roman"/>
      <w:b/>
      <w:bCs/>
      <w:sz w:val="32"/>
      <w:szCs w:val="32"/>
    </w:rPr>
  </w:style>
  <w:style w:type="character" w:customStyle="1" w:styleId="53">
    <w:name w:val="批注主题 Char"/>
    <w:basedOn w:val="42"/>
    <w:link w:val="23"/>
    <w:semiHidden/>
    <w:qFormat/>
    <w:locked/>
    <w:uiPriority w:val="99"/>
    <w:rPr>
      <w:b/>
      <w:bCs/>
    </w:rPr>
  </w:style>
  <w:style w:type="character" w:customStyle="1" w:styleId="54">
    <w:name w:val="列出段落 Char"/>
    <w:link w:val="55"/>
    <w:qFormat/>
    <w:locked/>
    <w:uiPriority w:val="99"/>
    <w:rPr>
      <w:sz w:val="24"/>
      <w:lang w:eastAsia="en-US"/>
    </w:rPr>
  </w:style>
  <w:style w:type="paragraph" w:customStyle="1" w:styleId="55">
    <w:name w:val="列出段落1"/>
    <w:basedOn w:val="1"/>
    <w:link w:val="54"/>
    <w:qFormat/>
    <w:uiPriority w:val="99"/>
    <w:pPr>
      <w:widowControl/>
      <w:ind w:left="720"/>
      <w:contextualSpacing/>
      <w:jc w:val="left"/>
    </w:pPr>
    <w:rPr>
      <w:rFonts w:ascii="Times New Roman" w:hAnsi="Times New Roman"/>
      <w:kern w:val="0"/>
      <w:sz w:val="24"/>
      <w:szCs w:val="20"/>
      <w:lang w:eastAsia="en-US"/>
    </w:rPr>
  </w:style>
  <w:style w:type="character" w:customStyle="1" w:styleId="56">
    <w:name w:val="日期 Char1"/>
    <w:basedOn w:val="27"/>
    <w:semiHidden/>
    <w:qFormat/>
    <w:uiPriority w:val="99"/>
    <w:rPr>
      <w:rFonts w:cs="Times New Roman"/>
    </w:rPr>
  </w:style>
  <w:style w:type="paragraph" w:customStyle="1" w:styleId="57">
    <w:name w:val="Char"/>
    <w:basedOn w:val="1"/>
    <w:qFormat/>
    <w:uiPriority w:val="99"/>
    <w:pPr>
      <w:tabs>
        <w:tab w:val="left" w:pos="360"/>
      </w:tabs>
      <w:ind w:firstLine="200" w:firstLineChars="200"/>
    </w:pPr>
    <w:rPr>
      <w:rFonts w:ascii="Times New Roman" w:hAnsi="Times New Roman"/>
      <w:sz w:val="28"/>
      <w:szCs w:val="30"/>
    </w:rPr>
  </w:style>
  <w:style w:type="character" w:customStyle="1" w:styleId="58">
    <w:name w:val="副标题 Char1"/>
    <w:qFormat/>
    <w:uiPriority w:val="99"/>
    <w:rPr>
      <w:rFonts w:ascii="Cambria" w:hAnsi="Cambria" w:eastAsia="宋体"/>
      <w:b/>
      <w:kern w:val="28"/>
      <w:sz w:val="32"/>
    </w:rPr>
  </w:style>
  <w:style w:type="paragraph" w:customStyle="1" w:styleId="5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60">
    <w:name w:val="纯文本 Char1"/>
    <w:qFormat/>
    <w:uiPriority w:val="99"/>
    <w:rPr>
      <w:rFonts w:ascii="宋体" w:hAnsi="Courier New" w:eastAsia="宋体"/>
      <w:sz w:val="21"/>
    </w:rPr>
  </w:style>
  <w:style w:type="paragraph" w:customStyle="1" w:styleId="61">
    <w:name w:val="列出段落2"/>
    <w:basedOn w:val="1"/>
    <w:qFormat/>
    <w:uiPriority w:val="99"/>
    <w:pPr>
      <w:ind w:firstLine="420" w:firstLineChars="200"/>
    </w:pPr>
    <w:rPr>
      <w:szCs w:val="20"/>
    </w:rPr>
  </w:style>
  <w:style w:type="paragraph" w:customStyle="1" w:styleId="62">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3">
    <w:name w:val="引用1"/>
    <w:basedOn w:val="1"/>
    <w:next w:val="1"/>
    <w:link w:val="64"/>
    <w:qFormat/>
    <w:uiPriority w:val="99"/>
    <w:rPr>
      <w:i/>
      <w:iCs/>
      <w:color w:val="000000"/>
    </w:rPr>
  </w:style>
  <w:style w:type="character" w:customStyle="1" w:styleId="64">
    <w:name w:val="引用 Char"/>
    <w:basedOn w:val="27"/>
    <w:link w:val="63"/>
    <w:qFormat/>
    <w:locked/>
    <w:uiPriority w:val="99"/>
    <w:rPr>
      <w:rFonts w:cs="Times New Roman"/>
      <w:i/>
      <w:iCs/>
      <w:color w:val="000000"/>
      <w:kern w:val="2"/>
      <w:sz w:val="22"/>
      <w:szCs w:val="22"/>
    </w:rPr>
  </w:style>
  <w:style w:type="paragraph" w:styleId="65">
    <w:name w:val="List Paragraph"/>
    <w:basedOn w:val="1"/>
    <w:qFormat/>
    <w:uiPriority w:val="99"/>
    <w:pPr>
      <w:ind w:firstLine="420" w:firstLineChars="200"/>
    </w:pPr>
  </w:style>
  <w:style w:type="character" w:customStyle="1" w:styleId="66">
    <w:name w:val="正文缩进 Char"/>
    <w:link w:val="7"/>
    <w:qFormat/>
    <w:locked/>
    <w:uiPriority w:val="99"/>
  </w:style>
  <w:style w:type="paragraph" w:customStyle="1" w:styleId="67">
    <w:name w:val="正文_0"/>
    <w:next w:val="1"/>
    <w:qFormat/>
    <w:uiPriority w:val="99"/>
    <w:pPr>
      <w:widowControl w:val="0"/>
      <w:jc w:val="both"/>
    </w:pPr>
    <w:rPr>
      <w:rFonts w:ascii="Calibri" w:hAnsi="Calibri" w:eastAsia="宋体" w:cs="Times New Roman"/>
      <w:kern w:val="2"/>
      <w:sz w:val="21"/>
      <w:lang w:val="en-US" w:eastAsia="zh-CN" w:bidi="ar-SA"/>
    </w:rPr>
  </w:style>
  <w:style w:type="character" w:customStyle="1" w:styleId="68">
    <w:name w:val="font31"/>
    <w:basedOn w:val="27"/>
    <w:qFormat/>
    <w:uiPriority w:val="99"/>
    <w:rPr>
      <w:rFonts w:ascii="宋体" w:hAnsi="宋体" w:eastAsia="宋体" w:cs="宋体"/>
      <w:color w:val="000000"/>
      <w:sz w:val="22"/>
      <w:szCs w:val="22"/>
      <w:u w:val="none"/>
    </w:rPr>
  </w:style>
  <w:style w:type="paragraph" w:styleId="69">
    <w:name w:val="No Spacing"/>
    <w:qFormat/>
    <w:uiPriority w:val="99"/>
    <w:pPr>
      <w:widowControl w:val="0"/>
      <w:jc w:val="both"/>
    </w:pPr>
    <w:rPr>
      <w:rFonts w:ascii="微软雅黑" w:hAnsi="微软雅黑" w:eastAsia="微软雅黑" w:cs="Arial"/>
      <w:sz w:val="22"/>
      <w:szCs w:val="32"/>
      <w:lang w:val="en-US" w:eastAsia="zh-CN" w:bidi="ar-SA"/>
    </w:rPr>
  </w:style>
  <w:style w:type="paragraph" w:customStyle="1" w:styleId="70">
    <w:name w:val="_Style 2"/>
    <w:basedOn w:val="4"/>
    <w:next w:val="1"/>
    <w:qFormat/>
    <w:uiPriority w:val="99"/>
    <w:pPr>
      <w:outlineLvl w:val="9"/>
    </w:pPr>
    <w:rPr>
      <w:rFonts w:ascii="宋体"/>
    </w:rPr>
  </w:style>
  <w:style w:type="character" w:customStyle="1" w:styleId="71">
    <w:name w:val="标题 2 Char"/>
    <w:basedOn w:val="27"/>
    <w:link w:val="5"/>
    <w:qFormat/>
    <w:uiPriority w:val="0"/>
    <w:rPr>
      <w:rFonts w:ascii="Cambria" w:hAnsi="Cambria"/>
      <w:b/>
      <w:bCs/>
      <w:kern w:val="2"/>
      <w:sz w:val="32"/>
      <w:szCs w:val="32"/>
    </w:rPr>
  </w:style>
  <w:style w:type="paragraph" w:customStyle="1" w:styleId="72">
    <w:name w:val="纯文本1"/>
    <w:basedOn w:val="1"/>
    <w:qFormat/>
    <w:uiPriority w:val="0"/>
    <w:pPr>
      <w:adjustRightInd w:val="0"/>
    </w:pPr>
    <w:rPr>
      <w:rFonts w:hint="eastAsia"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7078</Words>
  <Characters>40347</Characters>
  <Lines>336</Lines>
  <Paragraphs>94</Paragraphs>
  <TotalTime>21</TotalTime>
  <ScaleCrop>false</ScaleCrop>
  <LinksUpToDate>false</LinksUpToDate>
  <CharactersWithSpaces>47331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2022-07-11T08:49:00Z</dcterms:created>
  <dc:creator>姜涛</dc:creator>
  <cp:lastModifiedBy>熊宝宝</cp:lastModifiedBy>
  <cp:lastPrinted>2019-12-02T19:49:00Z</cp:lastPrinted>
  <dcterms:modified xsi:type="dcterms:W3CDTF">2022-08-05T02:33:03Z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C12475CF6F0E4471B65DBECFA44CD104</vt:lpwstr>
  </property>
</Properties>
</file>