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宋体" w:hAnsi="宋体" w:cs="宋体"/>
          <w:color w:val="auto"/>
          <w:sz w:val="36"/>
          <w:highlight w:val="none"/>
        </w:rPr>
      </w:pPr>
      <w:r>
        <w:rPr>
          <w:rFonts w:hint="eastAsia" w:ascii="宋体" w:hAnsi="宋体" w:cs="宋体"/>
          <w:color w:val="auto"/>
          <w:sz w:val="36"/>
          <w:highlight w:val="none"/>
        </w:rPr>
        <w:t>编号：</w:t>
      </w:r>
      <w:r>
        <w:rPr>
          <w:rFonts w:hint="eastAsia" w:ascii="Times New Roman" w:hAnsi="Times New Roman" w:cs="宋体"/>
          <w:color w:val="auto"/>
          <w:sz w:val="36"/>
          <w:highlight w:val="none"/>
          <w:lang w:eastAsia="zh-CN"/>
        </w:rPr>
        <w:t>HXZY202301</w:t>
      </w:r>
      <w:r>
        <w:rPr>
          <w:rFonts w:hint="eastAsia" w:ascii="宋体" w:hAnsi="宋体" w:cs="宋体"/>
          <w:color w:val="auto"/>
          <w:sz w:val="36"/>
          <w:highlight w:val="none"/>
        </w:rPr>
        <w:t>号</w:t>
      </w:r>
    </w:p>
    <w:p>
      <w:pPr>
        <w:pStyle w:val="31"/>
        <w:spacing w:line="360" w:lineRule="auto"/>
        <w:rPr>
          <w:rFonts w:ascii="宋体" w:hAnsi="宋体" w:cs="宋体"/>
          <w:color w:val="auto"/>
          <w:highlight w:val="none"/>
        </w:rPr>
      </w:pPr>
    </w:p>
    <w:p>
      <w:pPr>
        <w:pStyle w:val="56"/>
        <w:spacing w:line="360" w:lineRule="auto"/>
        <w:ind w:left="0" w:leftChars="0" w:firstLine="0" w:firstLineChars="0"/>
        <w:rPr>
          <w:rFonts w:ascii="宋体" w:hAnsi="宋体" w:cs="宋体"/>
          <w:color w:val="auto"/>
          <w:sz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44"/>
          <w:szCs w:val="44"/>
          <w:highlight w:val="none"/>
          <w:lang w:eastAsia="zh-CN"/>
        </w:rPr>
      </w:pPr>
      <w:bookmarkStart w:id="0" w:name="_Toc12851"/>
      <w:r>
        <w:rPr>
          <w:rFonts w:hint="eastAsia" w:ascii="Times New Roman" w:hAnsi="Times New Roman" w:cs="宋体"/>
          <w:b/>
          <w:bCs/>
          <w:color w:val="auto"/>
          <w:sz w:val="44"/>
          <w:szCs w:val="44"/>
          <w:highlight w:val="none"/>
          <w:lang w:eastAsia="zh-CN"/>
        </w:rPr>
        <w:t>GZ427</w:t>
      </w:r>
      <w:r>
        <w:rPr>
          <w:rFonts w:hint="eastAsia" w:ascii="宋体" w:hAnsi="宋体" w:cs="宋体"/>
          <w:b/>
          <w:bCs/>
          <w:color w:val="auto"/>
          <w:sz w:val="44"/>
          <w:szCs w:val="44"/>
          <w:highlight w:val="none"/>
          <w:lang w:eastAsia="zh-CN"/>
        </w:rPr>
        <w:t>、</w:t>
      </w:r>
      <w:r>
        <w:rPr>
          <w:rFonts w:hint="eastAsia" w:ascii="Times New Roman" w:hAnsi="Times New Roman" w:cs="宋体"/>
          <w:b/>
          <w:bCs/>
          <w:color w:val="auto"/>
          <w:sz w:val="44"/>
          <w:szCs w:val="44"/>
          <w:highlight w:val="none"/>
          <w:lang w:eastAsia="zh-CN"/>
        </w:rPr>
        <w:t>428</w:t>
      </w:r>
      <w:r>
        <w:rPr>
          <w:rFonts w:hint="eastAsia" w:ascii="宋体" w:hAnsi="宋体" w:cs="宋体"/>
          <w:b/>
          <w:bCs/>
          <w:color w:val="auto"/>
          <w:sz w:val="44"/>
          <w:szCs w:val="44"/>
          <w:highlight w:val="none"/>
          <w:lang w:eastAsia="zh-CN"/>
        </w:rPr>
        <w:t>地块项目开发管理服务采购项目</w:t>
      </w:r>
      <w:bookmarkEnd w:id="0"/>
    </w:p>
    <w:p>
      <w:pPr>
        <w:spacing w:line="360" w:lineRule="auto"/>
        <w:jc w:val="center"/>
        <w:outlineLvl w:val="0"/>
        <w:rPr>
          <w:rFonts w:hint="eastAsia" w:ascii="宋体" w:hAnsi="宋体" w:eastAsia="宋体" w:cs="宋体"/>
          <w:b/>
          <w:bCs/>
          <w:color w:val="auto"/>
          <w:sz w:val="44"/>
          <w:szCs w:val="44"/>
          <w:highlight w:val="none"/>
          <w:lang w:eastAsia="zh-CN"/>
        </w:rPr>
      </w:pPr>
    </w:p>
    <w:p>
      <w:pPr>
        <w:pStyle w:val="17"/>
        <w:spacing w:line="360" w:lineRule="auto"/>
        <w:rPr>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color w:val="auto"/>
          <w:highlight w:val="none"/>
        </w:rPr>
      </w:pPr>
      <w:bookmarkStart w:id="1" w:name="_Toc6627"/>
    </w:p>
    <w:p>
      <w:pPr>
        <w:pStyle w:val="48"/>
        <w:keepNext w:val="0"/>
        <w:keepLines w:val="0"/>
        <w:pageBreakBefore w:val="0"/>
        <w:widowControl w:val="0"/>
        <w:kinsoku/>
        <w:wordWrap/>
        <w:overflowPunct/>
        <w:topLinePunct w:val="0"/>
        <w:autoSpaceDE/>
        <w:autoSpaceDN/>
        <w:bidi w:val="0"/>
        <w:adjustRightInd/>
        <w:snapToGrid/>
        <w:textAlignment w:val="auto"/>
        <w:outlineLvl w:val="9"/>
        <w:rPr>
          <w:color w:val="auto"/>
          <w:highlight w:val="none"/>
        </w:rPr>
      </w:pPr>
    </w:p>
    <w:p>
      <w:pPr>
        <w:pStyle w:val="49"/>
        <w:keepNext w:val="0"/>
        <w:keepLines w:val="0"/>
        <w:pageBreakBefore w:val="0"/>
        <w:widowControl w:val="0"/>
        <w:kinsoku/>
        <w:wordWrap/>
        <w:overflowPunct/>
        <w:topLinePunct w:val="0"/>
        <w:autoSpaceDE/>
        <w:autoSpaceDN/>
        <w:bidi w:val="0"/>
        <w:adjustRightInd/>
        <w:snapToGrid/>
        <w:textAlignment w:val="auto"/>
        <w:outlineLvl w:val="9"/>
        <w:rPr>
          <w:color w:val="auto"/>
          <w:highlight w:val="none"/>
        </w:rPr>
      </w:pPr>
    </w:p>
    <w:p>
      <w:pPr>
        <w:pStyle w:val="48"/>
        <w:keepNext w:val="0"/>
        <w:keepLines w:val="0"/>
        <w:pageBreakBefore w:val="0"/>
        <w:widowControl w:val="0"/>
        <w:kinsoku/>
        <w:wordWrap/>
        <w:overflowPunct/>
        <w:topLinePunct w:val="0"/>
        <w:autoSpaceDE/>
        <w:autoSpaceDN/>
        <w:bidi w:val="0"/>
        <w:adjustRightInd/>
        <w:snapToGrid/>
        <w:textAlignment w:val="auto"/>
        <w:outlineLvl w:val="9"/>
        <w:rPr>
          <w:color w:val="auto"/>
          <w:highlight w:val="none"/>
        </w:rPr>
      </w:pPr>
    </w:p>
    <w:p>
      <w:pPr>
        <w:pStyle w:val="49"/>
        <w:keepNext w:val="0"/>
        <w:keepLines w:val="0"/>
        <w:pageBreakBefore w:val="0"/>
        <w:widowControl w:val="0"/>
        <w:kinsoku/>
        <w:wordWrap/>
        <w:overflowPunct/>
        <w:topLinePunct w:val="0"/>
        <w:autoSpaceDE/>
        <w:autoSpaceDN/>
        <w:bidi w:val="0"/>
        <w:adjustRightInd/>
        <w:snapToGrid/>
        <w:textAlignment w:val="auto"/>
        <w:outlineLvl w:val="9"/>
        <w:rPr>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cs="宋体"/>
          <w:b/>
          <w:bCs/>
          <w:color w:val="auto"/>
          <w:sz w:val="44"/>
          <w:szCs w:val="44"/>
          <w:highlight w:val="none"/>
        </w:rPr>
      </w:pPr>
      <w:bookmarkStart w:id="2" w:name="_Toc11468"/>
      <w:bookmarkStart w:id="3" w:name="_Toc19450"/>
      <w:r>
        <w:rPr>
          <w:rFonts w:hint="eastAsia" w:ascii="宋体" w:hAnsi="宋体" w:cs="宋体"/>
          <w:b/>
          <w:bCs/>
          <w:color w:val="auto"/>
          <w:sz w:val="44"/>
          <w:szCs w:val="44"/>
          <w:highlight w:val="none"/>
        </w:rPr>
        <w:t>公开</w:t>
      </w:r>
      <w:r>
        <w:rPr>
          <w:rFonts w:hint="eastAsia" w:ascii="宋体" w:hAnsi="宋体" w:cs="宋体"/>
          <w:b/>
          <w:bCs/>
          <w:color w:val="auto"/>
          <w:sz w:val="44"/>
          <w:szCs w:val="44"/>
          <w:highlight w:val="none"/>
          <w:lang w:val="en-US" w:eastAsia="zh-CN"/>
        </w:rPr>
        <w:t>招标</w:t>
      </w:r>
      <w:r>
        <w:rPr>
          <w:rFonts w:hint="eastAsia" w:ascii="宋体" w:hAnsi="宋体" w:cs="宋体"/>
          <w:b/>
          <w:bCs/>
          <w:color w:val="auto"/>
          <w:sz w:val="44"/>
          <w:szCs w:val="44"/>
          <w:highlight w:val="none"/>
        </w:rPr>
        <w:t>文件</w:t>
      </w:r>
      <w:bookmarkEnd w:id="1"/>
      <w:bookmarkEnd w:id="2"/>
      <w:bookmarkEnd w:id="3"/>
    </w:p>
    <w:p>
      <w:pPr>
        <w:spacing w:line="360" w:lineRule="auto"/>
        <w:jc w:val="center"/>
        <w:rPr>
          <w:rFonts w:ascii="宋体" w:hAnsi="宋体" w:cs="宋体"/>
          <w:color w:val="auto"/>
          <w:sz w:val="36"/>
          <w:highlight w:val="none"/>
        </w:rPr>
      </w:pPr>
    </w:p>
    <w:p>
      <w:pPr>
        <w:spacing w:line="360" w:lineRule="auto"/>
        <w:jc w:val="center"/>
        <w:rPr>
          <w:rFonts w:ascii="宋体" w:hAnsi="宋体" w:cs="宋体"/>
          <w:color w:val="auto"/>
          <w:sz w:val="36"/>
          <w:highlight w:val="none"/>
        </w:rPr>
      </w:pPr>
    </w:p>
    <w:p>
      <w:pPr>
        <w:spacing w:line="360" w:lineRule="auto"/>
        <w:rPr>
          <w:rFonts w:ascii="宋体" w:hAnsi="宋体" w:cs="宋体"/>
          <w:color w:val="auto"/>
          <w:sz w:val="36"/>
          <w:highlight w:val="none"/>
        </w:rPr>
      </w:pPr>
    </w:p>
    <w:p>
      <w:pPr>
        <w:pStyle w:val="56"/>
        <w:spacing w:line="360" w:lineRule="auto"/>
        <w:ind w:firstLine="720"/>
        <w:rPr>
          <w:rFonts w:ascii="宋体" w:hAnsi="宋体" w:cs="宋体"/>
          <w:color w:val="auto"/>
          <w:sz w:val="36"/>
          <w:highlight w:val="none"/>
        </w:rPr>
      </w:pPr>
    </w:p>
    <w:p>
      <w:pPr>
        <w:pStyle w:val="56"/>
        <w:spacing w:line="360" w:lineRule="auto"/>
        <w:ind w:firstLine="720"/>
        <w:rPr>
          <w:rFonts w:ascii="宋体" w:hAnsi="宋体" w:cs="宋体"/>
          <w:color w:val="auto"/>
          <w:sz w:val="36"/>
          <w:highlight w:val="none"/>
        </w:rPr>
      </w:pPr>
    </w:p>
    <w:p>
      <w:pPr>
        <w:pStyle w:val="56"/>
        <w:spacing w:line="360" w:lineRule="auto"/>
        <w:ind w:firstLine="720"/>
        <w:rPr>
          <w:rFonts w:ascii="宋体" w:hAnsi="宋体" w:cs="宋体"/>
          <w:color w:val="auto"/>
          <w:sz w:val="36"/>
          <w:highlight w:val="none"/>
        </w:rPr>
      </w:pPr>
    </w:p>
    <w:p>
      <w:pPr>
        <w:pStyle w:val="56"/>
        <w:keepNext w:val="0"/>
        <w:keepLines w:val="0"/>
        <w:pageBreakBefore w:val="0"/>
        <w:widowControl w:val="0"/>
        <w:kinsoku/>
        <w:wordWrap/>
        <w:overflowPunct/>
        <w:topLinePunct w:val="0"/>
        <w:autoSpaceDE/>
        <w:autoSpaceDN/>
        <w:bidi w:val="0"/>
        <w:adjustRightInd/>
        <w:snapToGrid/>
        <w:spacing w:line="360" w:lineRule="auto"/>
        <w:ind w:firstLine="720"/>
        <w:textAlignment w:val="auto"/>
        <w:outlineLvl w:val="9"/>
        <w:rPr>
          <w:rFonts w:ascii="宋体" w:hAnsi="宋体" w:cs="宋体"/>
          <w:color w:val="auto"/>
          <w:sz w:val="36"/>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cs="宋体"/>
          <w:b/>
          <w:bCs/>
          <w:color w:val="auto"/>
          <w:sz w:val="36"/>
          <w:highlight w:val="none"/>
        </w:rPr>
      </w:pPr>
    </w:p>
    <w:p>
      <w:pPr>
        <w:keepNext w:val="0"/>
        <w:keepLines w:val="0"/>
        <w:pageBreakBefore w:val="0"/>
        <w:widowControl w:val="0"/>
        <w:kinsoku/>
        <w:wordWrap/>
        <w:overflowPunct/>
        <w:topLinePunct w:val="0"/>
        <w:autoSpaceDE/>
        <w:autoSpaceDN/>
        <w:bidi w:val="0"/>
        <w:adjustRightInd/>
        <w:snapToGrid/>
        <w:spacing w:afterLines="50" w:line="360" w:lineRule="auto"/>
        <w:jc w:val="center"/>
        <w:textAlignment w:val="auto"/>
        <w:outlineLvl w:val="9"/>
        <w:rPr>
          <w:rFonts w:ascii="宋体" w:hAnsi="宋体" w:cs="宋体"/>
          <w:b/>
          <w:bCs/>
          <w:color w:val="auto"/>
          <w:sz w:val="32"/>
          <w:szCs w:val="32"/>
          <w:highlight w:val="none"/>
        </w:rPr>
      </w:pPr>
      <w:bookmarkStart w:id="4" w:name="_Toc22669"/>
      <w:bookmarkStart w:id="5" w:name="_Toc5247"/>
      <w:r>
        <w:rPr>
          <w:rFonts w:hint="eastAsia" w:ascii="宋体" w:hAnsi="宋体" w:cs="宋体"/>
          <w:b/>
          <w:bCs/>
          <w:color w:val="auto"/>
          <w:sz w:val="32"/>
          <w:szCs w:val="32"/>
          <w:highlight w:val="none"/>
        </w:rPr>
        <w:t>江苏志诚工程咨询管理有限公司</w:t>
      </w:r>
      <w:bookmarkEnd w:id="4"/>
      <w:bookmarkEnd w:id="5"/>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cs="宋体"/>
          <w:b/>
          <w:bCs/>
          <w:color w:val="auto"/>
          <w:sz w:val="32"/>
          <w:szCs w:val="32"/>
          <w:highlight w:val="none"/>
        </w:rPr>
      </w:pPr>
      <w:r>
        <w:rPr>
          <w:rFonts w:hint="eastAsia" w:ascii="Times New Roman" w:hAnsi="Times New Roman" w:cs="宋体"/>
          <w:b/>
          <w:bCs/>
          <w:color w:val="auto"/>
          <w:sz w:val="32"/>
          <w:szCs w:val="32"/>
          <w:highlight w:val="none"/>
          <w:lang w:eastAsia="zh-CN"/>
        </w:rPr>
        <w:t>202</w:t>
      </w:r>
      <w:r>
        <w:rPr>
          <w:rFonts w:hint="eastAsia" w:ascii="Times New Roman" w:hAnsi="Times New Roman" w:cs="宋体"/>
          <w:b/>
          <w:bCs/>
          <w:color w:val="auto"/>
          <w:sz w:val="32"/>
          <w:szCs w:val="32"/>
          <w:highlight w:val="none"/>
          <w:lang w:val="en-US" w:eastAsia="zh-CN"/>
        </w:rPr>
        <w:t>3</w:t>
      </w:r>
      <w:r>
        <w:rPr>
          <w:rFonts w:hint="eastAsia" w:ascii="宋体" w:hAnsi="宋体" w:cs="宋体"/>
          <w:b/>
          <w:bCs/>
          <w:color w:val="auto"/>
          <w:sz w:val="32"/>
          <w:szCs w:val="32"/>
          <w:highlight w:val="none"/>
        </w:rPr>
        <w:t>年</w:t>
      </w:r>
      <w:r>
        <w:rPr>
          <w:rFonts w:hint="eastAsia" w:ascii="Times New Roman" w:hAnsi="Times New Roman" w:cs="宋体"/>
          <w:b/>
          <w:bCs/>
          <w:color w:val="auto"/>
          <w:sz w:val="32"/>
          <w:szCs w:val="32"/>
          <w:highlight w:val="none"/>
          <w:lang w:val="en-US" w:eastAsia="zh-CN"/>
        </w:rPr>
        <w:t>06</w:t>
      </w:r>
      <w:r>
        <w:rPr>
          <w:rFonts w:hint="eastAsia" w:ascii="宋体" w:hAnsi="宋体" w:cs="宋体"/>
          <w:b/>
          <w:bCs/>
          <w:color w:val="auto"/>
          <w:sz w:val="32"/>
          <w:szCs w:val="32"/>
          <w:highlight w:val="none"/>
        </w:rPr>
        <w:t>月</w:t>
      </w:r>
      <w:r>
        <w:rPr>
          <w:rFonts w:hint="eastAsia" w:ascii="宋体" w:hAnsi="宋体" w:cs="宋体"/>
          <w:b/>
          <w:bCs/>
          <w:color w:val="auto"/>
          <w:sz w:val="32"/>
          <w:szCs w:val="32"/>
          <w:highlight w:val="none"/>
          <w:lang w:val="en-US" w:eastAsia="zh-CN"/>
        </w:rPr>
        <w:t>13</w:t>
      </w:r>
      <w:r>
        <w:rPr>
          <w:rFonts w:hint="eastAsia" w:ascii="宋体" w:hAnsi="宋体" w:cs="宋体"/>
          <w:b/>
          <w:bCs/>
          <w:color w:val="auto"/>
          <w:sz w:val="32"/>
          <w:szCs w:val="32"/>
          <w:highlight w:val="none"/>
        </w:rPr>
        <w:t>日</w:t>
      </w:r>
    </w:p>
    <w:p>
      <w:pPr>
        <w:pStyle w:val="56"/>
        <w:spacing w:line="360" w:lineRule="auto"/>
        <w:ind w:firstLine="0" w:firstLineChars="0"/>
        <w:rPr>
          <w:rFonts w:ascii="宋体" w:hAnsi="宋体" w:cs="宋体"/>
          <w:color w:val="auto"/>
          <w:highlight w:val="none"/>
        </w:rPr>
      </w:pPr>
    </w:p>
    <w:sdt>
      <w:sdtPr>
        <w:rPr>
          <w:rFonts w:hint="eastAsia" w:ascii="宋体" w:hAnsi="宋体" w:cs="宋体"/>
          <w:b/>
          <w:bCs/>
          <w:color w:val="auto"/>
          <w:sz w:val="36"/>
          <w:szCs w:val="40"/>
          <w:highlight w:val="none"/>
        </w:rPr>
        <w:id w:val="147463471"/>
        <w:docPartObj>
          <w:docPartGallery w:val="Table of Contents"/>
          <w:docPartUnique/>
        </w:docPartObj>
      </w:sdtPr>
      <w:sdtEndPr>
        <w:rPr>
          <w:rFonts w:hint="eastAsia" w:ascii="宋体" w:hAnsi="宋体" w:cs="宋体"/>
          <w:b/>
          <w:bCs/>
          <w:color w:val="auto"/>
          <w:sz w:val="21"/>
          <w:szCs w:val="22"/>
          <w:highlight w:val="none"/>
        </w:rPr>
      </w:sdtEndPr>
      <w:sdtContent>
        <w:p>
          <w:pPr>
            <w:spacing w:line="360" w:lineRule="auto"/>
            <w:rPr>
              <w:rFonts w:ascii="宋体" w:hAnsi="宋体" w:cs="宋体"/>
              <w:b/>
              <w:bCs/>
              <w:color w:val="auto"/>
              <w:sz w:val="36"/>
              <w:szCs w:val="40"/>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bCs/>
              <w:color w:val="auto"/>
              <w:sz w:val="36"/>
              <w:szCs w:val="40"/>
              <w:highlight w:val="none"/>
            </w:rPr>
          </w:pPr>
          <w:r>
            <w:rPr>
              <w:rFonts w:hint="eastAsia" w:ascii="宋体" w:hAnsi="宋体" w:cs="宋体"/>
              <w:b/>
              <w:bCs/>
              <w:color w:val="auto"/>
              <w:sz w:val="36"/>
              <w:szCs w:val="40"/>
              <w:highlight w:val="none"/>
            </w:rPr>
            <w:t>目  录</w:t>
          </w:r>
        </w:p>
        <w:p>
          <w:pPr>
            <w:pStyle w:val="31"/>
            <w:keepNext w:val="0"/>
            <w:keepLines w:val="0"/>
            <w:pageBreakBefore w:val="0"/>
            <w:widowControl w:val="0"/>
            <w:tabs>
              <w:tab w:val="right" w:leader="dot" w:pos="10149"/>
            </w:tabs>
            <w:kinsoku/>
            <w:wordWrap/>
            <w:overflowPunct/>
            <w:topLinePunct w:val="0"/>
            <w:autoSpaceDE/>
            <w:autoSpaceDN/>
            <w:bidi w:val="0"/>
            <w:adjustRightInd/>
            <w:snapToGrid/>
            <w:spacing w:line="360" w:lineRule="auto"/>
            <w:textAlignment w:val="auto"/>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TOC \o "1-1" \h \u </w:instrText>
          </w:r>
          <w:r>
            <w:rPr>
              <w:rFonts w:hint="eastAsia" w:ascii="宋体" w:hAnsi="宋体" w:cs="宋体"/>
              <w:color w:val="auto"/>
              <w:highlight w:val="none"/>
            </w:rPr>
            <w:fldChar w:fldCharType="separate"/>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_Toc5714 </w:instrText>
          </w:r>
          <w:r>
            <w:rPr>
              <w:rFonts w:hint="eastAsia" w:ascii="宋体" w:hAnsi="宋体" w:cs="宋体"/>
              <w:color w:val="auto"/>
              <w:highlight w:val="none"/>
            </w:rPr>
            <w:fldChar w:fldCharType="separate"/>
          </w:r>
          <w:r>
            <w:rPr>
              <w:rFonts w:hint="eastAsia"/>
              <w:color w:val="auto"/>
              <w:highlight w:val="none"/>
            </w:rPr>
            <w:t>第一章、公开</w:t>
          </w:r>
          <w:r>
            <w:rPr>
              <w:rFonts w:hint="eastAsia"/>
              <w:color w:val="auto"/>
              <w:highlight w:val="none"/>
              <w:lang w:val="en-US" w:eastAsia="zh-CN"/>
            </w:rPr>
            <w:t>招标</w:t>
          </w:r>
          <w:r>
            <w:rPr>
              <w:rFonts w:hint="eastAsia"/>
              <w:color w:val="auto"/>
              <w:highlight w:val="none"/>
            </w:rPr>
            <w:t>公告</w:t>
          </w:r>
          <w:r>
            <w:rPr>
              <w:color w:val="auto"/>
              <w:highlight w:val="none"/>
            </w:rPr>
            <w:tab/>
          </w:r>
          <w:r>
            <w:rPr>
              <w:color w:val="auto"/>
              <w:highlight w:val="none"/>
            </w:rPr>
            <w:fldChar w:fldCharType="begin"/>
          </w:r>
          <w:r>
            <w:rPr>
              <w:color w:val="auto"/>
              <w:highlight w:val="none"/>
            </w:rPr>
            <w:instrText xml:space="preserve"> PAGEREF _Toc5714 \h </w:instrText>
          </w:r>
          <w:r>
            <w:rPr>
              <w:color w:val="auto"/>
              <w:highlight w:val="none"/>
            </w:rPr>
            <w:fldChar w:fldCharType="separate"/>
          </w:r>
          <w:r>
            <w:rPr>
              <w:rFonts w:hint="eastAsia" w:ascii="Times New Roman" w:hAnsi="Times New Roman"/>
              <w:color w:val="auto"/>
              <w:highlight w:val="none"/>
              <w:lang w:eastAsia="zh-CN"/>
            </w:rPr>
            <w:t>3</w:t>
          </w:r>
          <w:r>
            <w:rPr>
              <w:color w:val="auto"/>
              <w:highlight w:val="none"/>
            </w:rPr>
            <w:fldChar w:fldCharType="end"/>
          </w:r>
          <w:r>
            <w:rPr>
              <w:rFonts w:hint="eastAsia" w:ascii="宋体" w:hAnsi="宋体" w:cs="宋体"/>
              <w:color w:val="auto"/>
              <w:highlight w:val="none"/>
            </w:rPr>
            <w:fldChar w:fldCharType="end"/>
          </w:r>
        </w:p>
        <w:p>
          <w:pPr>
            <w:pStyle w:val="31"/>
            <w:keepNext w:val="0"/>
            <w:keepLines w:val="0"/>
            <w:pageBreakBefore w:val="0"/>
            <w:widowControl w:val="0"/>
            <w:tabs>
              <w:tab w:val="right" w:leader="dot" w:pos="10149"/>
            </w:tabs>
            <w:kinsoku/>
            <w:wordWrap/>
            <w:overflowPunct/>
            <w:topLinePunct w:val="0"/>
            <w:autoSpaceDE/>
            <w:autoSpaceDN/>
            <w:bidi w:val="0"/>
            <w:adjustRightInd/>
            <w:snapToGrid/>
            <w:spacing w:line="360" w:lineRule="auto"/>
            <w:textAlignment w:val="auto"/>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_Toc26690 </w:instrText>
          </w:r>
          <w:r>
            <w:rPr>
              <w:rFonts w:hint="eastAsia" w:ascii="宋体" w:hAnsi="宋体" w:cs="宋体"/>
              <w:color w:val="auto"/>
              <w:highlight w:val="none"/>
            </w:rPr>
            <w:fldChar w:fldCharType="separate"/>
          </w:r>
          <w:r>
            <w:rPr>
              <w:rFonts w:hint="eastAsia"/>
              <w:color w:val="auto"/>
              <w:highlight w:val="none"/>
              <w:lang w:val="en-US" w:eastAsia="zh-CN"/>
            </w:rPr>
            <w:t>第二章、</w:t>
          </w:r>
          <w:r>
            <w:rPr>
              <w:rFonts w:hint="eastAsia"/>
              <w:color w:val="auto"/>
              <w:highlight w:val="none"/>
            </w:rPr>
            <w:t>投标人须知</w:t>
          </w:r>
          <w:r>
            <w:rPr>
              <w:color w:val="auto"/>
              <w:highlight w:val="none"/>
            </w:rPr>
            <w:tab/>
          </w:r>
          <w:r>
            <w:rPr>
              <w:color w:val="auto"/>
              <w:highlight w:val="none"/>
            </w:rPr>
            <w:fldChar w:fldCharType="begin"/>
          </w:r>
          <w:r>
            <w:rPr>
              <w:color w:val="auto"/>
              <w:highlight w:val="none"/>
            </w:rPr>
            <w:instrText xml:space="preserve"> PAGEREF _Toc26690 \h </w:instrText>
          </w:r>
          <w:r>
            <w:rPr>
              <w:color w:val="auto"/>
              <w:highlight w:val="none"/>
            </w:rPr>
            <w:fldChar w:fldCharType="separate"/>
          </w:r>
          <w:r>
            <w:rPr>
              <w:rFonts w:hint="eastAsia" w:ascii="Times New Roman" w:hAnsi="Times New Roman"/>
              <w:color w:val="auto"/>
              <w:highlight w:val="none"/>
              <w:lang w:eastAsia="zh-CN"/>
            </w:rPr>
            <w:t>7</w:t>
          </w:r>
          <w:r>
            <w:rPr>
              <w:color w:val="auto"/>
              <w:highlight w:val="none"/>
            </w:rPr>
            <w:fldChar w:fldCharType="end"/>
          </w:r>
          <w:r>
            <w:rPr>
              <w:rFonts w:hint="eastAsia" w:ascii="宋体" w:hAnsi="宋体" w:cs="宋体"/>
              <w:color w:val="auto"/>
              <w:highlight w:val="none"/>
            </w:rPr>
            <w:fldChar w:fldCharType="end"/>
          </w:r>
        </w:p>
        <w:p>
          <w:pPr>
            <w:pStyle w:val="31"/>
            <w:keepNext w:val="0"/>
            <w:keepLines w:val="0"/>
            <w:pageBreakBefore w:val="0"/>
            <w:widowControl w:val="0"/>
            <w:tabs>
              <w:tab w:val="right" w:leader="dot" w:pos="10149"/>
            </w:tabs>
            <w:kinsoku/>
            <w:wordWrap/>
            <w:overflowPunct/>
            <w:topLinePunct w:val="0"/>
            <w:autoSpaceDE/>
            <w:autoSpaceDN/>
            <w:bidi w:val="0"/>
            <w:adjustRightInd/>
            <w:snapToGrid/>
            <w:spacing w:line="360" w:lineRule="auto"/>
            <w:textAlignment w:val="auto"/>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_Toc24141 </w:instrText>
          </w:r>
          <w:r>
            <w:rPr>
              <w:rFonts w:hint="eastAsia" w:ascii="宋体" w:hAnsi="宋体" w:cs="宋体"/>
              <w:color w:val="auto"/>
              <w:highlight w:val="none"/>
            </w:rPr>
            <w:fldChar w:fldCharType="separate"/>
          </w:r>
          <w:r>
            <w:rPr>
              <w:rFonts w:hint="eastAsia" w:ascii="宋体" w:hAnsi="宋体" w:cs="宋体"/>
              <w:color w:val="auto"/>
              <w:highlight w:val="none"/>
              <w:lang w:val="en-US" w:eastAsia="zh-CN"/>
            </w:rPr>
            <w:t>第三章、</w:t>
          </w:r>
          <w:r>
            <w:rPr>
              <w:rFonts w:hint="eastAsia" w:ascii="宋体" w:hAnsi="宋体" w:cs="宋体"/>
              <w:color w:val="auto"/>
              <w:highlight w:val="none"/>
            </w:rPr>
            <w:t>合同条款及格式</w:t>
          </w:r>
          <w:r>
            <w:rPr>
              <w:color w:val="auto"/>
              <w:highlight w:val="none"/>
            </w:rPr>
            <w:tab/>
          </w:r>
          <w:r>
            <w:rPr>
              <w:color w:val="auto"/>
              <w:highlight w:val="none"/>
            </w:rPr>
            <w:fldChar w:fldCharType="begin"/>
          </w:r>
          <w:r>
            <w:rPr>
              <w:color w:val="auto"/>
              <w:highlight w:val="none"/>
            </w:rPr>
            <w:instrText xml:space="preserve"> PAGEREF _Toc24141 \h </w:instrText>
          </w:r>
          <w:r>
            <w:rPr>
              <w:color w:val="auto"/>
              <w:highlight w:val="none"/>
            </w:rPr>
            <w:fldChar w:fldCharType="separate"/>
          </w:r>
          <w:r>
            <w:rPr>
              <w:rFonts w:hint="eastAsia" w:ascii="Times New Roman" w:hAnsi="Times New Roman"/>
              <w:color w:val="auto"/>
              <w:highlight w:val="none"/>
              <w:lang w:eastAsia="zh-CN"/>
            </w:rPr>
            <w:t>18</w:t>
          </w:r>
          <w:r>
            <w:rPr>
              <w:color w:val="auto"/>
              <w:highlight w:val="none"/>
            </w:rPr>
            <w:fldChar w:fldCharType="end"/>
          </w:r>
          <w:r>
            <w:rPr>
              <w:rFonts w:hint="eastAsia" w:ascii="宋体" w:hAnsi="宋体" w:cs="宋体"/>
              <w:color w:val="auto"/>
              <w:highlight w:val="none"/>
            </w:rPr>
            <w:fldChar w:fldCharType="end"/>
          </w:r>
        </w:p>
        <w:p>
          <w:pPr>
            <w:pStyle w:val="31"/>
            <w:keepNext w:val="0"/>
            <w:keepLines w:val="0"/>
            <w:pageBreakBefore w:val="0"/>
            <w:widowControl w:val="0"/>
            <w:tabs>
              <w:tab w:val="right" w:leader="dot" w:pos="10149"/>
            </w:tabs>
            <w:kinsoku/>
            <w:wordWrap/>
            <w:overflowPunct/>
            <w:topLinePunct w:val="0"/>
            <w:autoSpaceDE/>
            <w:autoSpaceDN/>
            <w:bidi w:val="0"/>
            <w:adjustRightInd/>
            <w:snapToGrid/>
            <w:spacing w:line="360" w:lineRule="auto"/>
            <w:textAlignment w:val="auto"/>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_Toc31757 </w:instrText>
          </w:r>
          <w:r>
            <w:rPr>
              <w:rFonts w:hint="eastAsia" w:ascii="宋体" w:hAnsi="宋体" w:cs="宋体"/>
              <w:color w:val="auto"/>
              <w:highlight w:val="none"/>
            </w:rPr>
            <w:fldChar w:fldCharType="separate"/>
          </w:r>
          <w:r>
            <w:rPr>
              <w:rFonts w:hint="eastAsia"/>
              <w:color w:val="auto"/>
              <w:highlight w:val="none"/>
            </w:rPr>
            <w:t>第四章</w:t>
          </w:r>
          <w:r>
            <w:rPr>
              <w:rFonts w:hint="eastAsia"/>
              <w:color w:val="auto"/>
              <w:highlight w:val="none"/>
              <w:lang w:eastAsia="zh-CN"/>
            </w:rPr>
            <w:t>、</w:t>
          </w:r>
          <w:r>
            <w:rPr>
              <w:rFonts w:hint="eastAsia"/>
              <w:color w:val="auto"/>
              <w:highlight w:val="none"/>
            </w:rPr>
            <w:t>项目需求</w:t>
          </w:r>
          <w:r>
            <w:rPr>
              <w:color w:val="auto"/>
              <w:highlight w:val="none"/>
            </w:rPr>
            <w:tab/>
          </w:r>
          <w:r>
            <w:rPr>
              <w:color w:val="auto"/>
              <w:highlight w:val="none"/>
            </w:rPr>
            <w:fldChar w:fldCharType="begin"/>
          </w:r>
          <w:r>
            <w:rPr>
              <w:color w:val="auto"/>
              <w:highlight w:val="none"/>
            </w:rPr>
            <w:instrText xml:space="preserve"> PAGEREF _Toc31757 \h </w:instrText>
          </w:r>
          <w:r>
            <w:rPr>
              <w:color w:val="auto"/>
              <w:highlight w:val="none"/>
            </w:rPr>
            <w:fldChar w:fldCharType="separate"/>
          </w:r>
          <w:r>
            <w:rPr>
              <w:rFonts w:hint="eastAsia" w:ascii="Times New Roman" w:hAnsi="Times New Roman"/>
              <w:color w:val="auto"/>
              <w:highlight w:val="none"/>
              <w:lang w:eastAsia="zh-CN"/>
            </w:rPr>
            <w:t>80</w:t>
          </w:r>
          <w:r>
            <w:rPr>
              <w:color w:val="auto"/>
              <w:highlight w:val="none"/>
            </w:rPr>
            <w:fldChar w:fldCharType="end"/>
          </w:r>
          <w:r>
            <w:rPr>
              <w:rFonts w:hint="eastAsia" w:ascii="宋体" w:hAnsi="宋体" w:cs="宋体"/>
              <w:color w:val="auto"/>
              <w:highlight w:val="none"/>
            </w:rPr>
            <w:fldChar w:fldCharType="end"/>
          </w:r>
        </w:p>
        <w:p>
          <w:pPr>
            <w:pStyle w:val="31"/>
            <w:keepNext w:val="0"/>
            <w:keepLines w:val="0"/>
            <w:pageBreakBefore w:val="0"/>
            <w:widowControl w:val="0"/>
            <w:tabs>
              <w:tab w:val="right" w:leader="dot" w:pos="10149"/>
            </w:tabs>
            <w:kinsoku/>
            <w:wordWrap/>
            <w:overflowPunct/>
            <w:topLinePunct w:val="0"/>
            <w:autoSpaceDE/>
            <w:autoSpaceDN/>
            <w:bidi w:val="0"/>
            <w:adjustRightInd/>
            <w:snapToGrid/>
            <w:spacing w:line="360" w:lineRule="auto"/>
            <w:textAlignment w:val="auto"/>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_Toc6360 </w:instrText>
          </w:r>
          <w:r>
            <w:rPr>
              <w:rFonts w:hint="eastAsia" w:ascii="宋体" w:hAnsi="宋体" w:cs="宋体"/>
              <w:color w:val="auto"/>
              <w:highlight w:val="none"/>
            </w:rPr>
            <w:fldChar w:fldCharType="separate"/>
          </w:r>
          <w:r>
            <w:rPr>
              <w:rFonts w:hint="eastAsia"/>
              <w:color w:val="auto"/>
              <w:highlight w:val="none"/>
            </w:rPr>
            <w:t>第五章、评审方法和评审标准</w:t>
          </w:r>
          <w:r>
            <w:rPr>
              <w:color w:val="auto"/>
              <w:highlight w:val="none"/>
            </w:rPr>
            <w:tab/>
          </w:r>
          <w:r>
            <w:rPr>
              <w:color w:val="auto"/>
              <w:highlight w:val="none"/>
            </w:rPr>
            <w:fldChar w:fldCharType="begin"/>
          </w:r>
          <w:r>
            <w:rPr>
              <w:color w:val="auto"/>
              <w:highlight w:val="none"/>
            </w:rPr>
            <w:instrText xml:space="preserve"> PAGEREF _Toc6360 \h </w:instrText>
          </w:r>
          <w:r>
            <w:rPr>
              <w:color w:val="auto"/>
              <w:highlight w:val="none"/>
            </w:rPr>
            <w:fldChar w:fldCharType="separate"/>
          </w:r>
          <w:r>
            <w:rPr>
              <w:rFonts w:hint="eastAsia" w:ascii="Times New Roman" w:hAnsi="Times New Roman"/>
              <w:color w:val="auto"/>
              <w:highlight w:val="none"/>
              <w:lang w:eastAsia="zh-CN"/>
            </w:rPr>
            <w:t>82</w:t>
          </w:r>
          <w:r>
            <w:rPr>
              <w:color w:val="auto"/>
              <w:highlight w:val="none"/>
            </w:rPr>
            <w:fldChar w:fldCharType="end"/>
          </w:r>
          <w:r>
            <w:rPr>
              <w:rFonts w:hint="eastAsia" w:ascii="宋体" w:hAnsi="宋体" w:cs="宋体"/>
              <w:color w:val="auto"/>
              <w:highlight w:val="none"/>
            </w:rPr>
            <w:fldChar w:fldCharType="end"/>
          </w:r>
        </w:p>
        <w:p>
          <w:pPr>
            <w:pStyle w:val="31"/>
            <w:keepNext w:val="0"/>
            <w:keepLines w:val="0"/>
            <w:pageBreakBefore w:val="0"/>
            <w:widowControl w:val="0"/>
            <w:tabs>
              <w:tab w:val="right" w:leader="dot" w:pos="10149"/>
            </w:tabs>
            <w:kinsoku/>
            <w:wordWrap/>
            <w:overflowPunct/>
            <w:topLinePunct w:val="0"/>
            <w:autoSpaceDE/>
            <w:autoSpaceDN/>
            <w:bidi w:val="0"/>
            <w:adjustRightInd/>
            <w:snapToGrid/>
            <w:spacing w:line="360" w:lineRule="auto"/>
            <w:textAlignment w:val="auto"/>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_Toc16196 </w:instrText>
          </w:r>
          <w:r>
            <w:rPr>
              <w:rFonts w:hint="eastAsia" w:ascii="宋体" w:hAnsi="宋体" w:cs="宋体"/>
              <w:color w:val="auto"/>
              <w:highlight w:val="none"/>
            </w:rPr>
            <w:fldChar w:fldCharType="separate"/>
          </w:r>
          <w:r>
            <w:rPr>
              <w:rFonts w:hint="eastAsia" w:ascii="宋体" w:hAnsi="宋体" w:cs="宋体"/>
              <w:color w:val="auto"/>
              <w:highlight w:val="none"/>
            </w:rPr>
            <w:t>第六章、投标文件格式</w:t>
          </w:r>
          <w:r>
            <w:rPr>
              <w:color w:val="auto"/>
              <w:highlight w:val="none"/>
            </w:rPr>
            <w:tab/>
          </w:r>
          <w:r>
            <w:rPr>
              <w:color w:val="auto"/>
              <w:highlight w:val="none"/>
            </w:rPr>
            <w:fldChar w:fldCharType="begin"/>
          </w:r>
          <w:r>
            <w:rPr>
              <w:color w:val="auto"/>
              <w:highlight w:val="none"/>
            </w:rPr>
            <w:instrText xml:space="preserve"> PAGEREF _Toc16196 \h </w:instrText>
          </w:r>
          <w:r>
            <w:rPr>
              <w:color w:val="auto"/>
              <w:highlight w:val="none"/>
            </w:rPr>
            <w:fldChar w:fldCharType="separate"/>
          </w:r>
          <w:r>
            <w:rPr>
              <w:rFonts w:hint="eastAsia" w:ascii="Times New Roman" w:hAnsi="Times New Roman"/>
              <w:color w:val="auto"/>
              <w:highlight w:val="none"/>
              <w:lang w:eastAsia="zh-CN"/>
            </w:rPr>
            <w:t>86</w:t>
          </w:r>
          <w:r>
            <w:rPr>
              <w:color w:val="auto"/>
              <w:highlight w:val="none"/>
            </w:rPr>
            <w:fldChar w:fldCharType="end"/>
          </w:r>
          <w:r>
            <w:rPr>
              <w:rFonts w:hint="eastAsia" w:ascii="宋体" w:hAnsi="宋体" w:cs="宋体"/>
              <w:color w:val="auto"/>
              <w:highlight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highlight w:val="none"/>
            </w:rPr>
          </w:pPr>
          <w:r>
            <w:rPr>
              <w:rFonts w:hint="eastAsia" w:ascii="宋体" w:hAnsi="宋体" w:cs="宋体"/>
              <w:color w:val="auto"/>
              <w:highlight w:val="none"/>
            </w:rPr>
            <w:fldChar w:fldCharType="end"/>
          </w:r>
        </w:p>
      </w:sdtContent>
    </w:sdt>
    <w:p>
      <w:pPr>
        <w:pStyle w:val="7"/>
        <w:numPr>
          <w:ilvl w:val="0"/>
          <w:numId w:val="3"/>
        </w:numPr>
        <w:spacing w:line="360" w:lineRule="auto"/>
        <w:rPr>
          <w:rFonts w:ascii="宋体" w:hAnsi="宋体" w:cs="宋体"/>
          <w:color w:val="auto"/>
          <w:sz w:val="36"/>
          <w:highlight w:val="none"/>
        </w:rPr>
        <w:sectPr>
          <w:headerReference r:id="rId3" w:type="default"/>
          <w:footerReference r:id="rId4" w:type="default"/>
          <w:pgSz w:w="11849" w:h="16792"/>
          <w:pgMar w:top="1417" w:right="850" w:bottom="1417" w:left="850" w:header="850" w:footer="850" w:gutter="0"/>
          <w:pgBorders>
            <w:top w:val="none" w:sz="0" w:space="0"/>
            <w:left w:val="none" w:sz="0" w:space="0"/>
            <w:bottom w:val="none" w:sz="0" w:space="0"/>
            <w:right w:val="none" w:sz="0" w:space="0"/>
          </w:pgBorders>
          <w:pgNumType w:fmt="decimal" w:start="1"/>
          <w:cols w:space="0" w:num="1"/>
          <w:rtlGutter w:val="0"/>
          <w:docGrid w:linePitch="312" w:charSpace="0"/>
        </w:sectPr>
      </w:pPr>
    </w:p>
    <w:p>
      <w:pPr>
        <w:pStyle w:val="7"/>
        <w:spacing w:line="360" w:lineRule="auto"/>
        <w:rPr>
          <w:color w:val="auto"/>
          <w:highlight w:val="none"/>
        </w:rPr>
      </w:pPr>
      <w:bookmarkStart w:id="6" w:name="_Toc5714"/>
      <w:r>
        <w:rPr>
          <w:rFonts w:hint="eastAsia"/>
          <w:color w:val="auto"/>
          <w:highlight w:val="none"/>
        </w:rPr>
        <w:t>第一章、公开</w:t>
      </w:r>
      <w:r>
        <w:rPr>
          <w:rFonts w:hint="eastAsia"/>
          <w:color w:val="auto"/>
          <w:highlight w:val="none"/>
          <w:lang w:val="en-US" w:eastAsia="zh-CN"/>
        </w:rPr>
        <w:t>招标</w:t>
      </w:r>
      <w:r>
        <w:rPr>
          <w:rFonts w:hint="eastAsia"/>
          <w:color w:val="auto"/>
          <w:highlight w:val="none"/>
        </w:rPr>
        <w:t>公告</w:t>
      </w:r>
      <w:bookmarkEnd w:id="6"/>
    </w:p>
    <w:p>
      <w:pPr>
        <w:pBdr>
          <w:top w:val="single" w:color="auto" w:sz="4" w:space="0"/>
          <w:left w:val="single" w:color="auto" w:sz="4" w:space="0"/>
          <w:bottom w:val="single" w:color="auto" w:sz="4" w:space="0"/>
          <w:right w:val="single" w:color="auto" w:sz="4" w:space="0"/>
        </w:pBdr>
        <w:tabs>
          <w:tab w:val="left" w:pos="900"/>
        </w:tabs>
        <w:adjustRightInd w:val="0"/>
        <w:spacing w:afterLines="50" w:line="360" w:lineRule="auto"/>
        <w:ind w:firstLine="420" w:firstLineChars="200"/>
        <w:rPr>
          <w:rFonts w:ascii="宋体" w:hAnsi="宋体" w:cs="宋体"/>
          <w:color w:val="auto"/>
          <w:szCs w:val="21"/>
          <w:highlight w:val="none"/>
        </w:rPr>
      </w:pPr>
      <w:bookmarkStart w:id="7" w:name="_Toc504128232"/>
      <w:r>
        <w:rPr>
          <w:rFonts w:hint="eastAsia" w:ascii="宋体" w:hAnsi="宋体" w:cs="宋体"/>
          <w:color w:val="auto"/>
          <w:szCs w:val="21"/>
          <w:highlight w:val="none"/>
        </w:rPr>
        <w:t>项目概况</w:t>
      </w:r>
      <w:r>
        <w:rPr>
          <w:rFonts w:hint="eastAsia" w:ascii="宋体" w:hAnsi="宋体" w:cs="宋体"/>
          <w:color w:val="auto"/>
          <w:szCs w:val="21"/>
          <w:highlight w:val="none"/>
          <w:lang w:eastAsia="zh-CN"/>
        </w:rPr>
        <w:t>：</w:t>
      </w:r>
      <w:r>
        <w:rPr>
          <w:rFonts w:hint="eastAsia" w:ascii="Times New Roman" w:hAnsi="Times New Roman" w:cs="宋体"/>
          <w:color w:val="auto"/>
          <w:szCs w:val="21"/>
          <w:highlight w:val="none"/>
          <w:u w:val="single"/>
          <w:lang w:eastAsia="zh-CN"/>
        </w:rPr>
        <w:t>GZ427</w:t>
      </w:r>
      <w:r>
        <w:rPr>
          <w:rFonts w:hint="eastAsia" w:ascii="宋体" w:hAnsi="宋体" w:cs="宋体"/>
          <w:color w:val="auto"/>
          <w:szCs w:val="21"/>
          <w:highlight w:val="none"/>
          <w:u w:val="single"/>
          <w:lang w:eastAsia="zh-CN"/>
        </w:rPr>
        <w:t>、</w:t>
      </w:r>
      <w:r>
        <w:rPr>
          <w:rFonts w:hint="eastAsia" w:ascii="Times New Roman" w:hAnsi="Times New Roman" w:cs="宋体"/>
          <w:color w:val="auto"/>
          <w:szCs w:val="21"/>
          <w:highlight w:val="none"/>
          <w:u w:val="single"/>
          <w:lang w:eastAsia="zh-CN"/>
        </w:rPr>
        <w:t>428</w:t>
      </w:r>
      <w:r>
        <w:rPr>
          <w:rFonts w:hint="eastAsia" w:ascii="宋体" w:hAnsi="宋体" w:cs="宋体"/>
          <w:color w:val="auto"/>
          <w:szCs w:val="21"/>
          <w:highlight w:val="none"/>
          <w:u w:val="single"/>
          <w:lang w:eastAsia="zh-CN"/>
        </w:rPr>
        <w:t>地块项目开发管理服务采购项目</w:t>
      </w:r>
      <w:r>
        <w:rPr>
          <w:rFonts w:hint="eastAsia" w:ascii="宋体" w:hAnsi="宋体" w:cs="宋体"/>
          <w:color w:val="auto"/>
          <w:szCs w:val="21"/>
          <w:highlight w:val="none"/>
        </w:rPr>
        <w:t>的潜在投标人可在</w:t>
      </w:r>
      <w:r>
        <w:rPr>
          <w:rFonts w:hint="eastAsia" w:ascii="宋体" w:hAnsi="宋体" w:cs="宋体"/>
          <w:color w:val="auto"/>
          <w:szCs w:val="21"/>
          <w:highlight w:val="none"/>
          <w:u w:val="single"/>
        </w:rPr>
        <w:t>江苏志诚工程咨询管理有限公司代理部</w:t>
      </w:r>
      <w:r>
        <w:rPr>
          <w:rFonts w:hint="eastAsia" w:ascii="宋体" w:hAnsi="宋体" w:cs="宋体"/>
          <w:color w:val="auto"/>
          <w:szCs w:val="21"/>
          <w:highlight w:val="none"/>
          <w:u w:val="none"/>
          <w:lang w:val="en-US" w:eastAsia="zh-CN"/>
        </w:rPr>
        <w:t>获取招标</w:t>
      </w:r>
      <w:r>
        <w:rPr>
          <w:rFonts w:hint="eastAsia" w:ascii="宋体" w:hAnsi="宋体" w:cs="宋体"/>
          <w:color w:val="auto"/>
          <w:highlight w:val="none"/>
        </w:rPr>
        <w:t>文件</w:t>
      </w:r>
      <w:r>
        <w:rPr>
          <w:rFonts w:hint="eastAsia" w:ascii="宋体" w:hAnsi="宋体" w:cs="宋体"/>
          <w:color w:val="auto"/>
          <w:szCs w:val="21"/>
          <w:highlight w:val="none"/>
        </w:rPr>
        <w:t>，并于</w:t>
      </w:r>
      <w:r>
        <w:rPr>
          <w:rFonts w:hint="eastAsia" w:ascii="宋体" w:hAnsi="宋体" w:cs="宋体"/>
          <w:color w:val="auto"/>
          <w:szCs w:val="21"/>
          <w:highlight w:val="none"/>
          <w:u w:val="single"/>
        </w:rPr>
        <w:t xml:space="preserve"> </w:t>
      </w:r>
      <w:r>
        <w:rPr>
          <w:rFonts w:hint="eastAsia" w:ascii="Times New Roman" w:hAnsi="Times New Roman" w:cs="宋体"/>
          <w:color w:val="auto"/>
          <w:szCs w:val="21"/>
          <w:highlight w:val="none"/>
          <w:u w:val="single"/>
          <w:lang w:eastAsia="zh-CN"/>
        </w:rPr>
        <w:t>2023</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日</w:t>
      </w:r>
      <w:r>
        <w:rPr>
          <w:rFonts w:hint="eastAsia" w:ascii="Times New Roman" w:hAnsi="Times New Roman" w:cs="宋体"/>
          <w:color w:val="auto"/>
          <w:szCs w:val="21"/>
          <w:highlight w:val="none"/>
          <w:u w:val="single"/>
          <w:lang w:val="en-US" w:eastAsia="zh-CN"/>
        </w:rPr>
        <w:t>09</w:t>
      </w:r>
      <w:r>
        <w:rPr>
          <w:rFonts w:hint="eastAsia" w:ascii="宋体" w:hAnsi="宋体" w:cs="宋体"/>
          <w:color w:val="auto"/>
          <w:szCs w:val="21"/>
          <w:highlight w:val="none"/>
          <w:u w:val="single"/>
        </w:rPr>
        <w:t>点</w:t>
      </w:r>
      <w:r>
        <w:rPr>
          <w:rFonts w:hint="eastAsia" w:ascii="宋体" w:hAnsi="宋体" w:cs="宋体"/>
          <w:color w:val="auto"/>
          <w:szCs w:val="21"/>
          <w:highlight w:val="none"/>
          <w:u w:val="single"/>
          <w:lang w:val="en-US" w:eastAsia="zh-CN"/>
        </w:rPr>
        <w:t xml:space="preserve"> </w:t>
      </w:r>
      <w:r>
        <w:rPr>
          <w:rFonts w:hint="eastAsia" w:ascii="Times New Roman" w:hAnsi="Times New Roman" w:cs="宋体"/>
          <w:color w:val="auto"/>
          <w:szCs w:val="21"/>
          <w:highlight w:val="none"/>
          <w:u w:val="single"/>
          <w:lang w:val="en-US" w:eastAsia="zh-CN"/>
        </w:rPr>
        <w:t>30</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分</w:t>
      </w:r>
      <w:r>
        <w:rPr>
          <w:rFonts w:hint="eastAsia" w:ascii="宋体" w:hAnsi="宋体" w:cs="宋体"/>
          <w:color w:val="auto"/>
          <w:szCs w:val="21"/>
          <w:highlight w:val="none"/>
        </w:rPr>
        <w:t>（北京时间）前提交</w:t>
      </w:r>
      <w:r>
        <w:rPr>
          <w:rFonts w:hint="eastAsia" w:ascii="宋体" w:hAnsi="宋体" w:cs="宋体"/>
          <w:color w:val="auto"/>
          <w:highlight w:val="none"/>
        </w:rPr>
        <w:t>投标文件</w:t>
      </w:r>
      <w:r>
        <w:rPr>
          <w:rFonts w:hint="eastAsia" w:ascii="宋体" w:hAnsi="宋体" w:cs="宋体"/>
          <w:color w:val="auto"/>
          <w:szCs w:val="21"/>
          <w:highlight w:val="none"/>
        </w:rPr>
        <w:t>。</w:t>
      </w:r>
      <w:bookmarkStart w:id="8" w:name="_Toc35393798"/>
      <w:bookmarkStart w:id="9" w:name="_Toc28359089"/>
      <w:bookmarkStart w:id="10" w:name="_Toc35393629"/>
      <w:bookmarkStart w:id="11" w:name="_Toc28359012"/>
    </w:p>
    <w:p>
      <w:pPr>
        <w:pStyle w:val="8"/>
        <w:pageBreakBefore w:val="0"/>
        <w:tabs>
          <w:tab w:val="left" w:pos="0"/>
        </w:tabs>
        <w:kinsoku/>
        <w:wordWrap/>
        <w:overflowPunct/>
        <w:topLinePunct w:val="0"/>
        <w:autoSpaceDE/>
        <w:autoSpaceDN/>
        <w:bidi w:val="0"/>
        <w:spacing w:line="360" w:lineRule="auto"/>
        <w:textAlignment w:val="auto"/>
        <w:rPr>
          <w:rFonts w:hint="eastAsia" w:cs="宋体"/>
          <w:bCs/>
          <w:color w:val="auto"/>
          <w:sz w:val="21"/>
          <w:szCs w:val="21"/>
          <w:highlight w:val="none"/>
        </w:rPr>
      </w:pPr>
      <w:bookmarkStart w:id="12" w:name="_Toc25816"/>
      <w:r>
        <w:rPr>
          <w:rFonts w:hint="eastAsia" w:cs="宋体"/>
          <w:bCs/>
          <w:color w:val="auto"/>
          <w:sz w:val="21"/>
          <w:szCs w:val="21"/>
          <w:highlight w:val="none"/>
        </w:rPr>
        <w:t>一、项目基本情况</w:t>
      </w:r>
      <w:bookmarkEnd w:id="8"/>
      <w:bookmarkEnd w:id="9"/>
      <w:bookmarkEnd w:id="10"/>
      <w:bookmarkEnd w:id="11"/>
      <w:bookmarkEnd w:id="12"/>
    </w:p>
    <w:p>
      <w:pPr>
        <w:pageBreakBefore w:val="0"/>
        <w:tabs>
          <w:tab w:val="left" w:pos="900"/>
        </w:tabs>
        <w:kinsoku/>
        <w:wordWrap/>
        <w:overflowPunct/>
        <w:topLinePunct w:val="0"/>
        <w:autoSpaceDE/>
        <w:autoSpaceDN/>
        <w:bidi w:val="0"/>
        <w:adjustRightInd w:val="0"/>
        <w:spacing w:afterLines="50" w:line="360" w:lineRule="auto"/>
        <w:ind w:firstLine="420" w:firstLineChars="200"/>
        <w:textAlignment w:val="auto"/>
        <w:rPr>
          <w:rFonts w:ascii="宋体" w:hAnsi="宋体" w:cs="宋体"/>
          <w:color w:val="auto"/>
          <w:szCs w:val="21"/>
          <w:highlight w:val="none"/>
        </w:rPr>
      </w:pPr>
      <w:r>
        <w:rPr>
          <w:rFonts w:hint="eastAsia" w:ascii="Times New Roman" w:hAnsi="Times New Roman" w:cs="宋体"/>
          <w:color w:val="auto"/>
          <w:szCs w:val="21"/>
          <w:highlight w:val="none"/>
          <w:lang w:eastAsia="zh-CN"/>
        </w:rPr>
        <w:t>1</w:t>
      </w:r>
      <w:r>
        <w:rPr>
          <w:rFonts w:hint="eastAsia" w:ascii="宋体" w:hAnsi="宋体" w:cs="宋体"/>
          <w:color w:val="auto"/>
          <w:szCs w:val="21"/>
          <w:highlight w:val="none"/>
        </w:rPr>
        <w:t>、项目编号：</w:t>
      </w:r>
      <w:r>
        <w:rPr>
          <w:rFonts w:hint="eastAsia" w:ascii="Times New Roman" w:hAnsi="Times New Roman" w:cs="宋体"/>
          <w:color w:val="auto"/>
          <w:szCs w:val="21"/>
          <w:highlight w:val="none"/>
          <w:lang w:eastAsia="zh-CN"/>
        </w:rPr>
        <w:t>HXZY202301</w:t>
      </w:r>
      <w:r>
        <w:rPr>
          <w:rFonts w:hint="eastAsia" w:ascii="宋体" w:hAnsi="宋体" w:cs="宋体"/>
          <w:color w:val="auto"/>
          <w:szCs w:val="21"/>
          <w:highlight w:val="none"/>
        </w:rPr>
        <w:t>号</w:t>
      </w:r>
    </w:p>
    <w:p>
      <w:pPr>
        <w:pageBreakBefore w:val="0"/>
        <w:tabs>
          <w:tab w:val="left" w:pos="900"/>
        </w:tabs>
        <w:kinsoku/>
        <w:wordWrap/>
        <w:overflowPunct/>
        <w:topLinePunct w:val="0"/>
        <w:autoSpaceDE/>
        <w:autoSpaceDN/>
        <w:bidi w:val="0"/>
        <w:adjustRightInd w:val="0"/>
        <w:spacing w:afterLines="50" w:line="360" w:lineRule="auto"/>
        <w:ind w:firstLine="420" w:firstLineChars="200"/>
        <w:textAlignment w:val="auto"/>
        <w:rPr>
          <w:rFonts w:ascii="宋体" w:hAnsi="宋体" w:cs="宋体"/>
          <w:color w:val="auto"/>
          <w:szCs w:val="21"/>
          <w:highlight w:val="none"/>
        </w:rPr>
      </w:pPr>
      <w:r>
        <w:rPr>
          <w:rFonts w:hint="eastAsia" w:ascii="Times New Roman" w:hAnsi="Times New Roman" w:cs="宋体"/>
          <w:color w:val="auto"/>
          <w:szCs w:val="21"/>
          <w:highlight w:val="none"/>
          <w:lang w:eastAsia="zh-CN"/>
        </w:rPr>
        <w:t>2</w:t>
      </w:r>
      <w:r>
        <w:rPr>
          <w:rFonts w:hint="eastAsia" w:ascii="宋体" w:hAnsi="宋体" w:cs="宋体"/>
          <w:color w:val="auto"/>
          <w:szCs w:val="21"/>
          <w:highlight w:val="none"/>
        </w:rPr>
        <w:t>、项目名称：</w:t>
      </w:r>
      <w:r>
        <w:rPr>
          <w:rFonts w:hint="eastAsia" w:ascii="Times New Roman" w:hAnsi="Times New Roman" w:cs="宋体"/>
          <w:color w:val="auto"/>
          <w:szCs w:val="21"/>
          <w:highlight w:val="none"/>
          <w:lang w:eastAsia="zh-CN"/>
        </w:rPr>
        <w:t>GZ427</w:t>
      </w:r>
      <w:r>
        <w:rPr>
          <w:rFonts w:hint="eastAsia" w:ascii="宋体" w:hAnsi="宋体" w:cs="宋体"/>
          <w:color w:val="auto"/>
          <w:szCs w:val="21"/>
          <w:highlight w:val="none"/>
          <w:lang w:eastAsia="zh-CN"/>
        </w:rPr>
        <w:t>、</w:t>
      </w:r>
      <w:r>
        <w:rPr>
          <w:rFonts w:hint="eastAsia" w:ascii="Times New Roman" w:hAnsi="Times New Roman" w:cs="宋体"/>
          <w:color w:val="auto"/>
          <w:szCs w:val="21"/>
          <w:highlight w:val="none"/>
          <w:lang w:eastAsia="zh-CN"/>
        </w:rPr>
        <w:t>428</w:t>
      </w:r>
      <w:r>
        <w:rPr>
          <w:rFonts w:hint="eastAsia" w:ascii="宋体" w:hAnsi="宋体" w:cs="宋体"/>
          <w:color w:val="auto"/>
          <w:szCs w:val="21"/>
          <w:highlight w:val="none"/>
          <w:lang w:eastAsia="zh-CN"/>
        </w:rPr>
        <w:t>地块项目开发管理服务采购项目</w:t>
      </w:r>
    </w:p>
    <w:p>
      <w:pPr>
        <w:pageBreakBefore w:val="0"/>
        <w:tabs>
          <w:tab w:val="left" w:pos="900"/>
        </w:tabs>
        <w:kinsoku/>
        <w:wordWrap/>
        <w:overflowPunct/>
        <w:topLinePunct w:val="0"/>
        <w:autoSpaceDE/>
        <w:autoSpaceDN/>
        <w:bidi w:val="0"/>
        <w:adjustRightInd w:val="0"/>
        <w:spacing w:afterLines="50"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Times New Roman" w:hAnsi="Times New Roman" w:cs="宋体"/>
          <w:color w:val="auto"/>
          <w:szCs w:val="21"/>
          <w:highlight w:val="none"/>
          <w:lang w:eastAsia="zh-CN"/>
        </w:rPr>
        <w:t>3</w:t>
      </w:r>
      <w:r>
        <w:rPr>
          <w:rFonts w:hint="eastAsia" w:ascii="宋体" w:hAnsi="宋体" w:cs="宋体"/>
          <w:color w:val="auto"/>
          <w:szCs w:val="21"/>
          <w:highlight w:val="none"/>
        </w:rPr>
        <w:t>、采购方式：公开</w:t>
      </w:r>
      <w:r>
        <w:rPr>
          <w:rFonts w:hint="eastAsia" w:ascii="宋体" w:hAnsi="宋体" w:cs="宋体"/>
          <w:color w:val="auto"/>
          <w:szCs w:val="21"/>
          <w:highlight w:val="none"/>
          <w:lang w:val="en-US" w:eastAsia="zh-CN"/>
        </w:rPr>
        <w:t>招标</w:t>
      </w:r>
    </w:p>
    <w:p>
      <w:pPr>
        <w:pageBreakBefore w:val="0"/>
        <w:tabs>
          <w:tab w:val="left" w:pos="900"/>
        </w:tabs>
        <w:kinsoku/>
        <w:wordWrap/>
        <w:overflowPunct/>
        <w:topLinePunct w:val="0"/>
        <w:autoSpaceDE/>
        <w:autoSpaceDN/>
        <w:bidi w:val="0"/>
        <w:adjustRightInd w:val="0"/>
        <w:spacing w:afterLines="50" w:line="360" w:lineRule="auto"/>
        <w:ind w:firstLine="420" w:firstLineChars="200"/>
        <w:textAlignment w:val="auto"/>
        <w:rPr>
          <w:rFonts w:hint="eastAsia" w:ascii="宋体" w:hAnsi="宋体" w:cs="宋体"/>
          <w:color w:val="auto"/>
          <w:szCs w:val="21"/>
          <w:highlight w:val="none"/>
          <w:lang w:val="en-US" w:eastAsia="zh-CN"/>
        </w:rPr>
      </w:pPr>
      <w:r>
        <w:rPr>
          <w:rFonts w:hint="eastAsia" w:ascii="Times New Roman" w:hAnsi="Times New Roman" w:cs="宋体"/>
          <w:color w:val="auto"/>
          <w:szCs w:val="21"/>
          <w:highlight w:val="none"/>
          <w:lang w:eastAsia="zh-CN"/>
        </w:rPr>
        <w:t>4</w:t>
      </w:r>
      <w:r>
        <w:rPr>
          <w:rFonts w:hint="eastAsia" w:ascii="宋体" w:hAnsi="宋体" w:cs="宋体"/>
          <w:color w:val="auto"/>
          <w:szCs w:val="21"/>
          <w:highlight w:val="none"/>
        </w:rPr>
        <w:t>、项目最高限价：委托管理费</w:t>
      </w:r>
      <w:r>
        <w:rPr>
          <w:rFonts w:hint="eastAsia" w:ascii="宋体" w:hAnsi="宋体" w:cs="宋体"/>
          <w:color w:val="auto"/>
          <w:szCs w:val="21"/>
          <w:highlight w:val="none"/>
          <w:lang w:val="en-US" w:eastAsia="zh-CN"/>
        </w:rPr>
        <w:t>报价不高于销售额的</w:t>
      </w:r>
      <w:r>
        <w:rPr>
          <w:rFonts w:hint="eastAsia" w:ascii="Times New Roman" w:hAnsi="Times New Roman" w:cs="宋体"/>
          <w:color w:val="auto"/>
          <w:szCs w:val="21"/>
          <w:highlight w:val="none"/>
          <w:lang w:val="en-US" w:eastAsia="zh-CN"/>
        </w:rPr>
        <w:t>3</w:t>
      </w:r>
      <w:r>
        <w:rPr>
          <w:rFonts w:hint="eastAsia" w:ascii="宋体" w:hAnsi="宋体" w:cs="宋体"/>
          <w:color w:val="auto"/>
          <w:szCs w:val="21"/>
          <w:highlight w:val="none"/>
          <w:lang w:val="en-US" w:eastAsia="zh-CN"/>
        </w:rPr>
        <w:t>.</w:t>
      </w:r>
      <w:r>
        <w:rPr>
          <w:rFonts w:hint="eastAsia" w:ascii="Times New Roman" w:hAnsi="Times New Roman" w:cs="宋体"/>
          <w:color w:val="auto"/>
          <w:szCs w:val="21"/>
          <w:highlight w:val="none"/>
          <w:lang w:val="en-US" w:eastAsia="zh-CN"/>
        </w:rPr>
        <w:t>5</w:t>
      </w:r>
      <w:r>
        <w:rPr>
          <w:rFonts w:hint="eastAsia" w:ascii="宋体" w:hAnsi="宋体" w:cs="宋体"/>
          <w:color w:val="auto"/>
          <w:szCs w:val="21"/>
          <w:highlight w:val="none"/>
          <w:lang w:val="en-US" w:eastAsia="zh-CN"/>
        </w:rPr>
        <w:t>%（基本管理费不高于</w:t>
      </w:r>
      <w:r>
        <w:rPr>
          <w:rFonts w:hint="eastAsia" w:ascii="Times New Roman" w:hAnsi="Times New Roman" w:cs="宋体"/>
          <w:color w:val="auto"/>
          <w:szCs w:val="21"/>
          <w:highlight w:val="none"/>
          <w:lang w:val="en-US" w:eastAsia="zh-CN"/>
        </w:rPr>
        <w:t>1</w:t>
      </w:r>
      <w:r>
        <w:rPr>
          <w:rFonts w:hint="eastAsia" w:ascii="宋体" w:hAnsi="宋体" w:cs="宋体"/>
          <w:color w:val="auto"/>
          <w:szCs w:val="21"/>
          <w:highlight w:val="none"/>
          <w:lang w:val="en-US" w:eastAsia="zh-CN"/>
        </w:rPr>
        <w:t>.</w:t>
      </w:r>
      <w:r>
        <w:rPr>
          <w:rFonts w:hint="eastAsia" w:ascii="Times New Roman" w:hAnsi="Times New Roman" w:cs="宋体"/>
          <w:color w:val="auto"/>
          <w:szCs w:val="21"/>
          <w:highlight w:val="none"/>
          <w:lang w:val="en-US" w:eastAsia="zh-CN"/>
        </w:rPr>
        <w:t>3</w:t>
      </w:r>
      <w:r>
        <w:rPr>
          <w:rFonts w:hint="eastAsia" w:ascii="宋体" w:hAnsi="宋体" w:cs="宋体"/>
          <w:color w:val="auto"/>
          <w:szCs w:val="21"/>
          <w:highlight w:val="none"/>
          <w:lang w:val="en-US" w:eastAsia="zh-CN"/>
        </w:rPr>
        <w:t>%，品牌使用费不高于</w:t>
      </w:r>
      <w:r>
        <w:rPr>
          <w:rFonts w:hint="eastAsia" w:ascii="Times New Roman" w:hAnsi="Times New Roman" w:cs="宋体"/>
          <w:color w:val="auto"/>
          <w:szCs w:val="21"/>
          <w:highlight w:val="none"/>
          <w:lang w:val="en-US" w:eastAsia="zh-CN"/>
        </w:rPr>
        <w:t>2</w:t>
      </w:r>
      <w:r>
        <w:rPr>
          <w:rFonts w:hint="eastAsia" w:ascii="宋体" w:hAnsi="宋体" w:cs="宋体"/>
          <w:color w:val="auto"/>
          <w:szCs w:val="21"/>
          <w:highlight w:val="none"/>
          <w:lang w:val="en-US" w:eastAsia="zh-CN"/>
        </w:rPr>
        <w:t>.</w:t>
      </w:r>
      <w:r>
        <w:rPr>
          <w:rFonts w:hint="eastAsia" w:ascii="Times New Roman" w:hAnsi="Times New Roman" w:cs="宋体"/>
          <w:color w:val="auto"/>
          <w:szCs w:val="21"/>
          <w:highlight w:val="none"/>
          <w:lang w:val="en-US" w:eastAsia="zh-CN"/>
        </w:rPr>
        <w:t>2</w:t>
      </w:r>
      <w:r>
        <w:rPr>
          <w:rFonts w:hint="eastAsia" w:ascii="宋体" w:hAnsi="宋体" w:cs="宋体"/>
          <w:color w:val="auto"/>
          <w:szCs w:val="21"/>
          <w:highlight w:val="none"/>
          <w:lang w:val="en-US" w:eastAsia="zh-CN"/>
        </w:rPr>
        <w:t>%）</w:t>
      </w:r>
    </w:p>
    <w:p>
      <w:pPr>
        <w:pStyle w:val="19"/>
        <w:pageBreakBefore w:val="0"/>
        <w:kinsoku/>
        <w:wordWrap/>
        <w:overflowPunct/>
        <w:topLinePunct w:val="0"/>
        <w:autoSpaceDE/>
        <w:autoSpaceDN/>
        <w:bidi w:val="0"/>
        <w:spacing w:line="360" w:lineRule="auto"/>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w:t>
      </w:r>
      <w:r>
        <w:rPr>
          <w:rFonts w:hint="eastAsia" w:ascii="宋体" w:hAnsi="宋体" w:eastAsia="宋体" w:cs="宋体"/>
          <w:color w:val="auto"/>
          <w:kern w:val="2"/>
          <w:sz w:val="21"/>
          <w:szCs w:val="21"/>
          <w:highlight w:val="none"/>
          <w:lang w:val="en-US" w:eastAsia="zh-CN" w:bidi="ar-SA"/>
        </w:rPr>
        <w:t xml:space="preserve"> 设计费（全过程的设计工作）报价不高</w:t>
      </w:r>
      <w:r>
        <w:rPr>
          <w:rFonts w:hint="eastAsia" w:ascii="宋体" w:hAnsi="宋体" w:cs="宋体"/>
          <w:color w:val="auto"/>
          <w:szCs w:val="21"/>
          <w:highlight w:val="none"/>
          <w:lang w:val="en-US" w:eastAsia="zh-CN"/>
        </w:rPr>
        <w:t>于</w:t>
      </w:r>
      <w:r>
        <w:rPr>
          <w:rFonts w:hint="eastAsia" w:ascii="Times New Roman" w:hAnsi="Times New Roman" w:cs="宋体"/>
          <w:color w:val="auto"/>
          <w:szCs w:val="21"/>
          <w:highlight w:val="none"/>
          <w:lang w:val="en-US" w:eastAsia="zh-CN"/>
        </w:rPr>
        <w:t>85</w:t>
      </w:r>
      <w:r>
        <w:rPr>
          <w:rFonts w:hint="eastAsia" w:ascii="宋体" w:hAnsi="宋体" w:cs="宋体"/>
          <w:color w:val="auto"/>
          <w:szCs w:val="21"/>
          <w:highlight w:val="none"/>
          <w:lang w:val="en-US" w:eastAsia="zh-CN"/>
        </w:rPr>
        <w:t>元/平方米（按规划许可证列明的总建筑面积）</w:t>
      </w:r>
    </w:p>
    <w:p>
      <w:pPr>
        <w:pStyle w:val="19"/>
        <w:pageBreakBefore w:val="0"/>
        <w:kinsoku/>
        <w:wordWrap/>
        <w:overflowPunct/>
        <w:topLinePunct w:val="0"/>
        <w:autoSpaceDE/>
        <w:autoSpaceDN/>
        <w:bidi w:val="0"/>
        <w:spacing w:line="360" w:lineRule="auto"/>
        <w:textAlignment w:val="auto"/>
        <w:rPr>
          <w:rFonts w:ascii="宋体" w:hAnsi="宋体" w:cs="宋体"/>
          <w:color w:val="auto"/>
          <w:szCs w:val="21"/>
          <w:highlight w:val="none"/>
          <w:u w:val="single"/>
        </w:rPr>
      </w:pPr>
      <w:r>
        <w:rPr>
          <w:rFonts w:hint="eastAsia" w:ascii="宋体" w:hAnsi="宋体" w:cs="宋体"/>
          <w:color w:val="auto"/>
          <w:szCs w:val="21"/>
          <w:highlight w:val="none"/>
        </w:rPr>
        <w:t>（最终报价超过最高费率限价的为无效报价，按照无效响应处理）</w:t>
      </w:r>
    </w:p>
    <w:p>
      <w:pPr>
        <w:pageBreakBefore w:val="0"/>
        <w:tabs>
          <w:tab w:val="left" w:pos="900"/>
        </w:tabs>
        <w:kinsoku/>
        <w:wordWrap/>
        <w:overflowPunct/>
        <w:topLinePunct w:val="0"/>
        <w:autoSpaceDE/>
        <w:autoSpaceDN/>
        <w:bidi w:val="0"/>
        <w:adjustRightInd w:val="0"/>
        <w:spacing w:afterLines="50" w:line="360" w:lineRule="auto"/>
        <w:ind w:firstLine="420" w:firstLineChars="200"/>
        <w:textAlignment w:val="auto"/>
        <w:rPr>
          <w:rFonts w:ascii="宋体" w:hAnsi="宋体" w:cs="宋体"/>
          <w:color w:val="auto"/>
          <w:szCs w:val="21"/>
          <w:highlight w:val="none"/>
          <w:u w:val="single"/>
        </w:rPr>
      </w:pPr>
      <w:r>
        <w:rPr>
          <w:rFonts w:hint="eastAsia" w:ascii="Times New Roman" w:hAnsi="Times New Roman" w:cs="宋体"/>
          <w:color w:val="auto"/>
          <w:szCs w:val="21"/>
          <w:highlight w:val="none"/>
          <w:lang w:val="en-US" w:eastAsia="zh-CN"/>
        </w:rPr>
        <w:t>5</w:t>
      </w:r>
      <w:r>
        <w:rPr>
          <w:rFonts w:hint="eastAsia" w:ascii="宋体" w:hAnsi="宋体" w:cs="宋体"/>
          <w:color w:val="auto"/>
          <w:szCs w:val="21"/>
          <w:highlight w:val="none"/>
        </w:rPr>
        <w:t>、采购需求：</w:t>
      </w:r>
      <w:r>
        <w:rPr>
          <w:rFonts w:hint="eastAsia" w:ascii="宋体" w:hAnsi="宋体" w:cs="宋体"/>
          <w:color w:val="auto"/>
          <w:szCs w:val="21"/>
          <w:highlight w:val="none"/>
          <w:lang w:val="en-US" w:eastAsia="zh-CN"/>
        </w:rPr>
        <w:t>详见招标文件第四章项目需求</w:t>
      </w:r>
      <w:r>
        <w:rPr>
          <w:rFonts w:hint="eastAsia" w:ascii="宋体" w:hAnsi="宋体" w:cs="宋体"/>
          <w:color w:val="auto"/>
          <w:szCs w:val="21"/>
          <w:highlight w:val="none"/>
        </w:rPr>
        <w:t>。</w:t>
      </w:r>
    </w:p>
    <w:p>
      <w:pPr>
        <w:pStyle w:val="17"/>
        <w:pageBreakBefore w:val="0"/>
        <w:kinsoku/>
        <w:wordWrap/>
        <w:overflowPunct/>
        <w:topLinePunct w:val="0"/>
        <w:autoSpaceDE/>
        <w:autoSpaceDN/>
        <w:bidi w:val="0"/>
        <w:spacing w:line="360" w:lineRule="auto"/>
        <w:ind w:right="863" w:firstLine="420" w:firstLineChars="200"/>
        <w:textAlignment w:val="auto"/>
        <w:rPr>
          <w:rFonts w:hint="default" w:ascii="宋体" w:hAnsi="宋体" w:eastAsia="宋体" w:cs="宋体"/>
          <w:color w:val="auto"/>
          <w:szCs w:val="21"/>
          <w:highlight w:val="none"/>
          <w:u w:val="single"/>
          <w:lang w:val="en-US" w:eastAsia="zh-CN"/>
        </w:rPr>
      </w:pPr>
      <w:r>
        <w:rPr>
          <w:rFonts w:hint="eastAsia" w:ascii="Times New Roman" w:hAnsi="Times New Roman" w:cs="宋体"/>
          <w:color w:val="auto"/>
          <w:szCs w:val="21"/>
          <w:highlight w:val="none"/>
          <w:lang w:val="en-US" w:eastAsia="zh-CN"/>
        </w:rPr>
        <w:t>6</w:t>
      </w:r>
      <w:r>
        <w:rPr>
          <w:rFonts w:hint="eastAsia" w:ascii="宋体" w:hAnsi="宋体" w:cs="宋体"/>
          <w:color w:val="auto"/>
          <w:szCs w:val="21"/>
          <w:highlight w:val="none"/>
        </w:rPr>
        <w:t>、合同履行期限：</w:t>
      </w:r>
      <w:r>
        <w:rPr>
          <w:color w:val="auto"/>
          <w:highlight w:val="none"/>
          <w:lang w:eastAsia="zh-CN"/>
        </w:rPr>
        <w:t>本项目</w:t>
      </w:r>
      <w:r>
        <w:rPr>
          <w:color w:val="auto"/>
          <w:spacing w:val="-3"/>
          <w:highlight w:val="none"/>
          <w:lang w:eastAsia="zh-CN"/>
        </w:rPr>
        <w:t>整体管理服务期</w:t>
      </w:r>
      <w:r>
        <w:rPr>
          <w:color w:val="auto"/>
          <w:highlight w:val="none"/>
          <w:lang w:eastAsia="zh-CN"/>
        </w:rPr>
        <w:t>暂定为</w:t>
      </w:r>
      <w:r>
        <w:rPr>
          <w:b/>
          <w:color w:val="auto"/>
          <w:highlight w:val="none"/>
          <w:lang w:eastAsia="zh-CN"/>
        </w:rPr>
        <w:t>【</w:t>
      </w:r>
      <w:r>
        <w:rPr>
          <w:rFonts w:hint="eastAsia"/>
          <w:b/>
          <w:color w:val="auto"/>
          <w:highlight w:val="none"/>
          <w:lang w:val="en-US" w:eastAsia="zh-CN"/>
        </w:rPr>
        <w:t>48</w:t>
      </w:r>
      <w:r>
        <w:rPr>
          <w:b/>
          <w:color w:val="auto"/>
          <w:highlight w:val="none"/>
          <w:lang w:eastAsia="zh-CN"/>
        </w:rPr>
        <w:t>】个月</w:t>
      </w:r>
      <w:r>
        <w:rPr>
          <w:rFonts w:hint="eastAsia"/>
          <w:color w:val="auto"/>
          <w:highlight w:val="none"/>
          <w:lang w:eastAsia="zh-CN"/>
        </w:rPr>
        <w:t>（实际以本合同签订生效之日起至项目销售目标完成目竣工备案满一年、房屋交付后物业服务完成首年度考核为止），</w:t>
      </w:r>
      <w:r>
        <w:rPr>
          <w:color w:val="auto"/>
          <w:highlight w:val="none"/>
          <w:lang w:eastAsia="zh-CN"/>
        </w:rPr>
        <w:t>本项目总体开发建设周期暂定为</w:t>
      </w:r>
      <w:r>
        <w:rPr>
          <w:b/>
          <w:color w:val="auto"/>
          <w:highlight w:val="none"/>
          <w:lang w:eastAsia="zh-CN"/>
        </w:rPr>
        <w:t>【</w:t>
      </w:r>
      <w:r>
        <w:rPr>
          <w:rFonts w:hint="eastAsia" w:ascii="Times New Roman" w:hAnsi="Times New Roman"/>
          <w:b/>
          <w:color w:val="auto"/>
          <w:highlight w:val="none"/>
          <w:lang w:eastAsia="zh-CN"/>
        </w:rPr>
        <w:t>36</w:t>
      </w:r>
      <w:r>
        <w:rPr>
          <w:b/>
          <w:color w:val="auto"/>
          <w:highlight w:val="none"/>
          <w:lang w:eastAsia="zh-CN"/>
        </w:rPr>
        <w:t>】个月</w:t>
      </w:r>
      <w:r>
        <w:rPr>
          <w:color w:val="auto"/>
          <w:highlight w:val="none"/>
          <w:lang w:eastAsia="zh-CN"/>
        </w:rPr>
        <w:t xml:space="preserve">（实际以本合同签订生效之日起开始计算至物业最后完成竣工验收备案，具备交付条件为止）。项目规划方案审批通过（自本合同签订生效之日起 </w:t>
      </w:r>
      <w:r>
        <w:rPr>
          <w:rFonts w:hint="eastAsia" w:ascii="Times New Roman" w:hAnsi="Times New Roman"/>
          <w:color w:val="auto"/>
          <w:highlight w:val="none"/>
          <w:lang w:eastAsia="zh-CN"/>
        </w:rPr>
        <w:t>50</w:t>
      </w:r>
      <w:r>
        <w:rPr>
          <w:color w:val="auto"/>
          <w:highlight w:val="none"/>
          <w:lang w:eastAsia="zh-CN"/>
        </w:rPr>
        <w:t xml:space="preserve"> 日内），首批项目团队到岗后【</w:t>
      </w:r>
      <w:r>
        <w:rPr>
          <w:rFonts w:hint="eastAsia" w:ascii="Times New Roman" w:hAnsi="Times New Roman"/>
          <w:color w:val="auto"/>
          <w:highlight w:val="none"/>
          <w:lang w:val="en-US" w:eastAsia="zh-CN"/>
        </w:rPr>
        <w:t>3</w:t>
      </w:r>
      <w:r>
        <w:rPr>
          <w:rFonts w:hint="eastAsia" w:ascii="Times New Roman" w:hAnsi="Times New Roman"/>
          <w:color w:val="auto"/>
          <w:highlight w:val="none"/>
          <w:lang w:eastAsia="zh-CN"/>
        </w:rPr>
        <w:t>0</w:t>
      </w:r>
      <w:r>
        <w:rPr>
          <w:color w:val="auto"/>
          <w:highlight w:val="none"/>
          <w:lang w:eastAsia="zh-CN"/>
        </w:rPr>
        <w:t>】日内将项目全景开发计划提交甲方确认，项目全景开发计划（包括合同履行过程中双方共同确认的调整方案）作为双方正式确定的项目开发时间目标。</w:t>
      </w:r>
    </w:p>
    <w:p>
      <w:pPr>
        <w:pageBreakBefore w:val="0"/>
        <w:tabs>
          <w:tab w:val="left" w:pos="900"/>
        </w:tabs>
        <w:kinsoku/>
        <w:wordWrap/>
        <w:overflowPunct/>
        <w:topLinePunct w:val="0"/>
        <w:autoSpaceDE/>
        <w:autoSpaceDN/>
        <w:bidi w:val="0"/>
        <w:adjustRightInd w:val="0"/>
        <w:spacing w:afterLines="50" w:line="360" w:lineRule="auto"/>
        <w:ind w:firstLine="420" w:firstLineChars="200"/>
        <w:textAlignment w:val="auto"/>
        <w:rPr>
          <w:rFonts w:ascii="宋体" w:hAnsi="宋体" w:cs="宋体"/>
          <w:color w:val="auto"/>
          <w:szCs w:val="21"/>
          <w:highlight w:val="none"/>
        </w:rPr>
      </w:pPr>
      <w:r>
        <w:rPr>
          <w:rFonts w:hint="eastAsia" w:ascii="Times New Roman" w:hAnsi="Times New Roman" w:cs="宋体"/>
          <w:color w:val="auto"/>
          <w:szCs w:val="21"/>
          <w:highlight w:val="none"/>
          <w:lang w:val="en-US" w:eastAsia="zh-CN"/>
        </w:rPr>
        <w:t>7</w:t>
      </w:r>
      <w:r>
        <w:rPr>
          <w:rFonts w:hint="eastAsia" w:ascii="宋体" w:hAnsi="宋体" w:cs="宋体"/>
          <w:color w:val="auto"/>
          <w:szCs w:val="21"/>
          <w:highlight w:val="none"/>
        </w:rPr>
        <w:t>、本项目</w:t>
      </w:r>
      <w:r>
        <w:rPr>
          <w:rFonts w:hint="eastAsia" w:ascii="宋体" w:hAnsi="宋体" w:cs="宋体"/>
          <w:color w:val="auto"/>
          <w:szCs w:val="21"/>
          <w:highlight w:val="none"/>
          <w:u w:val="single"/>
        </w:rPr>
        <w:t>接受</w:t>
      </w:r>
      <w:r>
        <w:rPr>
          <w:rFonts w:hint="eastAsia" w:ascii="宋体" w:hAnsi="宋体" w:cs="宋体"/>
          <w:color w:val="auto"/>
          <w:szCs w:val="21"/>
          <w:highlight w:val="none"/>
        </w:rPr>
        <w:t>联合体投标。</w:t>
      </w:r>
    </w:p>
    <w:p>
      <w:pPr>
        <w:pStyle w:val="8"/>
        <w:pageBreakBefore w:val="0"/>
        <w:tabs>
          <w:tab w:val="left" w:pos="0"/>
        </w:tabs>
        <w:kinsoku/>
        <w:wordWrap/>
        <w:overflowPunct/>
        <w:topLinePunct w:val="0"/>
        <w:autoSpaceDE/>
        <w:autoSpaceDN/>
        <w:bidi w:val="0"/>
        <w:spacing w:line="360" w:lineRule="auto"/>
        <w:textAlignment w:val="auto"/>
        <w:rPr>
          <w:rFonts w:hint="eastAsia" w:cs="宋体"/>
          <w:bCs/>
          <w:color w:val="auto"/>
          <w:sz w:val="21"/>
          <w:szCs w:val="21"/>
          <w:highlight w:val="none"/>
        </w:rPr>
      </w:pPr>
      <w:bookmarkStart w:id="13" w:name="_Toc28359013"/>
      <w:bookmarkStart w:id="14" w:name="_Toc22119"/>
      <w:bookmarkStart w:id="15" w:name="_Toc35393630"/>
      <w:bookmarkStart w:id="16" w:name="_Toc28359090"/>
      <w:bookmarkStart w:id="17" w:name="_Toc35393799"/>
      <w:r>
        <w:rPr>
          <w:rFonts w:hint="eastAsia" w:cs="宋体"/>
          <w:bCs/>
          <w:color w:val="auto"/>
          <w:sz w:val="21"/>
          <w:szCs w:val="21"/>
          <w:highlight w:val="none"/>
        </w:rPr>
        <w:t>二、申请人的资格要求</w:t>
      </w:r>
      <w:bookmarkEnd w:id="13"/>
      <w:bookmarkEnd w:id="14"/>
      <w:bookmarkEnd w:id="15"/>
      <w:bookmarkEnd w:id="16"/>
      <w:bookmarkEnd w:id="17"/>
    </w:p>
    <w:p>
      <w:pPr>
        <w:pageBreakBefore w:val="0"/>
        <w:kinsoku/>
        <w:wordWrap/>
        <w:overflowPunct/>
        <w:topLinePunct w:val="0"/>
        <w:autoSpaceDE/>
        <w:autoSpaceDN/>
        <w:bidi w:val="0"/>
        <w:spacing w:line="360" w:lineRule="auto"/>
        <w:ind w:firstLine="420" w:firstLineChars="200"/>
        <w:textAlignment w:val="auto"/>
        <w:rPr>
          <w:rFonts w:ascii="宋体" w:hAnsi="宋体" w:cs="宋体"/>
          <w:color w:val="auto"/>
          <w:highlight w:val="none"/>
        </w:rPr>
      </w:pPr>
      <w:bookmarkStart w:id="18" w:name="_Toc35393800"/>
      <w:bookmarkStart w:id="19" w:name="_Toc28359091"/>
      <w:bookmarkStart w:id="20" w:name="_Toc4201"/>
      <w:bookmarkStart w:id="21" w:name="_Toc28359014"/>
      <w:bookmarkStart w:id="22" w:name="_Toc35393631"/>
      <w:r>
        <w:rPr>
          <w:rFonts w:hint="eastAsia" w:ascii="宋体" w:hAnsi="宋体" w:cs="宋体"/>
          <w:color w:val="auto"/>
          <w:highlight w:val="none"/>
        </w:rPr>
        <w:t>（一）满足《中华人民共和国政府采购法》第二十二条规定，</w:t>
      </w:r>
      <w:r>
        <w:rPr>
          <w:rFonts w:hint="eastAsia" w:ascii="宋体" w:hAnsi="宋体"/>
          <w:color w:val="auto"/>
          <w:szCs w:val="21"/>
          <w:highlight w:val="none"/>
        </w:rPr>
        <w:t>并提供下列材料：</w:t>
      </w:r>
    </w:p>
    <w:p>
      <w:pPr>
        <w:pageBreakBefore w:val="0"/>
        <w:kinsoku/>
        <w:wordWrap/>
        <w:overflowPunct/>
        <w:topLinePunct w:val="0"/>
        <w:autoSpaceDE/>
        <w:autoSpaceDN/>
        <w:bidi w:val="0"/>
        <w:spacing w:line="360" w:lineRule="auto"/>
        <w:ind w:firstLine="420" w:firstLineChars="200"/>
        <w:textAlignment w:val="auto"/>
        <w:rPr>
          <w:rFonts w:ascii="宋体" w:hAnsi="宋体"/>
          <w:b/>
          <w:i/>
          <w:color w:val="auto"/>
          <w:szCs w:val="21"/>
          <w:highlight w:val="none"/>
          <w:u w:val="single"/>
        </w:rPr>
      </w:pPr>
      <w:r>
        <w:rPr>
          <w:rFonts w:hint="eastAsia" w:ascii="宋体" w:hAnsi="宋体"/>
          <w:color w:val="auto"/>
          <w:szCs w:val="21"/>
          <w:highlight w:val="none"/>
        </w:rPr>
        <w:t>（</w:t>
      </w:r>
      <w:r>
        <w:rPr>
          <w:rFonts w:hint="eastAsia" w:ascii="Times New Roman" w:hAnsi="Times New Roman"/>
          <w:color w:val="auto"/>
          <w:szCs w:val="21"/>
          <w:highlight w:val="none"/>
          <w:lang w:eastAsia="zh-CN"/>
        </w:rPr>
        <w:t>1</w:t>
      </w:r>
      <w:r>
        <w:rPr>
          <w:rFonts w:hint="eastAsia" w:ascii="宋体" w:hAnsi="宋体"/>
          <w:color w:val="auto"/>
          <w:szCs w:val="21"/>
          <w:highlight w:val="none"/>
        </w:rPr>
        <w:t>）</w:t>
      </w:r>
      <w:r>
        <w:rPr>
          <w:rFonts w:hint="eastAsia" w:ascii="宋体" w:hAnsi="宋体"/>
          <w:i/>
          <w:color w:val="auto"/>
          <w:szCs w:val="21"/>
          <w:highlight w:val="none"/>
          <w:u w:val="single"/>
          <w:lang w:val="en-US" w:eastAsia="zh-CN"/>
        </w:rPr>
        <w:t>投标</w:t>
      </w:r>
      <w:r>
        <w:rPr>
          <w:rFonts w:hint="eastAsia" w:ascii="宋体" w:hAnsi="宋体"/>
          <w:i/>
          <w:color w:val="auto"/>
          <w:szCs w:val="21"/>
          <w:highlight w:val="none"/>
          <w:u w:val="single"/>
        </w:rPr>
        <w:t>函</w:t>
      </w:r>
      <w:r>
        <w:rPr>
          <w:rFonts w:hint="eastAsia" w:ascii="宋体" w:hAnsi="宋体"/>
          <w:b/>
          <w:i/>
          <w:color w:val="auto"/>
          <w:szCs w:val="21"/>
          <w:highlight w:val="none"/>
          <w:u w:val="single"/>
        </w:rPr>
        <w:t>(原件)</w:t>
      </w:r>
    </w:p>
    <w:p>
      <w:pPr>
        <w:pageBreakBefore w:val="0"/>
        <w:kinsoku/>
        <w:wordWrap/>
        <w:overflowPunct/>
        <w:topLinePunct w:val="0"/>
        <w:autoSpaceDE/>
        <w:autoSpaceDN/>
        <w:bidi w:val="0"/>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w:t>
      </w:r>
      <w:r>
        <w:rPr>
          <w:rFonts w:hint="eastAsia" w:ascii="Times New Roman" w:hAnsi="Times New Roman"/>
          <w:color w:val="auto"/>
          <w:szCs w:val="21"/>
          <w:highlight w:val="none"/>
          <w:lang w:eastAsia="zh-CN"/>
        </w:rPr>
        <w:t>2</w:t>
      </w:r>
      <w:r>
        <w:rPr>
          <w:rFonts w:hint="eastAsia" w:ascii="宋体" w:hAnsi="宋体"/>
          <w:color w:val="auto"/>
          <w:szCs w:val="21"/>
          <w:highlight w:val="none"/>
        </w:rPr>
        <w:t>）</w:t>
      </w:r>
      <w:r>
        <w:rPr>
          <w:rFonts w:hint="eastAsia" w:ascii="宋体" w:hAnsi="宋体"/>
          <w:i/>
          <w:iCs/>
          <w:color w:val="auto"/>
          <w:szCs w:val="21"/>
          <w:highlight w:val="none"/>
          <w:u w:val="single"/>
        </w:rPr>
        <w:t>资格声明</w:t>
      </w:r>
      <w:r>
        <w:rPr>
          <w:rFonts w:hint="eastAsia" w:ascii="宋体" w:hAnsi="宋体"/>
          <w:b/>
          <w:i/>
          <w:iCs/>
          <w:color w:val="auto"/>
          <w:szCs w:val="21"/>
          <w:highlight w:val="none"/>
          <w:u w:val="single"/>
        </w:rPr>
        <w:t>(原件)</w:t>
      </w:r>
    </w:p>
    <w:p>
      <w:pPr>
        <w:pageBreakBefore w:val="0"/>
        <w:kinsoku/>
        <w:wordWrap/>
        <w:overflowPunct/>
        <w:topLinePunct w:val="0"/>
        <w:autoSpaceDE/>
        <w:autoSpaceDN/>
        <w:bidi w:val="0"/>
        <w:spacing w:line="360" w:lineRule="auto"/>
        <w:ind w:right="312" w:firstLine="420" w:firstLineChars="200"/>
        <w:textAlignment w:val="auto"/>
        <w:rPr>
          <w:rFonts w:ascii="宋体" w:hAnsi="宋体"/>
          <w:color w:val="auto"/>
          <w:szCs w:val="21"/>
          <w:highlight w:val="none"/>
        </w:rPr>
      </w:pPr>
      <w:r>
        <w:rPr>
          <w:rFonts w:hint="eastAsia" w:ascii="宋体" w:hAnsi="宋体"/>
          <w:color w:val="auto"/>
          <w:szCs w:val="21"/>
          <w:highlight w:val="none"/>
        </w:rPr>
        <w:t>（</w:t>
      </w:r>
      <w:r>
        <w:rPr>
          <w:rFonts w:hint="eastAsia" w:ascii="Times New Roman" w:hAnsi="Times New Roman"/>
          <w:color w:val="auto"/>
          <w:szCs w:val="21"/>
          <w:highlight w:val="none"/>
          <w:lang w:eastAsia="zh-CN"/>
        </w:rPr>
        <w:t>3</w:t>
      </w:r>
      <w:r>
        <w:rPr>
          <w:rFonts w:hint="eastAsia" w:ascii="宋体" w:hAnsi="宋体"/>
          <w:color w:val="auto"/>
          <w:szCs w:val="21"/>
          <w:highlight w:val="none"/>
        </w:rPr>
        <w:t>）</w:t>
      </w:r>
      <w:r>
        <w:rPr>
          <w:rFonts w:hint="eastAsia" w:ascii="宋体" w:hAnsi="宋体"/>
          <w:i/>
          <w:iCs/>
          <w:color w:val="auto"/>
          <w:szCs w:val="21"/>
          <w:highlight w:val="none"/>
          <w:u w:val="single"/>
        </w:rPr>
        <w:t>若法定代表人参加</w:t>
      </w:r>
      <w:r>
        <w:rPr>
          <w:rFonts w:hint="eastAsia" w:ascii="宋体" w:hAnsi="宋体"/>
          <w:i/>
          <w:iCs/>
          <w:color w:val="auto"/>
          <w:szCs w:val="21"/>
          <w:highlight w:val="none"/>
          <w:u w:val="single"/>
          <w:lang w:val="en-US" w:eastAsia="zh-CN"/>
        </w:rPr>
        <w:t>投标</w:t>
      </w:r>
      <w:r>
        <w:rPr>
          <w:rFonts w:hint="eastAsia" w:ascii="宋体" w:hAnsi="宋体"/>
          <w:i/>
          <w:iCs/>
          <w:color w:val="auto"/>
          <w:szCs w:val="21"/>
          <w:highlight w:val="none"/>
          <w:u w:val="single"/>
        </w:rPr>
        <w:t>的，须提供本人身份证复印件</w:t>
      </w:r>
      <w:r>
        <w:rPr>
          <w:rFonts w:hint="eastAsia" w:ascii="宋体" w:hAnsi="宋体"/>
          <w:b/>
          <w:i/>
          <w:iCs/>
          <w:color w:val="auto"/>
          <w:szCs w:val="21"/>
          <w:highlight w:val="none"/>
          <w:u w:val="single"/>
        </w:rPr>
        <w:t>(原件备查)</w:t>
      </w:r>
      <w:r>
        <w:rPr>
          <w:rFonts w:hint="eastAsia" w:ascii="宋体" w:hAnsi="宋体"/>
          <w:i/>
          <w:iCs/>
          <w:color w:val="auto"/>
          <w:szCs w:val="21"/>
          <w:highlight w:val="none"/>
          <w:u w:val="single"/>
        </w:rPr>
        <w:t>；若授权代表参加的，须提供《法人授权书》原件和授权代表身份证复印件</w:t>
      </w:r>
      <w:r>
        <w:rPr>
          <w:rFonts w:hint="eastAsia" w:ascii="宋体" w:hAnsi="宋体"/>
          <w:b/>
          <w:i/>
          <w:iCs/>
          <w:color w:val="auto"/>
          <w:szCs w:val="21"/>
          <w:highlight w:val="none"/>
          <w:u w:val="single"/>
        </w:rPr>
        <w:t>（原件备查）</w:t>
      </w:r>
      <w:r>
        <w:rPr>
          <w:rFonts w:ascii="宋体" w:hAnsi="宋体"/>
          <w:color w:val="auto"/>
          <w:szCs w:val="21"/>
          <w:highlight w:val="none"/>
        </w:rPr>
        <w:t xml:space="preserve"> </w:t>
      </w:r>
    </w:p>
    <w:p>
      <w:pPr>
        <w:pageBreakBefore w:val="0"/>
        <w:kinsoku/>
        <w:wordWrap/>
        <w:overflowPunct/>
        <w:topLinePunct w:val="0"/>
        <w:autoSpaceDE/>
        <w:autoSpaceDN/>
        <w:bidi w:val="0"/>
        <w:spacing w:line="360" w:lineRule="auto"/>
        <w:ind w:firstLine="420" w:firstLineChars="200"/>
        <w:textAlignment w:val="auto"/>
        <w:rPr>
          <w:rFonts w:ascii="宋体" w:hAnsi="宋体"/>
          <w:i/>
          <w:iCs/>
          <w:color w:val="auto"/>
          <w:szCs w:val="21"/>
          <w:highlight w:val="none"/>
          <w:u w:val="single"/>
        </w:rPr>
      </w:pPr>
      <w:r>
        <w:rPr>
          <w:rFonts w:hint="eastAsia" w:ascii="宋体" w:hAnsi="宋体"/>
          <w:color w:val="auto"/>
          <w:szCs w:val="21"/>
          <w:highlight w:val="none"/>
        </w:rPr>
        <w:t>（</w:t>
      </w:r>
      <w:r>
        <w:rPr>
          <w:rFonts w:hint="eastAsia" w:ascii="Times New Roman" w:hAnsi="Times New Roman"/>
          <w:color w:val="auto"/>
          <w:szCs w:val="21"/>
          <w:highlight w:val="none"/>
          <w:lang w:eastAsia="zh-CN"/>
        </w:rPr>
        <w:t>4</w:t>
      </w:r>
      <w:r>
        <w:rPr>
          <w:rFonts w:hint="eastAsia" w:ascii="宋体" w:hAnsi="宋体"/>
          <w:color w:val="auto"/>
          <w:szCs w:val="21"/>
          <w:highlight w:val="none"/>
        </w:rPr>
        <w:t>）</w:t>
      </w:r>
      <w:r>
        <w:rPr>
          <w:rFonts w:hint="eastAsia" w:ascii="宋体" w:hAnsi="宋体"/>
          <w:i/>
          <w:iCs/>
          <w:color w:val="auto"/>
          <w:szCs w:val="21"/>
          <w:highlight w:val="none"/>
          <w:u w:val="single"/>
        </w:rPr>
        <w:t>营业执照副本或民办非企业单位登记证书或事业单位法人证书等相关身份证明材料</w:t>
      </w:r>
      <w:r>
        <w:rPr>
          <w:rFonts w:hint="eastAsia" w:ascii="宋体" w:hAnsi="宋体"/>
          <w:b/>
          <w:i/>
          <w:iCs/>
          <w:color w:val="auto"/>
          <w:szCs w:val="21"/>
          <w:highlight w:val="none"/>
          <w:u w:val="single"/>
        </w:rPr>
        <w:t>(复印件加盖供应商公章)</w:t>
      </w:r>
    </w:p>
    <w:p>
      <w:pPr>
        <w:pageBreakBefore w:val="0"/>
        <w:kinsoku/>
        <w:wordWrap/>
        <w:overflowPunct/>
        <w:topLinePunct w:val="0"/>
        <w:autoSpaceDE/>
        <w:autoSpaceDN/>
        <w:bidi w:val="0"/>
        <w:spacing w:line="360" w:lineRule="auto"/>
        <w:ind w:firstLine="420" w:firstLineChars="200"/>
        <w:textAlignment w:val="auto"/>
        <w:rPr>
          <w:rFonts w:ascii="宋体" w:hAnsi="宋体"/>
          <w:bCs/>
          <w:i/>
          <w:iCs/>
          <w:color w:val="auto"/>
          <w:szCs w:val="21"/>
          <w:highlight w:val="none"/>
          <w:u w:val="single"/>
        </w:rPr>
      </w:pPr>
      <w:r>
        <w:rPr>
          <w:rFonts w:hint="eastAsia" w:ascii="宋体" w:hAnsi="宋体"/>
          <w:color w:val="auto"/>
          <w:szCs w:val="21"/>
          <w:highlight w:val="none"/>
        </w:rPr>
        <w:t>（</w:t>
      </w:r>
      <w:r>
        <w:rPr>
          <w:rFonts w:hint="eastAsia" w:ascii="Times New Roman" w:hAnsi="Times New Roman"/>
          <w:color w:val="auto"/>
          <w:szCs w:val="21"/>
          <w:highlight w:val="none"/>
          <w:lang w:eastAsia="zh-CN"/>
        </w:rPr>
        <w:t>5</w:t>
      </w:r>
      <w:r>
        <w:rPr>
          <w:rFonts w:hint="eastAsia" w:ascii="宋体" w:hAnsi="宋体"/>
          <w:color w:val="auto"/>
          <w:szCs w:val="21"/>
          <w:highlight w:val="none"/>
        </w:rPr>
        <w:t>）</w:t>
      </w:r>
      <w:r>
        <w:rPr>
          <w:rFonts w:hint="eastAsia" w:ascii="宋体" w:hAnsi="宋体"/>
          <w:i/>
          <w:color w:val="auto"/>
          <w:szCs w:val="21"/>
          <w:highlight w:val="none"/>
          <w:u w:val="single"/>
        </w:rPr>
        <w:t>依法缴纳职工社会保障资金的证明材料</w:t>
      </w:r>
      <w:r>
        <w:rPr>
          <w:rFonts w:hint="eastAsia" w:ascii="宋体" w:hAnsi="宋体"/>
          <w:b/>
          <w:i/>
          <w:color w:val="auto"/>
          <w:szCs w:val="21"/>
          <w:highlight w:val="none"/>
          <w:u w:val="single"/>
        </w:rPr>
        <w:t>(复印件加盖供应商公章)</w:t>
      </w:r>
      <w:r>
        <w:rPr>
          <w:rFonts w:hint="eastAsia" w:ascii="宋体" w:hAnsi="宋体"/>
          <w:i/>
          <w:color w:val="auto"/>
          <w:szCs w:val="21"/>
          <w:highlight w:val="none"/>
          <w:u w:val="single"/>
        </w:rPr>
        <w:t>(税务、银行或社会保险基金管理部门出具的</w:t>
      </w:r>
      <w:r>
        <w:rPr>
          <w:rFonts w:hint="eastAsia" w:ascii="Times New Roman" w:hAnsi="Times New Roman"/>
          <w:bCs/>
          <w:i/>
          <w:iCs/>
          <w:color w:val="auto"/>
          <w:szCs w:val="21"/>
          <w:highlight w:val="none"/>
          <w:u w:val="single"/>
          <w:lang w:eastAsia="zh-CN"/>
        </w:rPr>
        <w:t>2023</w:t>
      </w:r>
      <w:r>
        <w:rPr>
          <w:rFonts w:hint="eastAsia" w:ascii="宋体" w:hAnsi="宋体"/>
          <w:bCs/>
          <w:i/>
          <w:iCs/>
          <w:color w:val="auto"/>
          <w:szCs w:val="21"/>
          <w:highlight w:val="none"/>
          <w:u w:val="single"/>
        </w:rPr>
        <w:t>年</w:t>
      </w:r>
      <w:r>
        <w:rPr>
          <w:rFonts w:hint="eastAsia"/>
          <w:bCs/>
          <w:i/>
          <w:iCs/>
          <w:color w:val="auto"/>
          <w:szCs w:val="21"/>
          <w:highlight w:val="none"/>
          <w:u w:val="single"/>
          <w:lang w:val="en-US" w:eastAsia="zh-CN"/>
        </w:rPr>
        <w:t>3</w:t>
      </w:r>
      <w:r>
        <w:rPr>
          <w:rFonts w:hint="eastAsia" w:ascii="宋体" w:hAnsi="宋体"/>
          <w:bCs/>
          <w:i/>
          <w:iCs/>
          <w:color w:val="auto"/>
          <w:szCs w:val="21"/>
          <w:highlight w:val="none"/>
          <w:u w:val="single"/>
        </w:rPr>
        <w:t>月-</w:t>
      </w:r>
      <w:r>
        <w:rPr>
          <w:rFonts w:hint="eastAsia" w:ascii="Times New Roman" w:hAnsi="Times New Roman"/>
          <w:bCs/>
          <w:i/>
          <w:iCs/>
          <w:color w:val="auto"/>
          <w:szCs w:val="21"/>
          <w:highlight w:val="none"/>
          <w:u w:val="single"/>
          <w:lang w:eastAsia="zh-CN"/>
        </w:rPr>
        <w:t>2023</w:t>
      </w:r>
      <w:r>
        <w:rPr>
          <w:rFonts w:hint="eastAsia" w:ascii="宋体" w:hAnsi="宋体"/>
          <w:bCs/>
          <w:i/>
          <w:iCs/>
          <w:color w:val="auto"/>
          <w:szCs w:val="21"/>
          <w:highlight w:val="none"/>
          <w:u w:val="single"/>
        </w:rPr>
        <w:t>年</w:t>
      </w:r>
      <w:r>
        <w:rPr>
          <w:rFonts w:hint="eastAsia"/>
          <w:bCs/>
          <w:i/>
          <w:iCs/>
          <w:color w:val="auto"/>
          <w:szCs w:val="21"/>
          <w:highlight w:val="none"/>
          <w:u w:val="single"/>
          <w:lang w:val="en-US" w:eastAsia="zh-CN"/>
        </w:rPr>
        <w:t>5</w:t>
      </w:r>
      <w:r>
        <w:rPr>
          <w:rFonts w:hint="eastAsia" w:ascii="宋体" w:hAnsi="宋体"/>
          <w:bCs/>
          <w:i/>
          <w:iCs/>
          <w:color w:val="auto"/>
          <w:szCs w:val="21"/>
          <w:highlight w:val="none"/>
          <w:u w:val="single"/>
        </w:rPr>
        <w:t>月</w:t>
      </w:r>
      <w:r>
        <w:rPr>
          <w:rFonts w:hint="eastAsia" w:ascii="宋体" w:hAnsi="宋体"/>
          <w:i/>
          <w:color w:val="auto"/>
          <w:szCs w:val="21"/>
          <w:highlight w:val="none"/>
          <w:u w:val="single"/>
        </w:rPr>
        <w:t>近三个月内任意一个月缴纳职工社会保障资金的缴款凭证或缴款证明)</w:t>
      </w:r>
    </w:p>
    <w:p>
      <w:pPr>
        <w:pStyle w:val="48"/>
        <w:pageBreakBefore w:val="0"/>
        <w:kinsoku/>
        <w:wordWrap/>
        <w:overflowPunct/>
        <w:topLinePunct w:val="0"/>
        <w:autoSpaceDE/>
        <w:autoSpaceDN/>
        <w:bidi w:val="0"/>
        <w:spacing w:line="360" w:lineRule="auto"/>
        <w:ind w:firstLine="420"/>
        <w:textAlignment w:val="auto"/>
        <w:rPr>
          <w:rFonts w:ascii="宋体" w:hAnsi="宋体"/>
          <w:color w:val="auto"/>
          <w:szCs w:val="21"/>
          <w:highlight w:val="none"/>
        </w:rPr>
      </w:pPr>
      <w:r>
        <w:rPr>
          <w:rFonts w:hint="eastAsia" w:ascii="宋体" w:hAnsi="宋体"/>
          <w:color w:val="auto"/>
          <w:szCs w:val="21"/>
          <w:highlight w:val="none"/>
        </w:rPr>
        <w:t>（</w:t>
      </w:r>
      <w:r>
        <w:rPr>
          <w:rFonts w:hint="eastAsia" w:ascii="Times New Roman" w:hAnsi="Times New Roman"/>
          <w:color w:val="auto"/>
          <w:szCs w:val="21"/>
          <w:highlight w:val="none"/>
          <w:lang w:eastAsia="zh-CN"/>
        </w:rPr>
        <w:t>6</w:t>
      </w:r>
      <w:r>
        <w:rPr>
          <w:rFonts w:hint="eastAsia" w:ascii="宋体" w:hAnsi="宋体"/>
          <w:color w:val="auto"/>
          <w:szCs w:val="21"/>
          <w:highlight w:val="none"/>
        </w:rPr>
        <w:t>）</w:t>
      </w:r>
      <w:r>
        <w:rPr>
          <w:rFonts w:hint="eastAsia" w:ascii="宋体" w:hAnsi="宋体"/>
          <w:i/>
          <w:color w:val="auto"/>
          <w:szCs w:val="21"/>
          <w:highlight w:val="none"/>
          <w:u w:val="single"/>
        </w:rPr>
        <w:t>供应商</w:t>
      </w:r>
      <w:r>
        <w:rPr>
          <w:rFonts w:hint="eastAsia" w:ascii="Times New Roman" w:hAnsi="Times New Roman"/>
          <w:bCs/>
          <w:i/>
          <w:iCs/>
          <w:color w:val="auto"/>
          <w:szCs w:val="21"/>
          <w:highlight w:val="none"/>
          <w:u w:val="single"/>
          <w:lang w:eastAsia="zh-CN"/>
        </w:rPr>
        <w:t>2023</w:t>
      </w:r>
      <w:r>
        <w:rPr>
          <w:rFonts w:hint="eastAsia" w:ascii="宋体" w:hAnsi="宋体"/>
          <w:bCs/>
          <w:i/>
          <w:iCs/>
          <w:color w:val="auto"/>
          <w:szCs w:val="21"/>
          <w:highlight w:val="none"/>
          <w:u w:val="single"/>
        </w:rPr>
        <w:t>年</w:t>
      </w:r>
      <w:r>
        <w:rPr>
          <w:rFonts w:hint="eastAsia" w:ascii="Times New Roman" w:hAnsi="Times New Roman"/>
          <w:bCs/>
          <w:i/>
          <w:iCs/>
          <w:color w:val="auto"/>
          <w:szCs w:val="21"/>
          <w:highlight w:val="none"/>
          <w:u w:val="single"/>
          <w:lang w:val="en-US" w:eastAsia="zh-CN"/>
        </w:rPr>
        <w:t>3</w:t>
      </w:r>
      <w:r>
        <w:rPr>
          <w:rFonts w:hint="eastAsia" w:ascii="宋体" w:hAnsi="宋体"/>
          <w:bCs/>
          <w:i/>
          <w:iCs/>
          <w:color w:val="auto"/>
          <w:szCs w:val="21"/>
          <w:highlight w:val="none"/>
          <w:u w:val="single"/>
        </w:rPr>
        <w:t>月-</w:t>
      </w:r>
      <w:r>
        <w:rPr>
          <w:rFonts w:hint="eastAsia" w:ascii="Times New Roman" w:hAnsi="Times New Roman"/>
          <w:bCs/>
          <w:i/>
          <w:iCs/>
          <w:color w:val="auto"/>
          <w:szCs w:val="21"/>
          <w:highlight w:val="none"/>
          <w:u w:val="single"/>
          <w:lang w:eastAsia="zh-CN"/>
        </w:rPr>
        <w:t>2023</w:t>
      </w:r>
      <w:r>
        <w:rPr>
          <w:rFonts w:hint="eastAsia" w:ascii="宋体" w:hAnsi="宋体"/>
          <w:bCs/>
          <w:i/>
          <w:iCs/>
          <w:color w:val="auto"/>
          <w:szCs w:val="21"/>
          <w:highlight w:val="none"/>
          <w:u w:val="single"/>
        </w:rPr>
        <w:t>年</w:t>
      </w:r>
      <w:r>
        <w:rPr>
          <w:rFonts w:hint="eastAsia" w:ascii="Times New Roman" w:hAnsi="Times New Roman"/>
          <w:bCs/>
          <w:i/>
          <w:iCs/>
          <w:color w:val="auto"/>
          <w:szCs w:val="21"/>
          <w:highlight w:val="none"/>
          <w:u w:val="single"/>
          <w:lang w:val="en-US" w:eastAsia="zh-CN"/>
        </w:rPr>
        <w:t>5</w:t>
      </w:r>
      <w:r>
        <w:rPr>
          <w:rFonts w:hint="eastAsia" w:ascii="宋体" w:hAnsi="宋体"/>
          <w:bCs/>
          <w:i/>
          <w:iCs/>
          <w:color w:val="auto"/>
          <w:szCs w:val="21"/>
          <w:highlight w:val="none"/>
          <w:u w:val="single"/>
        </w:rPr>
        <w:t>月</w:t>
      </w:r>
      <w:r>
        <w:rPr>
          <w:rFonts w:hint="eastAsia" w:ascii="宋体" w:hAnsi="宋体"/>
          <w:i/>
          <w:color w:val="auto"/>
          <w:szCs w:val="21"/>
          <w:highlight w:val="none"/>
          <w:u w:val="single"/>
        </w:rPr>
        <w:t>近三个月内任意一个月依法纳税的缴款凭证</w:t>
      </w:r>
      <w:r>
        <w:rPr>
          <w:rFonts w:hint="eastAsia" w:ascii="宋体" w:hAnsi="宋体"/>
          <w:b/>
          <w:i/>
          <w:color w:val="auto"/>
          <w:szCs w:val="21"/>
          <w:highlight w:val="none"/>
          <w:u w:val="single"/>
        </w:rPr>
        <w:t>(复印件加盖供应商公章)</w:t>
      </w:r>
      <w:r>
        <w:rPr>
          <w:rFonts w:ascii="宋体" w:hAnsi="宋体"/>
          <w:color w:val="auto"/>
          <w:szCs w:val="21"/>
          <w:highlight w:val="none"/>
        </w:rPr>
        <w:t xml:space="preserve"> </w:t>
      </w:r>
    </w:p>
    <w:p>
      <w:pPr>
        <w:pageBreakBefore w:val="0"/>
        <w:kinsoku/>
        <w:wordWrap/>
        <w:overflowPunct/>
        <w:topLinePunct w:val="0"/>
        <w:autoSpaceDE/>
        <w:autoSpaceDN/>
        <w:bidi w:val="0"/>
        <w:spacing w:line="360" w:lineRule="auto"/>
        <w:ind w:firstLine="420" w:firstLineChars="200"/>
        <w:jc w:val="left"/>
        <w:textAlignment w:val="auto"/>
        <w:rPr>
          <w:rFonts w:ascii="宋体" w:hAnsi="宋体"/>
          <w:i/>
          <w:color w:val="auto"/>
          <w:highlight w:val="none"/>
          <w:u w:val="single"/>
        </w:rPr>
      </w:pPr>
      <w:r>
        <w:rPr>
          <w:rFonts w:hint="eastAsia" w:ascii="宋体" w:hAnsi="宋体"/>
          <w:color w:val="auto"/>
          <w:szCs w:val="21"/>
          <w:highlight w:val="none"/>
        </w:rPr>
        <w:t>（</w:t>
      </w:r>
      <w:r>
        <w:rPr>
          <w:rFonts w:hint="eastAsia" w:ascii="Times New Roman" w:hAnsi="Times New Roman"/>
          <w:color w:val="auto"/>
          <w:szCs w:val="21"/>
          <w:highlight w:val="none"/>
          <w:lang w:eastAsia="zh-CN"/>
        </w:rPr>
        <w:t>7</w:t>
      </w:r>
      <w:r>
        <w:rPr>
          <w:rFonts w:hint="eastAsia" w:ascii="宋体" w:hAnsi="宋体"/>
          <w:color w:val="auto"/>
          <w:szCs w:val="21"/>
          <w:highlight w:val="none"/>
        </w:rPr>
        <w:t>）</w:t>
      </w:r>
      <w:r>
        <w:rPr>
          <w:rFonts w:hint="eastAsia" w:ascii="宋体" w:hAnsi="宋体"/>
          <w:i/>
          <w:color w:val="auto"/>
          <w:szCs w:val="21"/>
          <w:highlight w:val="none"/>
          <w:u w:val="single"/>
        </w:rPr>
        <w:t>与第（</w:t>
      </w:r>
      <w:r>
        <w:rPr>
          <w:rFonts w:hint="eastAsia" w:ascii="Times New Roman" w:hAnsi="Times New Roman"/>
          <w:i/>
          <w:color w:val="auto"/>
          <w:szCs w:val="21"/>
          <w:highlight w:val="none"/>
          <w:u w:val="single"/>
          <w:lang w:eastAsia="zh-CN"/>
        </w:rPr>
        <w:t>6</w:t>
      </w:r>
      <w:r>
        <w:rPr>
          <w:rFonts w:hint="eastAsia" w:ascii="宋体" w:hAnsi="宋体"/>
          <w:i/>
          <w:color w:val="auto"/>
          <w:szCs w:val="21"/>
          <w:highlight w:val="none"/>
          <w:u w:val="single"/>
        </w:rPr>
        <w:t>）条相对应的纳税申报表或经会计师事务所审计</w:t>
      </w:r>
      <w:r>
        <w:rPr>
          <w:rFonts w:hint="eastAsia" w:ascii="宋体" w:hAnsi="宋体"/>
          <w:i/>
          <w:color w:val="auto"/>
          <w:highlight w:val="none"/>
          <w:u w:val="single"/>
        </w:rPr>
        <w:t>的</w:t>
      </w:r>
      <w:r>
        <w:rPr>
          <w:rFonts w:hint="eastAsia" w:ascii="Times New Roman" w:hAnsi="Times New Roman"/>
          <w:i/>
          <w:color w:val="auto"/>
          <w:highlight w:val="none"/>
          <w:u w:val="single"/>
          <w:lang w:eastAsia="zh-CN"/>
        </w:rPr>
        <w:t>2021</w:t>
      </w:r>
      <w:r>
        <w:rPr>
          <w:rFonts w:hint="eastAsia" w:ascii="宋体" w:hAnsi="宋体"/>
          <w:i/>
          <w:color w:val="auto"/>
          <w:highlight w:val="none"/>
          <w:u w:val="single"/>
        </w:rPr>
        <w:t>年度或者</w:t>
      </w:r>
      <w:r>
        <w:rPr>
          <w:rFonts w:hint="eastAsia" w:ascii="Times New Roman" w:hAnsi="Times New Roman"/>
          <w:i/>
          <w:color w:val="auto"/>
          <w:highlight w:val="none"/>
          <w:u w:val="single"/>
          <w:lang w:eastAsia="zh-CN"/>
        </w:rPr>
        <w:t>2022</w:t>
      </w:r>
      <w:r>
        <w:rPr>
          <w:rFonts w:hint="eastAsia" w:ascii="宋体" w:hAnsi="宋体"/>
          <w:i/>
          <w:color w:val="auto"/>
          <w:highlight w:val="none"/>
          <w:u w:val="single"/>
        </w:rPr>
        <w:t>年度财务报告（成立不满一年不需提供）</w:t>
      </w:r>
      <w:r>
        <w:rPr>
          <w:rFonts w:hint="eastAsia" w:ascii="宋体" w:hAnsi="宋体"/>
          <w:b/>
          <w:i/>
          <w:color w:val="auto"/>
          <w:highlight w:val="none"/>
          <w:u w:val="single"/>
        </w:rPr>
        <w:t xml:space="preserve"> </w:t>
      </w:r>
      <w:r>
        <w:rPr>
          <w:rFonts w:hint="eastAsia" w:ascii="宋体" w:hAnsi="宋体"/>
          <w:b/>
          <w:i/>
          <w:color w:val="auto"/>
          <w:szCs w:val="21"/>
          <w:highlight w:val="none"/>
          <w:u w:val="single"/>
        </w:rPr>
        <w:t>(复印件加盖供应商公章)</w:t>
      </w:r>
    </w:p>
    <w:p>
      <w:pPr>
        <w:pageBreakBefore w:val="0"/>
        <w:kinsoku/>
        <w:wordWrap/>
        <w:overflowPunct/>
        <w:topLinePunct w:val="0"/>
        <w:autoSpaceDE/>
        <w:autoSpaceDN/>
        <w:bidi w:val="0"/>
        <w:spacing w:line="360" w:lineRule="auto"/>
        <w:ind w:firstLine="420" w:firstLineChars="200"/>
        <w:textAlignment w:val="auto"/>
        <w:rPr>
          <w:rFonts w:ascii="宋体" w:hAnsi="宋体"/>
          <w:b/>
          <w:bCs/>
          <w:i/>
          <w:iCs/>
          <w:color w:val="auto"/>
          <w:szCs w:val="21"/>
          <w:highlight w:val="none"/>
          <w:u w:val="single"/>
        </w:rPr>
      </w:pPr>
      <w:r>
        <w:rPr>
          <w:rFonts w:hint="eastAsia" w:ascii="宋体" w:hAnsi="宋体"/>
          <w:color w:val="auto"/>
          <w:szCs w:val="21"/>
          <w:highlight w:val="none"/>
        </w:rPr>
        <w:t>（</w:t>
      </w:r>
      <w:r>
        <w:rPr>
          <w:rFonts w:hint="eastAsia" w:ascii="Times New Roman" w:hAnsi="Times New Roman"/>
          <w:color w:val="auto"/>
          <w:szCs w:val="21"/>
          <w:highlight w:val="none"/>
          <w:lang w:eastAsia="zh-CN"/>
        </w:rPr>
        <w:t>8</w:t>
      </w:r>
      <w:r>
        <w:rPr>
          <w:rFonts w:hint="eastAsia" w:ascii="宋体" w:hAnsi="宋体"/>
          <w:color w:val="auto"/>
          <w:szCs w:val="21"/>
          <w:highlight w:val="none"/>
        </w:rPr>
        <w:t>）</w:t>
      </w:r>
      <w:r>
        <w:rPr>
          <w:rFonts w:hint="eastAsia" w:ascii="宋体" w:hAnsi="宋体"/>
          <w:i/>
          <w:iCs/>
          <w:color w:val="auto"/>
          <w:szCs w:val="21"/>
          <w:highlight w:val="none"/>
          <w:u w:val="single"/>
        </w:rPr>
        <w:t>供应商参加本次政府采购活动前</w:t>
      </w:r>
      <w:r>
        <w:rPr>
          <w:rFonts w:hint="eastAsia" w:ascii="Times New Roman" w:hAnsi="Times New Roman"/>
          <w:i/>
          <w:iCs/>
          <w:color w:val="auto"/>
          <w:szCs w:val="21"/>
          <w:highlight w:val="none"/>
          <w:u w:val="single"/>
          <w:lang w:eastAsia="zh-CN"/>
        </w:rPr>
        <w:t>3</w:t>
      </w:r>
      <w:r>
        <w:rPr>
          <w:rFonts w:hint="eastAsia" w:ascii="宋体" w:hAnsi="宋体"/>
          <w:i/>
          <w:iCs/>
          <w:color w:val="auto"/>
          <w:szCs w:val="21"/>
          <w:highlight w:val="none"/>
          <w:u w:val="single"/>
        </w:rPr>
        <w:t>年内在经营活动中没有重大违法记录的书面声明</w:t>
      </w:r>
      <w:r>
        <w:rPr>
          <w:rFonts w:hint="eastAsia" w:ascii="宋体" w:hAnsi="宋体"/>
          <w:b/>
          <w:bCs/>
          <w:i/>
          <w:iCs/>
          <w:color w:val="auto"/>
          <w:szCs w:val="21"/>
          <w:highlight w:val="none"/>
          <w:u w:val="single"/>
        </w:rPr>
        <w:t>（原件）</w:t>
      </w:r>
    </w:p>
    <w:p>
      <w:pPr>
        <w:pageBreakBefore w:val="0"/>
        <w:widowControl/>
        <w:shd w:val="clear" w:color="auto" w:fill="FFFFFF"/>
        <w:kinsoku/>
        <w:wordWrap/>
        <w:overflowPunct/>
        <w:topLinePunct w:val="0"/>
        <w:autoSpaceDE/>
        <w:autoSpaceDN/>
        <w:bidi w:val="0"/>
        <w:snapToGrid w:val="0"/>
        <w:spacing w:line="360" w:lineRule="auto"/>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w:t>
      </w:r>
      <w:r>
        <w:rPr>
          <w:rFonts w:hint="eastAsia" w:ascii="Times New Roman" w:hAnsi="Times New Roman"/>
          <w:color w:val="auto"/>
          <w:szCs w:val="21"/>
          <w:highlight w:val="none"/>
          <w:lang w:eastAsia="zh-CN"/>
        </w:rPr>
        <w:t>9</w:t>
      </w:r>
      <w:r>
        <w:rPr>
          <w:rFonts w:hint="eastAsia" w:ascii="宋体" w:hAnsi="宋体"/>
          <w:color w:val="auto"/>
          <w:szCs w:val="21"/>
          <w:highlight w:val="none"/>
        </w:rPr>
        <w:t>）</w:t>
      </w:r>
      <w:r>
        <w:rPr>
          <w:rFonts w:hint="eastAsia" w:ascii="宋体" w:hAnsi="宋体"/>
          <w:i/>
          <w:iCs/>
          <w:color w:val="auto"/>
          <w:szCs w:val="21"/>
          <w:highlight w:val="none"/>
          <w:u w:val="single"/>
          <w:lang w:val="en"/>
        </w:rPr>
        <w:t>供应商信用承诺书</w:t>
      </w:r>
      <w:r>
        <w:rPr>
          <w:rFonts w:hint="eastAsia" w:ascii="宋体" w:hAnsi="宋体"/>
          <w:b/>
          <w:bCs/>
          <w:i/>
          <w:iCs/>
          <w:color w:val="auto"/>
          <w:szCs w:val="21"/>
          <w:highlight w:val="none"/>
          <w:u w:val="single"/>
        </w:rPr>
        <w:t>(原件)</w:t>
      </w:r>
    </w:p>
    <w:p>
      <w:pPr>
        <w:pStyle w:val="48"/>
        <w:pageBreakBefore w:val="0"/>
        <w:kinsoku/>
        <w:wordWrap/>
        <w:overflowPunct/>
        <w:topLinePunct w:val="0"/>
        <w:autoSpaceDE/>
        <w:autoSpaceDN/>
        <w:bidi w:val="0"/>
        <w:spacing w:line="360" w:lineRule="auto"/>
        <w:ind w:firstLine="420"/>
        <w:textAlignment w:val="auto"/>
        <w:rPr>
          <w:rFonts w:ascii="宋体" w:hAnsi="宋体"/>
          <w:i/>
          <w:color w:val="auto"/>
          <w:szCs w:val="21"/>
          <w:highlight w:val="none"/>
          <w:u w:val="single"/>
        </w:rPr>
      </w:pPr>
      <w:r>
        <w:rPr>
          <w:rFonts w:hint="eastAsia" w:ascii="宋体" w:hAnsi="宋体"/>
          <w:color w:val="auto"/>
          <w:szCs w:val="21"/>
          <w:highlight w:val="none"/>
        </w:rPr>
        <w:t>（</w:t>
      </w:r>
      <w:r>
        <w:rPr>
          <w:rFonts w:hint="eastAsia" w:ascii="Times New Roman" w:hAnsi="Times New Roman"/>
          <w:color w:val="auto"/>
          <w:szCs w:val="21"/>
          <w:highlight w:val="none"/>
          <w:lang w:eastAsia="zh-CN"/>
        </w:rPr>
        <w:t>10</w:t>
      </w:r>
      <w:r>
        <w:rPr>
          <w:rFonts w:hint="eastAsia" w:ascii="宋体" w:hAnsi="宋体"/>
          <w:color w:val="auto"/>
          <w:szCs w:val="21"/>
          <w:highlight w:val="none"/>
        </w:rPr>
        <w:t>）</w:t>
      </w:r>
      <w:r>
        <w:rPr>
          <w:rFonts w:hint="eastAsia" w:ascii="宋体" w:hAnsi="宋体"/>
          <w:i/>
          <w:color w:val="auto"/>
          <w:szCs w:val="21"/>
          <w:highlight w:val="none"/>
          <w:u w:val="single"/>
        </w:rPr>
        <w:t>供应商未被“信用中国”网站（</w:t>
      </w:r>
      <w:r>
        <w:rPr>
          <w:rFonts w:hint="eastAsia" w:ascii="Times New Roman" w:hAnsi="Times New Roman"/>
          <w:i/>
          <w:color w:val="auto"/>
          <w:szCs w:val="21"/>
          <w:highlight w:val="none"/>
          <w:u w:val="single"/>
          <w:lang w:eastAsia="zh-CN"/>
        </w:rPr>
        <w:t>www</w:t>
      </w:r>
      <w:r>
        <w:rPr>
          <w:rFonts w:hint="eastAsia" w:ascii="宋体" w:hAnsi="宋体"/>
          <w:i/>
          <w:color w:val="auto"/>
          <w:szCs w:val="21"/>
          <w:highlight w:val="none"/>
          <w:u w:val="single"/>
        </w:rPr>
        <w:t>.</w:t>
      </w:r>
      <w:r>
        <w:rPr>
          <w:rFonts w:hint="eastAsia" w:ascii="Times New Roman" w:hAnsi="Times New Roman"/>
          <w:i/>
          <w:color w:val="auto"/>
          <w:szCs w:val="21"/>
          <w:highlight w:val="none"/>
          <w:u w:val="single"/>
          <w:lang w:eastAsia="zh-CN"/>
        </w:rPr>
        <w:t>creditchina</w:t>
      </w:r>
      <w:r>
        <w:rPr>
          <w:rFonts w:hint="eastAsia" w:ascii="宋体" w:hAnsi="宋体"/>
          <w:i/>
          <w:color w:val="auto"/>
          <w:szCs w:val="21"/>
          <w:highlight w:val="none"/>
          <w:u w:val="single"/>
        </w:rPr>
        <w:t>.</w:t>
      </w:r>
      <w:r>
        <w:rPr>
          <w:rFonts w:hint="eastAsia" w:ascii="Times New Roman" w:hAnsi="Times New Roman"/>
          <w:i/>
          <w:color w:val="auto"/>
          <w:szCs w:val="21"/>
          <w:highlight w:val="none"/>
          <w:u w:val="single"/>
          <w:lang w:eastAsia="zh-CN"/>
        </w:rPr>
        <w:t>gov</w:t>
      </w:r>
      <w:r>
        <w:rPr>
          <w:rFonts w:hint="eastAsia" w:ascii="宋体" w:hAnsi="宋体"/>
          <w:i/>
          <w:color w:val="auto"/>
          <w:szCs w:val="21"/>
          <w:highlight w:val="none"/>
          <w:u w:val="single"/>
        </w:rPr>
        <w:t>.</w:t>
      </w:r>
      <w:r>
        <w:rPr>
          <w:rFonts w:hint="eastAsia" w:ascii="Times New Roman" w:hAnsi="Times New Roman"/>
          <w:i/>
          <w:color w:val="auto"/>
          <w:szCs w:val="21"/>
          <w:highlight w:val="none"/>
          <w:u w:val="single"/>
          <w:lang w:eastAsia="zh-CN"/>
        </w:rPr>
        <w:t>cn</w:t>
      </w:r>
      <w:r>
        <w:rPr>
          <w:rFonts w:hint="eastAsia" w:ascii="宋体" w:hAnsi="宋体"/>
          <w:i/>
          <w:color w:val="auto"/>
          <w:szCs w:val="21"/>
          <w:highlight w:val="none"/>
          <w:u w:val="single"/>
        </w:rPr>
        <w:t>）、“中国政府采购网” (</w:t>
      </w:r>
      <w:r>
        <w:rPr>
          <w:rFonts w:hint="eastAsia" w:ascii="Times New Roman" w:hAnsi="Times New Roman"/>
          <w:i/>
          <w:color w:val="auto"/>
          <w:szCs w:val="21"/>
          <w:highlight w:val="none"/>
          <w:u w:val="single"/>
          <w:lang w:eastAsia="zh-CN"/>
        </w:rPr>
        <w:t>www</w:t>
      </w:r>
      <w:r>
        <w:rPr>
          <w:rFonts w:hint="eastAsia" w:ascii="宋体" w:hAnsi="宋体"/>
          <w:i/>
          <w:color w:val="auto"/>
          <w:szCs w:val="21"/>
          <w:highlight w:val="none"/>
          <w:u w:val="single"/>
        </w:rPr>
        <w:t>.</w:t>
      </w:r>
      <w:r>
        <w:rPr>
          <w:rFonts w:hint="eastAsia" w:ascii="Times New Roman" w:hAnsi="Times New Roman"/>
          <w:i/>
          <w:color w:val="auto"/>
          <w:szCs w:val="21"/>
          <w:highlight w:val="none"/>
          <w:u w:val="single"/>
          <w:lang w:eastAsia="zh-CN"/>
        </w:rPr>
        <w:t>ccgp</w:t>
      </w:r>
      <w:r>
        <w:rPr>
          <w:rFonts w:hint="eastAsia" w:ascii="宋体" w:hAnsi="宋体"/>
          <w:i/>
          <w:color w:val="auto"/>
          <w:szCs w:val="21"/>
          <w:highlight w:val="none"/>
          <w:u w:val="single"/>
        </w:rPr>
        <w:t>.</w:t>
      </w:r>
      <w:r>
        <w:rPr>
          <w:rFonts w:hint="eastAsia" w:ascii="Times New Roman" w:hAnsi="Times New Roman"/>
          <w:i/>
          <w:color w:val="auto"/>
          <w:szCs w:val="21"/>
          <w:highlight w:val="none"/>
          <w:u w:val="single"/>
          <w:lang w:eastAsia="zh-CN"/>
        </w:rPr>
        <w:t>gov</w:t>
      </w:r>
      <w:r>
        <w:rPr>
          <w:rFonts w:hint="eastAsia" w:ascii="宋体" w:hAnsi="宋体"/>
          <w:i/>
          <w:color w:val="auto"/>
          <w:szCs w:val="21"/>
          <w:highlight w:val="none"/>
          <w:u w:val="single"/>
        </w:rPr>
        <w:t>.</w:t>
      </w:r>
      <w:r>
        <w:rPr>
          <w:rFonts w:hint="eastAsia" w:ascii="Times New Roman" w:hAnsi="Times New Roman"/>
          <w:i/>
          <w:color w:val="auto"/>
          <w:szCs w:val="21"/>
          <w:highlight w:val="none"/>
          <w:u w:val="single"/>
          <w:lang w:eastAsia="zh-CN"/>
        </w:rPr>
        <w:t>cn</w:t>
      </w:r>
      <w:r>
        <w:rPr>
          <w:rFonts w:hint="eastAsia" w:ascii="宋体" w:hAnsi="宋体"/>
          <w:i/>
          <w:color w:val="auto"/>
          <w:szCs w:val="21"/>
          <w:highlight w:val="none"/>
          <w:u w:val="single"/>
        </w:rPr>
        <w:t>)列入失信被执行人、重大税收违法案件当事人名单、政府采购严重违法失信行为记录名单</w:t>
      </w:r>
    </w:p>
    <w:p>
      <w:pPr>
        <w:pStyle w:val="48"/>
        <w:pageBreakBefore w:val="0"/>
        <w:kinsoku/>
        <w:wordWrap/>
        <w:overflowPunct/>
        <w:topLinePunct w:val="0"/>
        <w:autoSpaceDE/>
        <w:autoSpaceDN/>
        <w:bidi w:val="0"/>
        <w:spacing w:line="360" w:lineRule="auto"/>
        <w:ind w:firstLine="422"/>
        <w:textAlignment w:val="auto"/>
        <w:rPr>
          <w:rFonts w:hint="eastAsia" w:ascii="宋体" w:hAnsi="宋体"/>
          <w:color w:val="auto"/>
          <w:szCs w:val="21"/>
          <w:highlight w:val="none"/>
        </w:rPr>
      </w:pPr>
      <w:r>
        <w:rPr>
          <w:rFonts w:hint="eastAsia" w:ascii="宋体" w:hAnsi="宋体"/>
          <w:b/>
          <w:color w:val="auto"/>
          <w:szCs w:val="21"/>
          <w:highlight w:val="none"/>
        </w:rPr>
        <w:t>备注：</w:t>
      </w:r>
      <w:r>
        <w:rPr>
          <w:rFonts w:hint="eastAsia" w:ascii="宋体" w:hAnsi="宋体"/>
          <w:color w:val="auto"/>
          <w:szCs w:val="21"/>
          <w:highlight w:val="none"/>
        </w:rPr>
        <w:t>投标文件的正本和副本中均须提供上述资格证明文件。资格证明文件须清晰可辨，若有缺失或不清晰，将导致投标被拒绝且不允许在开标后补正。</w:t>
      </w:r>
    </w:p>
    <w:p>
      <w:pPr>
        <w:pStyle w:val="48"/>
        <w:pageBreakBefore w:val="0"/>
        <w:kinsoku/>
        <w:wordWrap/>
        <w:overflowPunct/>
        <w:topLinePunct w:val="0"/>
        <w:autoSpaceDE/>
        <w:autoSpaceDN/>
        <w:bidi w:val="0"/>
        <w:spacing w:line="360" w:lineRule="auto"/>
        <w:ind w:firstLine="422"/>
        <w:textAlignment w:val="auto"/>
        <w:rPr>
          <w:rFonts w:hint="eastAsia" w:ascii="宋体" w:hAnsi="宋体" w:eastAsia="宋体" w:cs="宋体"/>
          <w:color w:val="auto"/>
          <w:kern w:val="0"/>
          <w:sz w:val="21"/>
          <w:szCs w:val="21"/>
          <w:highlight w:val="none"/>
          <w:lang w:val="en-US" w:eastAsia="zh-CN"/>
        </w:rPr>
      </w:pPr>
      <w:r>
        <w:rPr>
          <w:rFonts w:hint="eastAsia" w:ascii="宋体" w:hAnsi="宋体"/>
          <w:color w:val="auto"/>
          <w:szCs w:val="21"/>
          <w:highlight w:val="none"/>
        </w:rPr>
        <w:t>（二）落实政府采购政策需满足的资格要求：</w:t>
      </w:r>
      <w:r>
        <w:rPr>
          <w:rFonts w:hint="eastAsia" w:cs="宋体"/>
          <w:i/>
          <w:iCs/>
          <w:color w:val="auto"/>
          <w:kern w:val="0"/>
          <w:sz w:val="21"/>
          <w:szCs w:val="21"/>
          <w:highlight w:val="none"/>
          <w:u w:val="single"/>
          <w:shd w:val="clear" w:color="auto" w:fill="FFFFFF"/>
          <w:lang w:val="en-US" w:eastAsia="zh-CN"/>
        </w:rPr>
        <w:t>无。</w:t>
      </w:r>
    </w:p>
    <w:p>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（三）本项目的特定资格要求：</w:t>
      </w:r>
    </w:p>
    <w:p>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Times New Roman"/>
          <w:color w:val="auto"/>
          <w:szCs w:val="21"/>
          <w:highlight w:val="none"/>
          <w:u w:val="single"/>
          <w:lang w:val="en-US" w:eastAsia="zh-CN"/>
        </w:rPr>
      </w:pPr>
      <w:r>
        <w:rPr>
          <w:rFonts w:hint="eastAsia" w:ascii="Times New Roman" w:hAnsi="Times New Roman" w:cs="Times New Roman"/>
          <w:color w:val="auto"/>
          <w:szCs w:val="21"/>
          <w:highlight w:val="none"/>
          <w:u w:val="single"/>
          <w:lang w:val="en-US" w:eastAsia="zh-CN"/>
        </w:rPr>
        <w:t>1</w:t>
      </w:r>
      <w:r>
        <w:rPr>
          <w:rFonts w:hint="eastAsia" w:ascii="宋体" w:hAnsi="宋体" w:eastAsia="宋体" w:cs="Times New Roman"/>
          <w:color w:val="auto"/>
          <w:szCs w:val="21"/>
          <w:highlight w:val="none"/>
          <w:u w:val="single"/>
          <w:lang w:val="en-US" w:eastAsia="zh-CN"/>
        </w:rPr>
        <w:t>、投标供应商具有</w:t>
      </w:r>
      <w:r>
        <w:rPr>
          <w:rFonts w:hint="eastAsia" w:ascii="宋体" w:hAnsi="宋体" w:eastAsia="宋体" w:cs="Times New Roman"/>
          <w:color w:val="auto"/>
          <w:szCs w:val="21"/>
          <w:highlight w:val="none"/>
          <w:u w:val="single"/>
        </w:rPr>
        <w:t>房地产开发</w:t>
      </w:r>
      <w:r>
        <w:rPr>
          <w:rFonts w:hint="eastAsia" w:ascii="宋体" w:hAnsi="宋体" w:eastAsia="宋体" w:cs="Times New Roman"/>
          <w:color w:val="auto"/>
          <w:szCs w:val="21"/>
          <w:highlight w:val="none"/>
          <w:u w:val="single"/>
          <w:lang w:val="en-US" w:eastAsia="zh-CN"/>
        </w:rPr>
        <w:t>二级及以上资质</w:t>
      </w:r>
      <w:r>
        <w:rPr>
          <w:rFonts w:hint="eastAsia" w:ascii="宋体" w:hAnsi="宋体" w:cs="Times New Roman"/>
          <w:color w:val="auto"/>
          <w:szCs w:val="21"/>
          <w:highlight w:val="none"/>
          <w:u w:val="single"/>
          <w:lang w:val="en-US" w:eastAsia="zh-CN"/>
        </w:rPr>
        <w:t>（含暂定级）</w:t>
      </w:r>
      <w:r>
        <w:rPr>
          <w:rFonts w:hint="eastAsia" w:ascii="宋体" w:hAnsi="宋体" w:eastAsia="宋体" w:cs="Times New Roman"/>
          <w:color w:val="auto"/>
          <w:szCs w:val="21"/>
          <w:highlight w:val="none"/>
          <w:u w:val="single"/>
          <w:lang w:val="en-US" w:eastAsia="zh-CN"/>
        </w:rPr>
        <w:t>，且在有效期内。</w:t>
      </w:r>
    </w:p>
    <w:p>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Times New Roman"/>
          <w:color w:val="auto"/>
          <w:szCs w:val="21"/>
          <w:highlight w:val="none"/>
          <w:u w:val="single"/>
          <w:lang w:val="en-US" w:eastAsia="zh-CN"/>
        </w:rPr>
      </w:pPr>
      <w:r>
        <w:rPr>
          <w:rFonts w:hint="eastAsia" w:ascii="Times New Roman" w:hAnsi="Times New Roman" w:cs="Times New Roman"/>
          <w:color w:val="auto"/>
          <w:szCs w:val="21"/>
          <w:highlight w:val="none"/>
          <w:u w:val="single"/>
          <w:lang w:val="en-US" w:eastAsia="zh-CN"/>
        </w:rPr>
        <w:t>2</w:t>
      </w:r>
      <w:r>
        <w:rPr>
          <w:rFonts w:hint="eastAsia" w:ascii="宋体" w:hAnsi="宋体" w:eastAsia="宋体" w:cs="Times New Roman"/>
          <w:color w:val="auto"/>
          <w:szCs w:val="21"/>
          <w:highlight w:val="none"/>
          <w:u w:val="single"/>
          <w:lang w:val="en-US" w:eastAsia="zh-CN"/>
        </w:rPr>
        <w:t>、投标供应商具有工程设计综合资质甲级或者工程行业设计甲级（建筑工程）或者工程专业设计甲级（建筑工程）</w:t>
      </w:r>
    </w:p>
    <w:p>
      <w:pPr>
        <w:pStyle w:val="19"/>
        <w:pageBreakBefore w:val="0"/>
        <w:kinsoku/>
        <w:wordWrap/>
        <w:overflowPunct/>
        <w:topLinePunct w:val="0"/>
        <w:autoSpaceDE/>
        <w:autoSpaceDN/>
        <w:bidi w:val="0"/>
        <w:spacing w:line="360" w:lineRule="auto"/>
        <w:textAlignment w:val="auto"/>
        <w:rPr>
          <w:rFonts w:hint="eastAsia" w:eastAsia="宋体"/>
          <w:color w:val="auto"/>
          <w:highlight w:val="none"/>
          <w:lang w:val="en-US" w:eastAsia="zh-CN"/>
        </w:rPr>
      </w:pPr>
      <w:r>
        <w:rPr>
          <w:rFonts w:hint="eastAsia" w:ascii="宋体" w:hAnsi="宋体" w:cs="宋体"/>
          <w:color w:val="auto"/>
          <w:szCs w:val="21"/>
          <w:highlight w:val="none"/>
        </w:rPr>
        <w:t>本项目</w:t>
      </w:r>
      <w:r>
        <w:rPr>
          <w:rFonts w:hint="eastAsia" w:ascii="宋体" w:hAnsi="宋体" w:cs="宋体"/>
          <w:color w:val="auto"/>
          <w:szCs w:val="21"/>
          <w:highlight w:val="none"/>
          <w:u w:val="single"/>
        </w:rPr>
        <w:t>接受</w:t>
      </w:r>
      <w:r>
        <w:rPr>
          <w:rFonts w:hint="eastAsia" w:ascii="宋体" w:hAnsi="宋体" w:cs="宋体"/>
          <w:color w:val="auto"/>
          <w:szCs w:val="21"/>
          <w:highlight w:val="none"/>
        </w:rPr>
        <w:t>联合体投标</w:t>
      </w:r>
      <w:r>
        <w:rPr>
          <w:rFonts w:hint="eastAsia" w:ascii="宋体" w:hAnsi="宋体" w:cs="宋体"/>
          <w:color w:val="auto"/>
          <w:szCs w:val="21"/>
          <w:highlight w:val="none"/>
          <w:lang w:eastAsia="zh-CN"/>
        </w:rPr>
        <w:t>。</w:t>
      </w:r>
    </w:p>
    <w:p>
      <w:pPr>
        <w:pageBreakBefore w:val="0"/>
        <w:kinsoku/>
        <w:wordWrap/>
        <w:overflowPunct/>
        <w:topLinePunct w:val="0"/>
        <w:autoSpaceDE/>
        <w:autoSpaceDN/>
        <w:bidi w:val="0"/>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（四）拒绝下述供应商参加本次采购活动：</w:t>
      </w:r>
    </w:p>
    <w:p>
      <w:pPr>
        <w:pageBreakBefore w:val="0"/>
        <w:kinsoku/>
        <w:wordWrap/>
        <w:overflowPunct/>
        <w:topLinePunct w:val="0"/>
        <w:autoSpaceDE/>
        <w:autoSpaceDN/>
        <w:bidi w:val="0"/>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w:t>
      </w:r>
      <w:r>
        <w:rPr>
          <w:rFonts w:hint="eastAsia" w:ascii="Times New Roman" w:hAnsi="Times New Roman"/>
          <w:color w:val="auto"/>
          <w:szCs w:val="21"/>
          <w:highlight w:val="none"/>
          <w:lang w:eastAsia="zh-CN"/>
        </w:rPr>
        <w:t>1</w:t>
      </w:r>
      <w:r>
        <w:rPr>
          <w:rFonts w:hint="eastAsia" w:ascii="宋体" w:hAnsi="宋体"/>
          <w:color w:val="auto"/>
          <w:szCs w:val="21"/>
          <w:highlight w:val="none"/>
        </w:rPr>
        <w:t>）供应商单位负责人为同一人或者存在直接控股、管理关系的不同供应商，不得参加同一合同项下的政府采购活动。</w:t>
      </w:r>
    </w:p>
    <w:p>
      <w:pPr>
        <w:pageBreakBefore w:val="0"/>
        <w:kinsoku/>
        <w:wordWrap/>
        <w:overflowPunct/>
        <w:topLinePunct w:val="0"/>
        <w:autoSpaceDE/>
        <w:autoSpaceDN/>
        <w:bidi w:val="0"/>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w:t>
      </w:r>
      <w:r>
        <w:rPr>
          <w:rFonts w:hint="eastAsia" w:ascii="Times New Roman" w:hAnsi="Times New Roman"/>
          <w:color w:val="auto"/>
          <w:szCs w:val="21"/>
          <w:highlight w:val="none"/>
          <w:lang w:eastAsia="zh-CN"/>
        </w:rPr>
        <w:t>2</w:t>
      </w:r>
      <w:r>
        <w:rPr>
          <w:rFonts w:hint="eastAsia" w:ascii="宋体" w:hAnsi="宋体"/>
          <w:color w:val="auto"/>
          <w:szCs w:val="21"/>
          <w:highlight w:val="none"/>
        </w:rPr>
        <w:t>）凡为采购项目提供整体设计、规范编制或者项目管理、监理、检测等服务的供应商，不得再参加该项目的其他采购活动。</w:t>
      </w:r>
    </w:p>
    <w:p>
      <w:pPr>
        <w:pageBreakBefore w:val="0"/>
        <w:kinsoku/>
        <w:wordWrap/>
        <w:overflowPunct/>
        <w:topLinePunct w:val="0"/>
        <w:autoSpaceDE/>
        <w:autoSpaceDN/>
        <w:bidi w:val="0"/>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w:t>
      </w:r>
      <w:r>
        <w:rPr>
          <w:rFonts w:hint="eastAsia" w:ascii="Times New Roman" w:hAnsi="Times New Roman"/>
          <w:color w:val="auto"/>
          <w:szCs w:val="21"/>
          <w:highlight w:val="none"/>
          <w:lang w:eastAsia="zh-CN"/>
        </w:rPr>
        <w:t>3</w:t>
      </w:r>
      <w:r>
        <w:rPr>
          <w:rFonts w:hint="eastAsia" w:ascii="宋体" w:hAnsi="宋体"/>
          <w:color w:val="auto"/>
          <w:szCs w:val="21"/>
          <w:highlight w:val="none"/>
        </w:rPr>
        <w:t>）供应商被“信用中国”网站（</w:t>
      </w:r>
      <w:r>
        <w:rPr>
          <w:rFonts w:hint="eastAsia" w:ascii="Times New Roman" w:hAnsi="Times New Roman"/>
          <w:color w:val="auto"/>
          <w:szCs w:val="21"/>
          <w:highlight w:val="none"/>
          <w:lang w:eastAsia="zh-CN"/>
        </w:rPr>
        <w:t>www</w:t>
      </w:r>
      <w:r>
        <w:rPr>
          <w:rFonts w:hint="eastAsia" w:ascii="宋体" w:hAnsi="宋体"/>
          <w:color w:val="auto"/>
          <w:szCs w:val="21"/>
          <w:highlight w:val="none"/>
        </w:rPr>
        <w:t>.</w:t>
      </w:r>
      <w:r>
        <w:rPr>
          <w:rFonts w:hint="eastAsia" w:ascii="Times New Roman" w:hAnsi="Times New Roman"/>
          <w:color w:val="auto"/>
          <w:szCs w:val="21"/>
          <w:highlight w:val="none"/>
          <w:lang w:eastAsia="zh-CN"/>
        </w:rPr>
        <w:t>creditchina</w:t>
      </w:r>
      <w:r>
        <w:rPr>
          <w:rFonts w:hint="eastAsia" w:ascii="宋体" w:hAnsi="宋体"/>
          <w:color w:val="auto"/>
          <w:szCs w:val="21"/>
          <w:highlight w:val="none"/>
        </w:rPr>
        <w:t>.</w:t>
      </w:r>
      <w:r>
        <w:rPr>
          <w:rFonts w:hint="eastAsia" w:ascii="Times New Roman" w:hAnsi="Times New Roman"/>
          <w:color w:val="auto"/>
          <w:szCs w:val="21"/>
          <w:highlight w:val="none"/>
          <w:lang w:eastAsia="zh-CN"/>
        </w:rPr>
        <w:t>gov</w:t>
      </w:r>
      <w:r>
        <w:rPr>
          <w:rFonts w:hint="eastAsia" w:ascii="宋体" w:hAnsi="宋体"/>
          <w:color w:val="auto"/>
          <w:szCs w:val="21"/>
          <w:highlight w:val="none"/>
        </w:rPr>
        <w:t>.</w:t>
      </w:r>
      <w:r>
        <w:rPr>
          <w:rFonts w:hint="eastAsia" w:ascii="Times New Roman" w:hAnsi="Times New Roman"/>
          <w:color w:val="auto"/>
          <w:szCs w:val="21"/>
          <w:highlight w:val="none"/>
          <w:lang w:eastAsia="zh-CN"/>
        </w:rPr>
        <w:t>cn</w:t>
      </w:r>
      <w:r>
        <w:rPr>
          <w:rFonts w:hint="eastAsia" w:ascii="宋体" w:hAnsi="宋体"/>
          <w:color w:val="auto"/>
          <w:szCs w:val="21"/>
          <w:highlight w:val="none"/>
        </w:rPr>
        <w:t>）、“中国政府采购网"(</w:t>
      </w:r>
      <w:r>
        <w:rPr>
          <w:rFonts w:hint="eastAsia" w:ascii="Times New Roman" w:hAnsi="Times New Roman"/>
          <w:color w:val="auto"/>
          <w:szCs w:val="21"/>
          <w:highlight w:val="none"/>
          <w:lang w:eastAsia="zh-CN"/>
        </w:rPr>
        <w:t>www</w:t>
      </w:r>
      <w:r>
        <w:rPr>
          <w:rFonts w:hint="eastAsia" w:ascii="宋体" w:hAnsi="宋体"/>
          <w:color w:val="auto"/>
          <w:szCs w:val="21"/>
          <w:highlight w:val="none"/>
        </w:rPr>
        <w:t>.</w:t>
      </w:r>
      <w:r>
        <w:rPr>
          <w:rFonts w:hint="eastAsia" w:ascii="Times New Roman" w:hAnsi="Times New Roman"/>
          <w:color w:val="auto"/>
          <w:szCs w:val="21"/>
          <w:highlight w:val="none"/>
          <w:lang w:eastAsia="zh-CN"/>
        </w:rPr>
        <w:t>ccgp</w:t>
      </w:r>
      <w:r>
        <w:rPr>
          <w:rFonts w:hint="eastAsia" w:ascii="宋体" w:hAnsi="宋体"/>
          <w:color w:val="auto"/>
          <w:szCs w:val="21"/>
          <w:highlight w:val="none"/>
        </w:rPr>
        <w:t>.</w:t>
      </w:r>
      <w:r>
        <w:rPr>
          <w:rFonts w:hint="eastAsia" w:ascii="Times New Roman" w:hAnsi="Times New Roman"/>
          <w:color w:val="auto"/>
          <w:szCs w:val="21"/>
          <w:highlight w:val="none"/>
          <w:lang w:eastAsia="zh-CN"/>
        </w:rPr>
        <w:t>gov</w:t>
      </w:r>
      <w:r>
        <w:rPr>
          <w:rFonts w:hint="eastAsia" w:ascii="宋体" w:hAnsi="宋体"/>
          <w:color w:val="auto"/>
          <w:szCs w:val="21"/>
          <w:highlight w:val="none"/>
        </w:rPr>
        <w:t>.</w:t>
      </w:r>
      <w:r>
        <w:rPr>
          <w:rFonts w:hint="eastAsia" w:ascii="Times New Roman" w:hAnsi="Times New Roman"/>
          <w:color w:val="auto"/>
          <w:szCs w:val="21"/>
          <w:highlight w:val="none"/>
          <w:lang w:eastAsia="zh-CN"/>
        </w:rPr>
        <w:t>cn</w:t>
      </w:r>
      <w:r>
        <w:rPr>
          <w:rFonts w:hint="eastAsia" w:ascii="宋体" w:hAnsi="宋体"/>
          <w:color w:val="auto"/>
          <w:szCs w:val="21"/>
          <w:highlight w:val="none"/>
        </w:rPr>
        <w:t>)列入失信被执行人、重大税收违法案件当事人名单、政府采购严重违法失信行为记录名单。</w:t>
      </w:r>
    </w:p>
    <w:p>
      <w:pPr>
        <w:pageBreakBefore w:val="0"/>
        <w:kinsoku/>
        <w:wordWrap/>
        <w:overflowPunct/>
        <w:topLinePunct w:val="0"/>
        <w:autoSpaceDE/>
        <w:autoSpaceDN/>
        <w:bidi w:val="0"/>
        <w:spacing w:line="360" w:lineRule="auto"/>
        <w:ind w:firstLine="420" w:firstLineChars="200"/>
        <w:textAlignment w:val="auto"/>
        <w:rPr>
          <w:b/>
          <w:bCs/>
          <w:color w:val="auto"/>
          <w:highlight w:val="none"/>
        </w:rPr>
      </w:pPr>
      <w:r>
        <w:rPr>
          <w:rFonts w:hint="eastAsia" w:ascii="宋体" w:hAnsi="宋体" w:cs="Arial"/>
          <w:color w:val="auto"/>
          <w:szCs w:val="21"/>
          <w:highlight w:val="none"/>
        </w:rPr>
        <w:t>（</w:t>
      </w:r>
      <w:r>
        <w:rPr>
          <w:rFonts w:hint="eastAsia" w:ascii="宋体" w:hAnsi="宋体" w:cs="Arial"/>
          <w:color w:val="auto"/>
          <w:szCs w:val="21"/>
          <w:highlight w:val="none"/>
          <w:lang w:val="en-US" w:eastAsia="zh-CN"/>
        </w:rPr>
        <w:t>五</w:t>
      </w:r>
      <w:r>
        <w:rPr>
          <w:rFonts w:hint="eastAsia" w:ascii="宋体" w:hAnsi="宋体" w:cs="Arial"/>
          <w:color w:val="auto"/>
          <w:szCs w:val="21"/>
          <w:highlight w:val="none"/>
        </w:rPr>
        <w:t>）集中考察或召开答疑会：无</w:t>
      </w:r>
    </w:p>
    <w:bookmarkEnd w:id="7"/>
    <w:bookmarkEnd w:id="18"/>
    <w:bookmarkEnd w:id="19"/>
    <w:bookmarkEnd w:id="20"/>
    <w:bookmarkEnd w:id="21"/>
    <w:bookmarkEnd w:id="22"/>
    <w:p>
      <w:pPr>
        <w:pStyle w:val="8"/>
        <w:pageBreakBefore w:val="0"/>
        <w:tabs>
          <w:tab w:val="left" w:pos="0"/>
        </w:tabs>
        <w:kinsoku/>
        <w:wordWrap/>
        <w:overflowPunct/>
        <w:topLinePunct w:val="0"/>
        <w:autoSpaceDE/>
        <w:autoSpaceDN/>
        <w:bidi w:val="0"/>
        <w:spacing w:line="360" w:lineRule="auto"/>
        <w:textAlignment w:val="auto"/>
        <w:rPr>
          <w:rFonts w:cs="宋体"/>
          <w:bCs/>
          <w:color w:val="auto"/>
          <w:sz w:val="21"/>
          <w:szCs w:val="21"/>
          <w:highlight w:val="none"/>
        </w:rPr>
      </w:pPr>
      <w:bookmarkStart w:id="23" w:name="_Toc44514111"/>
      <w:r>
        <w:rPr>
          <w:rFonts w:hint="eastAsia" w:cs="宋体"/>
          <w:bCs/>
          <w:color w:val="auto"/>
          <w:sz w:val="21"/>
          <w:szCs w:val="21"/>
          <w:highlight w:val="none"/>
        </w:rPr>
        <w:t>三、</w:t>
      </w:r>
      <w:bookmarkEnd w:id="23"/>
      <w:r>
        <w:rPr>
          <w:rFonts w:hint="eastAsia" w:cs="宋体"/>
          <w:bCs/>
          <w:color w:val="auto"/>
          <w:sz w:val="21"/>
          <w:szCs w:val="21"/>
          <w:highlight w:val="none"/>
        </w:rPr>
        <w:t>获取采购文件</w:t>
      </w:r>
    </w:p>
    <w:p>
      <w:pPr>
        <w:pageBreakBefore w:val="0"/>
        <w:kinsoku/>
        <w:wordWrap/>
        <w:overflowPunct/>
        <w:topLinePunct w:val="0"/>
        <w:autoSpaceDE/>
        <w:autoSpaceDN/>
        <w:bidi w:val="0"/>
        <w:spacing w:line="360" w:lineRule="auto"/>
        <w:ind w:firstLine="420" w:firstLineChars="200"/>
        <w:textAlignment w:val="auto"/>
        <w:rPr>
          <w:rFonts w:ascii="宋体" w:hAnsi="宋体" w:cs="宋体"/>
          <w:color w:val="auto"/>
          <w:szCs w:val="21"/>
          <w:highlight w:val="none"/>
        </w:rPr>
      </w:pPr>
      <w:bookmarkStart w:id="24" w:name="_Toc35393793"/>
      <w:bookmarkStart w:id="25" w:name="_Toc35393624"/>
      <w:bookmarkStart w:id="26" w:name="_Toc28359082"/>
      <w:bookmarkStart w:id="27" w:name="_Toc28359005"/>
      <w:bookmarkStart w:id="28" w:name="_Toc44514112"/>
      <w:bookmarkStart w:id="29" w:name="_Toc38985266"/>
      <w:r>
        <w:rPr>
          <w:rFonts w:hint="eastAsia" w:ascii="宋体" w:hAnsi="宋体" w:cs="宋体"/>
          <w:color w:val="auto"/>
          <w:szCs w:val="21"/>
          <w:highlight w:val="none"/>
        </w:rPr>
        <w:t>时间：</w:t>
      </w:r>
      <w:r>
        <w:rPr>
          <w:rFonts w:hint="eastAsia" w:ascii="宋体" w:hAnsi="宋体" w:cs="宋体"/>
          <w:color w:val="auto"/>
          <w:szCs w:val="21"/>
          <w:highlight w:val="none"/>
          <w:u w:val="single"/>
        </w:rPr>
        <w:t xml:space="preserve"> </w:t>
      </w:r>
      <w:r>
        <w:rPr>
          <w:rFonts w:hint="eastAsia" w:ascii="Times New Roman" w:hAnsi="Times New Roman" w:cs="宋体"/>
          <w:color w:val="auto"/>
          <w:szCs w:val="21"/>
          <w:highlight w:val="none"/>
          <w:u w:val="single"/>
          <w:lang w:eastAsia="zh-CN"/>
        </w:rPr>
        <w:t>2023</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13</w:t>
      </w:r>
      <w:r>
        <w:rPr>
          <w:rFonts w:hint="eastAsia" w:ascii="宋体" w:hAnsi="宋体" w:cs="宋体"/>
          <w:color w:val="auto"/>
          <w:szCs w:val="21"/>
          <w:highlight w:val="none"/>
          <w:u w:val="single"/>
        </w:rPr>
        <w:t>日</w:t>
      </w:r>
      <w:r>
        <w:rPr>
          <w:rFonts w:hint="eastAsia" w:ascii="宋体" w:hAnsi="宋体" w:cs="宋体"/>
          <w:color w:val="auto"/>
          <w:szCs w:val="21"/>
          <w:highlight w:val="none"/>
        </w:rPr>
        <w:t>至</w:t>
      </w:r>
      <w:r>
        <w:rPr>
          <w:rFonts w:hint="eastAsia" w:ascii="宋体" w:hAnsi="宋体" w:cs="宋体"/>
          <w:color w:val="auto"/>
          <w:szCs w:val="21"/>
          <w:highlight w:val="none"/>
          <w:u w:val="single"/>
        </w:rPr>
        <w:t xml:space="preserve"> </w:t>
      </w:r>
      <w:r>
        <w:rPr>
          <w:rFonts w:hint="eastAsia" w:ascii="Times New Roman" w:hAnsi="Times New Roman" w:cs="宋体"/>
          <w:color w:val="auto"/>
          <w:szCs w:val="21"/>
          <w:highlight w:val="none"/>
          <w:u w:val="single"/>
          <w:lang w:eastAsia="zh-CN"/>
        </w:rPr>
        <w:t>2023</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20</w:t>
      </w:r>
      <w:r>
        <w:rPr>
          <w:rFonts w:hint="eastAsia" w:ascii="宋体" w:hAnsi="宋体" w:cs="宋体"/>
          <w:color w:val="auto"/>
          <w:szCs w:val="21"/>
          <w:highlight w:val="none"/>
          <w:u w:val="single"/>
        </w:rPr>
        <w:t>日</w:t>
      </w:r>
      <w:r>
        <w:rPr>
          <w:rFonts w:hint="eastAsia" w:ascii="宋体" w:hAnsi="宋体" w:cs="宋体"/>
          <w:iCs/>
          <w:color w:val="auto"/>
          <w:szCs w:val="21"/>
          <w:highlight w:val="none"/>
          <w:u w:val="single"/>
        </w:rPr>
        <w:t xml:space="preserve"> 上午</w:t>
      </w:r>
      <w:r>
        <w:rPr>
          <w:rFonts w:hint="eastAsia" w:ascii="Times New Roman" w:hAnsi="Times New Roman" w:cs="宋体"/>
          <w:iCs/>
          <w:color w:val="auto"/>
          <w:szCs w:val="21"/>
          <w:highlight w:val="none"/>
          <w:u w:val="single"/>
          <w:lang w:eastAsia="zh-CN"/>
        </w:rPr>
        <w:t>9</w:t>
      </w:r>
      <w:r>
        <w:rPr>
          <w:rFonts w:hint="eastAsia" w:ascii="宋体" w:hAnsi="宋体" w:cs="宋体"/>
          <w:iCs/>
          <w:color w:val="auto"/>
          <w:szCs w:val="21"/>
          <w:highlight w:val="none"/>
          <w:u w:val="single"/>
        </w:rPr>
        <w:t>:</w:t>
      </w:r>
      <w:r>
        <w:rPr>
          <w:rFonts w:hint="eastAsia" w:ascii="Times New Roman" w:hAnsi="Times New Roman" w:cs="宋体"/>
          <w:iCs/>
          <w:color w:val="auto"/>
          <w:szCs w:val="21"/>
          <w:highlight w:val="none"/>
          <w:u w:val="single"/>
          <w:lang w:eastAsia="zh-CN"/>
        </w:rPr>
        <w:t>00</w:t>
      </w:r>
      <w:r>
        <w:rPr>
          <w:rFonts w:hint="eastAsia" w:ascii="宋体" w:hAnsi="宋体" w:cs="宋体"/>
          <w:iCs/>
          <w:color w:val="auto"/>
          <w:szCs w:val="21"/>
          <w:highlight w:val="none"/>
          <w:u w:val="single"/>
        </w:rPr>
        <w:t>-</w:t>
      </w:r>
      <w:r>
        <w:rPr>
          <w:rFonts w:hint="eastAsia" w:ascii="Times New Roman" w:hAnsi="Times New Roman" w:cs="宋体"/>
          <w:iCs/>
          <w:color w:val="auto"/>
          <w:szCs w:val="21"/>
          <w:highlight w:val="none"/>
          <w:u w:val="single"/>
          <w:lang w:eastAsia="zh-CN"/>
        </w:rPr>
        <w:t>11</w:t>
      </w:r>
      <w:r>
        <w:rPr>
          <w:rFonts w:hint="eastAsia" w:ascii="宋体" w:hAnsi="宋体" w:cs="宋体"/>
          <w:iCs/>
          <w:color w:val="auto"/>
          <w:szCs w:val="21"/>
          <w:highlight w:val="none"/>
          <w:u w:val="single"/>
        </w:rPr>
        <w:t>:</w:t>
      </w:r>
      <w:r>
        <w:rPr>
          <w:rFonts w:hint="eastAsia" w:ascii="Times New Roman" w:hAnsi="Times New Roman" w:cs="宋体"/>
          <w:iCs/>
          <w:color w:val="auto"/>
          <w:szCs w:val="21"/>
          <w:highlight w:val="none"/>
          <w:u w:val="single"/>
          <w:lang w:eastAsia="zh-CN"/>
        </w:rPr>
        <w:t>30</w:t>
      </w:r>
      <w:r>
        <w:rPr>
          <w:rFonts w:hint="eastAsia" w:ascii="宋体" w:hAnsi="宋体" w:cs="宋体"/>
          <w:iCs/>
          <w:color w:val="auto"/>
          <w:szCs w:val="21"/>
          <w:highlight w:val="none"/>
          <w:u w:val="single"/>
        </w:rPr>
        <w:t>，下午</w:t>
      </w:r>
      <w:r>
        <w:rPr>
          <w:rFonts w:hint="eastAsia" w:ascii="Times New Roman" w:hAnsi="Times New Roman" w:cs="宋体"/>
          <w:iCs/>
          <w:color w:val="auto"/>
          <w:szCs w:val="21"/>
          <w:highlight w:val="none"/>
          <w:u w:val="single"/>
          <w:lang w:eastAsia="zh-CN"/>
        </w:rPr>
        <w:t>14</w:t>
      </w:r>
      <w:r>
        <w:rPr>
          <w:rFonts w:hint="eastAsia" w:ascii="宋体" w:hAnsi="宋体" w:cs="宋体"/>
          <w:iCs/>
          <w:color w:val="auto"/>
          <w:szCs w:val="21"/>
          <w:highlight w:val="none"/>
          <w:u w:val="single"/>
        </w:rPr>
        <w:t>:</w:t>
      </w:r>
      <w:r>
        <w:rPr>
          <w:rFonts w:hint="eastAsia" w:ascii="Times New Roman" w:hAnsi="Times New Roman" w:cs="宋体"/>
          <w:iCs/>
          <w:color w:val="auto"/>
          <w:szCs w:val="21"/>
          <w:highlight w:val="none"/>
          <w:u w:val="single"/>
          <w:lang w:eastAsia="zh-CN"/>
        </w:rPr>
        <w:t>30</w:t>
      </w:r>
      <w:r>
        <w:rPr>
          <w:rFonts w:hint="eastAsia" w:ascii="宋体" w:hAnsi="宋体" w:cs="宋体"/>
          <w:iCs/>
          <w:color w:val="auto"/>
          <w:szCs w:val="21"/>
          <w:highlight w:val="none"/>
          <w:u w:val="single"/>
        </w:rPr>
        <w:t>-</w:t>
      </w:r>
      <w:r>
        <w:rPr>
          <w:rFonts w:hint="eastAsia" w:ascii="Times New Roman" w:hAnsi="Times New Roman" w:cs="宋体"/>
          <w:iCs/>
          <w:color w:val="auto"/>
          <w:szCs w:val="21"/>
          <w:highlight w:val="none"/>
          <w:u w:val="single"/>
          <w:lang w:eastAsia="zh-CN"/>
        </w:rPr>
        <w:t>17</w:t>
      </w:r>
      <w:r>
        <w:rPr>
          <w:rFonts w:hint="eastAsia" w:ascii="宋体" w:hAnsi="宋体" w:cs="宋体"/>
          <w:iCs/>
          <w:color w:val="auto"/>
          <w:szCs w:val="21"/>
          <w:highlight w:val="none"/>
          <w:u w:val="single"/>
        </w:rPr>
        <w:t>:</w:t>
      </w:r>
      <w:r>
        <w:rPr>
          <w:rFonts w:hint="eastAsia" w:ascii="Times New Roman" w:hAnsi="Times New Roman" w:cs="宋体"/>
          <w:iCs/>
          <w:color w:val="auto"/>
          <w:szCs w:val="21"/>
          <w:highlight w:val="none"/>
          <w:u w:val="single"/>
          <w:lang w:eastAsia="zh-CN"/>
        </w:rPr>
        <w:t>30</w:t>
      </w:r>
      <w:r>
        <w:rPr>
          <w:rFonts w:hint="eastAsia" w:ascii="宋体" w:hAnsi="宋体" w:cs="宋体"/>
          <w:iCs/>
          <w:color w:val="auto"/>
          <w:szCs w:val="21"/>
          <w:highlight w:val="none"/>
          <w:u w:val="single"/>
        </w:rPr>
        <w:t>（节假日除外）</w:t>
      </w:r>
    </w:p>
    <w:bookmarkEnd w:id="24"/>
    <w:bookmarkEnd w:id="25"/>
    <w:bookmarkEnd w:id="26"/>
    <w:bookmarkEnd w:id="27"/>
    <w:bookmarkEnd w:id="28"/>
    <w:bookmarkEnd w:id="29"/>
    <w:p>
      <w:pPr>
        <w:pageBreakBefore w:val="0"/>
        <w:kinsoku/>
        <w:wordWrap/>
        <w:overflowPunct/>
        <w:topLinePunct w:val="0"/>
        <w:autoSpaceDE/>
        <w:autoSpaceDN/>
        <w:bidi w:val="0"/>
        <w:spacing w:line="360" w:lineRule="auto"/>
        <w:ind w:firstLine="420" w:firstLineChars="200"/>
        <w:textAlignment w:val="auto"/>
        <w:rPr>
          <w:rFonts w:ascii="宋体" w:hAnsi="宋体" w:cs="宋体"/>
          <w:bCs/>
          <w:color w:val="auto"/>
          <w:highlight w:val="none"/>
        </w:rPr>
      </w:pPr>
      <w:r>
        <w:rPr>
          <w:rFonts w:hint="eastAsia" w:ascii="宋体" w:hAnsi="宋体" w:cs="宋体"/>
          <w:bCs/>
          <w:color w:val="auto"/>
          <w:highlight w:val="none"/>
        </w:rPr>
        <w:t>方式：投标供应商需携带供应商确认函及法人授权委托书原件报名领取招标文件</w:t>
      </w:r>
    </w:p>
    <w:p>
      <w:pPr>
        <w:pStyle w:val="21"/>
        <w:pageBreakBefore w:val="0"/>
        <w:numPr>
          <w:ilvl w:val="0"/>
          <w:numId w:val="0"/>
        </w:numPr>
        <w:kinsoku/>
        <w:wordWrap/>
        <w:overflowPunct/>
        <w:topLinePunct w:val="0"/>
        <w:autoSpaceDE/>
        <w:autoSpaceDN/>
        <w:bidi w:val="0"/>
        <w:spacing w:line="360" w:lineRule="auto"/>
        <w:ind w:left="420"/>
        <w:textAlignment w:val="auto"/>
        <w:rPr>
          <w:color w:val="auto"/>
          <w:highlight w:val="none"/>
        </w:rPr>
      </w:pPr>
      <w:r>
        <w:rPr>
          <w:rFonts w:hint="eastAsia" w:ascii="宋体" w:hAnsi="宋体" w:cs="宋体"/>
          <w:bCs/>
          <w:color w:val="auto"/>
          <w:highlight w:val="none"/>
        </w:rPr>
        <w:t>地点：扬州市邗江区文昌西路</w:t>
      </w:r>
      <w:r>
        <w:rPr>
          <w:rFonts w:hint="eastAsia" w:ascii="Times New Roman" w:hAnsi="Times New Roman" w:cs="宋体"/>
          <w:bCs/>
          <w:color w:val="auto"/>
          <w:highlight w:val="none"/>
          <w:lang w:eastAsia="zh-CN"/>
        </w:rPr>
        <w:t>305</w:t>
      </w:r>
      <w:r>
        <w:rPr>
          <w:rFonts w:hint="eastAsia" w:ascii="宋体" w:hAnsi="宋体" w:cs="宋体"/>
          <w:bCs/>
          <w:color w:val="auto"/>
          <w:highlight w:val="none"/>
        </w:rPr>
        <w:t>号金都汇商务楼</w:t>
      </w:r>
      <w:r>
        <w:rPr>
          <w:rFonts w:hint="eastAsia" w:ascii="Times New Roman" w:hAnsi="Times New Roman" w:cs="宋体"/>
          <w:bCs/>
          <w:color w:val="auto"/>
          <w:highlight w:val="none"/>
          <w:lang w:eastAsia="zh-CN"/>
        </w:rPr>
        <w:t>3</w:t>
      </w:r>
      <w:r>
        <w:rPr>
          <w:rFonts w:hint="eastAsia" w:ascii="宋体" w:hAnsi="宋体" w:cs="宋体"/>
          <w:bCs/>
          <w:color w:val="auto"/>
          <w:highlight w:val="none"/>
        </w:rPr>
        <w:t>楼代理部</w:t>
      </w:r>
    </w:p>
    <w:p>
      <w:pPr>
        <w:pageBreakBefore w:val="0"/>
        <w:kinsoku/>
        <w:wordWrap/>
        <w:overflowPunct/>
        <w:topLinePunct w:val="0"/>
        <w:autoSpaceDE/>
        <w:autoSpaceDN/>
        <w:bidi w:val="0"/>
        <w:spacing w:line="360" w:lineRule="auto"/>
        <w:ind w:firstLine="420" w:firstLineChars="200"/>
        <w:textAlignment w:val="auto"/>
        <w:rPr>
          <w:rFonts w:ascii="宋体" w:hAnsi="宋体" w:cs="宋体"/>
          <w:bCs/>
          <w:color w:val="auto"/>
          <w:highlight w:val="none"/>
        </w:rPr>
      </w:pPr>
      <w:r>
        <w:rPr>
          <w:rFonts w:hint="eastAsia" w:ascii="宋体" w:hAnsi="宋体" w:cs="宋体"/>
          <w:bCs/>
          <w:color w:val="auto"/>
          <w:highlight w:val="none"/>
        </w:rPr>
        <w:t>售价：</w:t>
      </w:r>
      <w:bookmarkStart w:id="30" w:name="_Toc35393801"/>
      <w:bookmarkEnd w:id="30"/>
      <w:bookmarkStart w:id="31" w:name="_Toc28359092"/>
      <w:bookmarkEnd w:id="31"/>
      <w:bookmarkStart w:id="32" w:name="_Toc35393632"/>
      <w:bookmarkEnd w:id="32"/>
      <w:bookmarkStart w:id="33" w:name="_Toc28359015"/>
      <w:bookmarkEnd w:id="33"/>
      <w:r>
        <w:rPr>
          <w:rFonts w:hint="eastAsia" w:ascii="Times New Roman" w:hAnsi="Times New Roman" w:cs="宋体"/>
          <w:bCs/>
          <w:color w:val="auto"/>
          <w:highlight w:val="none"/>
          <w:lang w:eastAsia="zh-CN"/>
        </w:rPr>
        <w:t>300</w:t>
      </w:r>
      <w:r>
        <w:rPr>
          <w:rFonts w:hint="eastAsia" w:ascii="宋体" w:hAnsi="宋体" w:cs="宋体"/>
          <w:bCs/>
          <w:color w:val="auto"/>
          <w:highlight w:val="none"/>
        </w:rPr>
        <w:t>元（报名时缴纳，售后不退）</w:t>
      </w:r>
    </w:p>
    <w:p>
      <w:pPr>
        <w:pageBreakBefore w:val="0"/>
        <w:kinsoku/>
        <w:wordWrap/>
        <w:overflowPunct/>
        <w:topLinePunct w:val="0"/>
        <w:autoSpaceDE/>
        <w:autoSpaceDN/>
        <w:bidi w:val="0"/>
        <w:spacing w:line="360" w:lineRule="auto"/>
        <w:textAlignment w:val="auto"/>
        <w:rPr>
          <w:rFonts w:ascii="宋体" w:hAnsi="宋体" w:cs="宋体"/>
          <w:b/>
          <w:color w:val="auto"/>
          <w:szCs w:val="21"/>
          <w:highlight w:val="none"/>
        </w:rPr>
      </w:pPr>
      <w:r>
        <w:rPr>
          <w:rFonts w:hint="eastAsia" w:ascii="宋体" w:hAnsi="宋体" w:cs="宋体"/>
          <w:b/>
          <w:color w:val="auto"/>
          <w:szCs w:val="21"/>
          <w:highlight w:val="none"/>
        </w:rPr>
        <w:t>四、响应文件提交</w:t>
      </w:r>
    </w:p>
    <w:p>
      <w:pPr>
        <w:pageBreakBefore w:val="0"/>
        <w:kinsoku/>
        <w:wordWrap/>
        <w:overflowPunct/>
        <w:topLinePunct w:val="0"/>
        <w:autoSpaceDE/>
        <w:autoSpaceDN/>
        <w:bidi w:val="0"/>
        <w:spacing w:line="360" w:lineRule="auto"/>
        <w:ind w:firstLine="420" w:firstLineChars="200"/>
        <w:textAlignment w:val="auto"/>
        <w:rPr>
          <w:rFonts w:ascii="宋体" w:hAnsi="宋体"/>
          <w:bCs/>
          <w:color w:val="auto"/>
          <w:highlight w:val="none"/>
        </w:rPr>
      </w:pPr>
      <w:r>
        <w:rPr>
          <w:rFonts w:hint="eastAsia" w:ascii="宋体" w:hAnsi="宋体"/>
          <w:color w:val="auto"/>
          <w:highlight w:val="none"/>
        </w:rPr>
        <w:t>提交时间:</w:t>
      </w:r>
      <w:r>
        <w:rPr>
          <w:rFonts w:hint="eastAsia" w:ascii="宋体" w:hAnsi="宋体"/>
          <w:color w:val="auto"/>
          <w:highlight w:val="none"/>
          <w:u w:val="single"/>
        </w:rPr>
        <w:t xml:space="preserve"> </w:t>
      </w:r>
      <w:r>
        <w:rPr>
          <w:rFonts w:hint="eastAsia" w:ascii="Times New Roman" w:hAnsi="Times New Roman"/>
          <w:color w:val="auto"/>
          <w:szCs w:val="21"/>
          <w:highlight w:val="none"/>
          <w:u w:val="single"/>
          <w:lang w:eastAsia="zh-CN"/>
        </w:rPr>
        <w:t>2023</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 xml:space="preserve">7 </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4</w:t>
      </w:r>
      <w:r>
        <w:rPr>
          <w:rFonts w:hint="eastAsia" w:ascii="宋体" w:hAnsi="宋体"/>
          <w:bCs/>
          <w:color w:val="auto"/>
          <w:szCs w:val="21"/>
          <w:highlight w:val="none"/>
          <w:u w:val="single"/>
        </w:rPr>
        <w:t>日</w:t>
      </w:r>
      <w:r>
        <w:rPr>
          <w:rFonts w:hint="eastAsia" w:ascii="Times New Roman" w:hAnsi="Times New Roman"/>
          <w:bCs/>
          <w:color w:val="auto"/>
          <w:szCs w:val="21"/>
          <w:highlight w:val="none"/>
          <w:u w:val="single"/>
          <w:lang w:val="en-US" w:eastAsia="zh-CN"/>
        </w:rPr>
        <w:t>09</w:t>
      </w:r>
      <w:r>
        <w:rPr>
          <w:rFonts w:hint="eastAsia" w:ascii="宋体" w:hAnsi="宋体"/>
          <w:bCs/>
          <w:color w:val="auto"/>
          <w:szCs w:val="21"/>
          <w:highlight w:val="none"/>
          <w:u w:val="single"/>
        </w:rPr>
        <w:t>点</w:t>
      </w:r>
      <w:r>
        <w:rPr>
          <w:rFonts w:hint="eastAsia" w:ascii="Times New Roman" w:hAnsi="Times New Roman"/>
          <w:bCs/>
          <w:color w:val="auto"/>
          <w:szCs w:val="21"/>
          <w:highlight w:val="none"/>
          <w:u w:val="single"/>
          <w:lang w:val="en-US" w:eastAsia="zh-CN"/>
        </w:rPr>
        <w:t>00</w:t>
      </w:r>
      <w:r>
        <w:rPr>
          <w:rFonts w:hint="eastAsia" w:ascii="宋体" w:hAnsi="宋体"/>
          <w:bCs/>
          <w:color w:val="auto"/>
          <w:szCs w:val="21"/>
          <w:highlight w:val="none"/>
          <w:u w:val="single"/>
        </w:rPr>
        <w:t>分</w:t>
      </w:r>
      <w:r>
        <w:rPr>
          <w:rFonts w:hint="eastAsia" w:ascii="宋体" w:hAnsi="宋体"/>
          <w:bCs/>
          <w:color w:val="auto"/>
          <w:highlight w:val="none"/>
        </w:rPr>
        <w:t>（北京时间）</w:t>
      </w:r>
    </w:p>
    <w:p>
      <w:pPr>
        <w:pageBreakBefore w:val="0"/>
        <w:kinsoku/>
        <w:wordWrap/>
        <w:overflowPunct/>
        <w:topLinePunct w:val="0"/>
        <w:autoSpaceDE/>
        <w:autoSpaceDN/>
        <w:bidi w:val="0"/>
        <w:spacing w:line="360" w:lineRule="auto"/>
        <w:ind w:firstLine="420" w:firstLineChars="200"/>
        <w:textAlignment w:val="auto"/>
        <w:rPr>
          <w:rFonts w:ascii="宋体" w:hAnsi="宋体"/>
          <w:bCs/>
          <w:color w:val="auto"/>
          <w:highlight w:val="none"/>
        </w:rPr>
      </w:pPr>
      <w:r>
        <w:rPr>
          <w:rFonts w:hint="eastAsia" w:ascii="宋体" w:hAnsi="宋体"/>
          <w:color w:val="auto"/>
          <w:highlight w:val="none"/>
        </w:rPr>
        <w:t>截止时间:</w:t>
      </w:r>
      <w:r>
        <w:rPr>
          <w:rFonts w:hint="eastAsia" w:ascii="宋体" w:hAnsi="宋体"/>
          <w:color w:val="auto"/>
          <w:highlight w:val="none"/>
          <w:u w:val="single"/>
        </w:rPr>
        <w:t xml:space="preserve"> </w:t>
      </w:r>
      <w:r>
        <w:rPr>
          <w:rFonts w:hint="eastAsia" w:ascii="Times New Roman" w:hAnsi="Times New Roman"/>
          <w:color w:val="auto"/>
          <w:szCs w:val="21"/>
          <w:highlight w:val="none"/>
          <w:u w:val="single"/>
          <w:lang w:eastAsia="zh-CN"/>
        </w:rPr>
        <w:t>2023</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7</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4</w:t>
      </w:r>
      <w:r>
        <w:rPr>
          <w:rFonts w:hint="eastAsia" w:ascii="宋体" w:hAnsi="宋体"/>
          <w:bCs/>
          <w:color w:val="auto"/>
          <w:szCs w:val="21"/>
          <w:highlight w:val="none"/>
          <w:u w:val="single"/>
        </w:rPr>
        <w:t>日</w:t>
      </w:r>
      <w:r>
        <w:rPr>
          <w:rFonts w:hint="eastAsia" w:ascii="Times New Roman" w:hAnsi="Times New Roman"/>
          <w:bCs/>
          <w:color w:val="auto"/>
          <w:szCs w:val="21"/>
          <w:highlight w:val="none"/>
          <w:u w:val="single"/>
          <w:lang w:val="en-US" w:eastAsia="zh-CN"/>
        </w:rPr>
        <w:t>09</w:t>
      </w:r>
      <w:r>
        <w:rPr>
          <w:rFonts w:hint="eastAsia" w:ascii="宋体" w:hAnsi="宋体"/>
          <w:bCs/>
          <w:color w:val="auto"/>
          <w:szCs w:val="21"/>
          <w:highlight w:val="none"/>
          <w:u w:val="single"/>
        </w:rPr>
        <w:t>点</w:t>
      </w:r>
      <w:r>
        <w:rPr>
          <w:rFonts w:hint="eastAsia" w:ascii="Times New Roman" w:hAnsi="Times New Roman"/>
          <w:bCs/>
          <w:color w:val="auto"/>
          <w:szCs w:val="21"/>
          <w:highlight w:val="none"/>
          <w:u w:val="single"/>
          <w:lang w:val="en-US" w:eastAsia="zh-CN"/>
        </w:rPr>
        <w:t>30</w:t>
      </w:r>
      <w:r>
        <w:rPr>
          <w:rFonts w:hint="eastAsia" w:ascii="宋体" w:hAnsi="宋体"/>
          <w:bCs/>
          <w:color w:val="auto"/>
          <w:szCs w:val="21"/>
          <w:highlight w:val="none"/>
          <w:u w:val="single"/>
        </w:rPr>
        <w:t>分</w:t>
      </w:r>
      <w:r>
        <w:rPr>
          <w:rFonts w:hint="eastAsia" w:ascii="宋体" w:hAnsi="宋体"/>
          <w:bCs/>
          <w:color w:val="auto"/>
          <w:highlight w:val="none"/>
        </w:rPr>
        <w:t>（北京时间）</w:t>
      </w:r>
    </w:p>
    <w:p>
      <w:pPr>
        <w:pageBreakBefore w:val="0"/>
        <w:kinsoku/>
        <w:wordWrap/>
        <w:overflowPunct/>
        <w:topLinePunct w:val="0"/>
        <w:autoSpaceDE/>
        <w:autoSpaceDN/>
        <w:bidi w:val="0"/>
        <w:spacing w:line="360" w:lineRule="auto"/>
        <w:ind w:firstLine="420" w:firstLineChars="200"/>
        <w:textAlignment w:val="auto"/>
        <w:rPr>
          <w:rFonts w:hint="default" w:ascii="宋体" w:hAnsi="宋体" w:eastAsia="宋体" w:cs="宋体"/>
          <w:bCs/>
          <w:color w:val="auto"/>
          <w:highlight w:val="none"/>
          <w:u w:val="single"/>
          <w:lang w:val="en-US" w:eastAsia="zh-CN"/>
        </w:rPr>
      </w:pPr>
      <w:r>
        <w:rPr>
          <w:rFonts w:hint="eastAsia" w:ascii="宋体" w:hAnsi="宋体"/>
          <w:color w:val="auto"/>
          <w:szCs w:val="21"/>
          <w:highlight w:val="none"/>
        </w:rPr>
        <w:t>地点：</w:t>
      </w:r>
      <w:r>
        <w:rPr>
          <w:rFonts w:hint="eastAsia" w:ascii="宋体" w:hAnsi="宋体"/>
          <w:color w:val="auto"/>
          <w:szCs w:val="21"/>
          <w:highlight w:val="none"/>
          <w:lang w:val="en-US" w:eastAsia="zh-CN"/>
        </w:rPr>
        <w:t>扬州市文昌西路</w:t>
      </w:r>
      <w:r>
        <w:rPr>
          <w:rFonts w:hint="eastAsia" w:ascii="Times New Roman" w:hAnsi="Times New Roman"/>
          <w:color w:val="auto"/>
          <w:szCs w:val="21"/>
          <w:highlight w:val="none"/>
          <w:lang w:val="en-US" w:eastAsia="zh-CN"/>
        </w:rPr>
        <w:t>305</w:t>
      </w:r>
      <w:r>
        <w:rPr>
          <w:rFonts w:hint="eastAsia" w:ascii="宋体" w:hAnsi="宋体"/>
          <w:color w:val="auto"/>
          <w:szCs w:val="21"/>
          <w:highlight w:val="none"/>
          <w:lang w:val="en-US" w:eastAsia="zh-CN"/>
        </w:rPr>
        <w:t>号金都汇商务楼</w:t>
      </w:r>
      <w:r>
        <w:rPr>
          <w:rFonts w:hint="eastAsia" w:ascii="Times New Roman" w:hAnsi="Times New Roman"/>
          <w:color w:val="auto"/>
          <w:szCs w:val="21"/>
          <w:highlight w:val="none"/>
          <w:lang w:val="en-US" w:eastAsia="zh-CN"/>
        </w:rPr>
        <w:t>3</w:t>
      </w:r>
      <w:r>
        <w:rPr>
          <w:rFonts w:hint="eastAsia" w:ascii="宋体" w:hAnsi="宋体"/>
          <w:color w:val="auto"/>
          <w:szCs w:val="21"/>
          <w:highlight w:val="none"/>
          <w:lang w:val="en-US" w:eastAsia="zh-CN"/>
        </w:rPr>
        <w:t>楼开标室</w:t>
      </w:r>
    </w:p>
    <w:p>
      <w:pPr>
        <w:pageBreakBefore w:val="0"/>
        <w:kinsoku/>
        <w:wordWrap/>
        <w:overflowPunct/>
        <w:topLinePunct w:val="0"/>
        <w:autoSpaceDE/>
        <w:autoSpaceDN/>
        <w:bidi w:val="0"/>
        <w:spacing w:line="360" w:lineRule="auto"/>
        <w:textAlignment w:val="auto"/>
        <w:rPr>
          <w:rFonts w:ascii="宋体" w:hAnsi="宋体"/>
          <w:bCs/>
          <w:color w:val="auto"/>
          <w:szCs w:val="21"/>
          <w:highlight w:val="none"/>
          <w:u w:val="single"/>
        </w:rPr>
      </w:pPr>
      <w:bookmarkStart w:id="34" w:name="_Toc28359085"/>
      <w:bookmarkStart w:id="35" w:name="_Toc35393627"/>
      <w:bookmarkStart w:id="36" w:name="_Toc38985269"/>
      <w:bookmarkStart w:id="37" w:name="_Toc44514115"/>
      <w:bookmarkStart w:id="38" w:name="_Toc28359008"/>
      <w:bookmarkStart w:id="39" w:name="_Toc35393796"/>
      <w:r>
        <w:rPr>
          <w:rFonts w:hint="eastAsia" w:ascii="宋体" w:hAnsi="宋体" w:cs="宋体"/>
          <w:b/>
          <w:color w:val="auto"/>
          <w:szCs w:val="21"/>
          <w:highlight w:val="none"/>
        </w:rPr>
        <w:t>五、开启</w:t>
      </w:r>
    </w:p>
    <w:p>
      <w:pPr>
        <w:pageBreakBefore w:val="0"/>
        <w:kinsoku/>
        <w:wordWrap/>
        <w:overflowPunct/>
        <w:topLinePunct w:val="0"/>
        <w:autoSpaceDE/>
        <w:autoSpaceDN/>
        <w:bidi w:val="0"/>
        <w:spacing w:line="360" w:lineRule="auto"/>
        <w:ind w:firstLine="420" w:firstLineChars="200"/>
        <w:textAlignment w:val="auto"/>
        <w:rPr>
          <w:rFonts w:ascii="宋体" w:hAnsi="宋体"/>
          <w:bCs/>
          <w:color w:val="auto"/>
          <w:szCs w:val="21"/>
          <w:highlight w:val="none"/>
          <w:u w:val="single"/>
        </w:rPr>
      </w:pPr>
      <w:r>
        <w:rPr>
          <w:rFonts w:hint="eastAsia" w:ascii="宋体" w:hAnsi="宋体"/>
          <w:color w:val="auto"/>
          <w:szCs w:val="21"/>
          <w:highlight w:val="none"/>
        </w:rPr>
        <w:t>时间：</w:t>
      </w:r>
      <w:r>
        <w:rPr>
          <w:rFonts w:hint="eastAsia" w:ascii="宋体" w:hAnsi="宋体"/>
          <w:color w:val="auto"/>
          <w:szCs w:val="21"/>
          <w:highlight w:val="none"/>
          <w:u w:val="single"/>
        </w:rPr>
        <w:t xml:space="preserve"> </w:t>
      </w:r>
      <w:r>
        <w:rPr>
          <w:rFonts w:hint="eastAsia" w:ascii="Times New Roman" w:hAnsi="Times New Roman"/>
          <w:color w:val="auto"/>
          <w:szCs w:val="21"/>
          <w:highlight w:val="none"/>
          <w:u w:val="single"/>
          <w:lang w:eastAsia="zh-CN"/>
        </w:rPr>
        <w:t>2023</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7</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4</w:t>
      </w:r>
      <w:r>
        <w:rPr>
          <w:rFonts w:hint="eastAsia" w:ascii="宋体" w:hAnsi="宋体"/>
          <w:bCs/>
          <w:color w:val="auto"/>
          <w:szCs w:val="21"/>
          <w:highlight w:val="none"/>
          <w:u w:val="single"/>
        </w:rPr>
        <w:t>日</w:t>
      </w:r>
      <w:r>
        <w:rPr>
          <w:rFonts w:hint="eastAsia" w:ascii="Times New Roman" w:hAnsi="Times New Roman"/>
          <w:bCs/>
          <w:color w:val="auto"/>
          <w:szCs w:val="21"/>
          <w:highlight w:val="none"/>
          <w:u w:val="single"/>
          <w:lang w:val="en-US" w:eastAsia="zh-CN"/>
        </w:rPr>
        <w:t>09</w:t>
      </w:r>
      <w:r>
        <w:rPr>
          <w:rFonts w:hint="eastAsia" w:ascii="宋体" w:hAnsi="宋体"/>
          <w:bCs/>
          <w:color w:val="auto"/>
          <w:szCs w:val="21"/>
          <w:highlight w:val="none"/>
          <w:u w:val="single"/>
        </w:rPr>
        <w:t>点</w:t>
      </w:r>
      <w:r>
        <w:rPr>
          <w:rFonts w:hint="eastAsia" w:ascii="Times New Roman" w:hAnsi="Times New Roman"/>
          <w:bCs/>
          <w:color w:val="auto"/>
          <w:szCs w:val="21"/>
          <w:highlight w:val="none"/>
          <w:u w:val="single"/>
          <w:lang w:val="en-US" w:eastAsia="zh-CN"/>
        </w:rPr>
        <w:t>30</w:t>
      </w:r>
      <w:r>
        <w:rPr>
          <w:rFonts w:hint="eastAsia" w:ascii="宋体" w:hAnsi="宋体"/>
          <w:bCs/>
          <w:color w:val="auto"/>
          <w:szCs w:val="21"/>
          <w:highlight w:val="none"/>
          <w:u w:val="single"/>
        </w:rPr>
        <w:t>分</w:t>
      </w:r>
      <w:r>
        <w:rPr>
          <w:rFonts w:hint="eastAsia" w:ascii="宋体" w:hAnsi="宋体"/>
          <w:bCs/>
          <w:color w:val="auto"/>
          <w:szCs w:val="21"/>
          <w:highlight w:val="none"/>
        </w:rPr>
        <w:t>（北京时间）</w:t>
      </w:r>
    </w:p>
    <w:p>
      <w:pPr>
        <w:pageBreakBefore w:val="0"/>
        <w:kinsoku/>
        <w:wordWrap/>
        <w:overflowPunct/>
        <w:topLinePunct w:val="0"/>
        <w:autoSpaceDE/>
        <w:autoSpaceDN/>
        <w:bidi w:val="0"/>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地点：</w:t>
      </w:r>
      <w:bookmarkStart w:id="40" w:name="_Toc35393634"/>
      <w:bookmarkStart w:id="41" w:name="_Toc28359094"/>
      <w:bookmarkStart w:id="42" w:name="_Toc28359017"/>
      <w:bookmarkStart w:id="43" w:name="_Toc35393803"/>
      <w:r>
        <w:rPr>
          <w:rFonts w:hint="eastAsia" w:ascii="宋体" w:hAnsi="宋体"/>
          <w:color w:val="auto"/>
          <w:szCs w:val="21"/>
          <w:highlight w:val="none"/>
          <w:lang w:val="en-US" w:eastAsia="zh-CN"/>
        </w:rPr>
        <w:t>扬州市文昌西路</w:t>
      </w:r>
      <w:r>
        <w:rPr>
          <w:rFonts w:hint="eastAsia" w:ascii="Times New Roman" w:hAnsi="Times New Roman"/>
          <w:color w:val="auto"/>
          <w:szCs w:val="21"/>
          <w:highlight w:val="none"/>
          <w:lang w:val="en-US" w:eastAsia="zh-CN"/>
        </w:rPr>
        <w:t>305</w:t>
      </w:r>
      <w:r>
        <w:rPr>
          <w:rFonts w:hint="eastAsia" w:ascii="宋体" w:hAnsi="宋体"/>
          <w:color w:val="auto"/>
          <w:szCs w:val="21"/>
          <w:highlight w:val="none"/>
          <w:lang w:val="en-US" w:eastAsia="zh-CN"/>
        </w:rPr>
        <w:t>号金都汇商务楼</w:t>
      </w:r>
      <w:r>
        <w:rPr>
          <w:rFonts w:hint="eastAsia" w:ascii="Times New Roman" w:hAnsi="Times New Roman"/>
          <w:color w:val="auto"/>
          <w:szCs w:val="21"/>
          <w:highlight w:val="none"/>
          <w:lang w:val="en-US" w:eastAsia="zh-CN"/>
        </w:rPr>
        <w:t>3</w:t>
      </w:r>
      <w:r>
        <w:rPr>
          <w:rFonts w:hint="eastAsia" w:ascii="宋体" w:hAnsi="宋体"/>
          <w:color w:val="auto"/>
          <w:szCs w:val="21"/>
          <w:highlight w:val="none"/>
          <w:lang w:val="en-US" w:eastAsia="zh-CN"/>
        </w:rPr>
        <w:t>楼开标室</w:t>
      </w:r>
    </w:p>
    <w:p>
      <w:pPr>
        <w:pageBreakBefore w:val="0"/>
        <w:kinsoku/>
        <w:wordWrap/>
        <w:overflowPunct/>
        <w:topLinePunct w:val="0"/>
        <w:autoSpaceDE/>
        <w:autoSpaceDN/>
        <w:bidi w:val="0"/>
        <w:spacing w:line="360" w:lineRule="auto"/>
        <w:textAlignment w:val="auto"/>
        <w:rPr>
          <w:rFonts w:ascii="宋体" w:hAnsi="宋体"/>
          <w:b/>
          <w:bCs/>
          <w:color w:val="auto"/>
          <w:szCs w:val="21"/>
          <w:highlight w:val="none"/>
          <w:u w:val="single"/>
        </w:rPr>
      </w:pPr>
      <w:r>
        <w:rPr>
          <w:rFonts w:hint="eastAsia" w:ascii="宋体" w:hAnsi="宋体" w:cs="宋体"/>
          <w:b/>
          <w:color w:val="auto"/>
          <w:szCs w:val="21"/>
          <w:highlight w:val="none"/>
        </w:rPr>
        <w:t>六、公告期限</w:t>
      </w:r>
      <w:bookmarkEnd w:id="40"/>
      <w:bookmarkEnd w:id="41"/>
      <w:bookmarkEnd w:id="42"/>
      <w:bookmarkEnd w:id="43"/>
    </w:p>
    <w:p>
      <w:pPr>
        <w:pStyle w:val="8"/>
        <w:pageBreakBefore w:val="0"/>
        <w:tabs>
          <w:tab w:val="left" w:pos="0"/>
        </w:tabs>
        <w:kinsoku/>
        <w:wordWrap/>
        <w:overflowPunct/>
        <w:topLinePunct w:val="0"/>
        <w:autoSpaceDE/>
        <w:autoSpaceDN/>
        <w:bidi w:val="0"/>
        <w:spacing w:line="360" w:lineRule="auto"/>
        <w:ind w:firstLine="420" w:firstLineChars="200"/>
        <w:textAlignment w:val="auto"/>
        <w:rPr>
          <w:b w:val="0"/>
          <w:color w:val="auto"/>
          <w:kern w:val="2"/>
          <w:sz w:val="21"/>
          <w:szCs w:val="21"/>
          <w:highlight w:val="none"/>
        </w:rPr>
      </w:pPr>
      <w:r>
        <w:rPr>
          <w:rFonts w:hint="eastAsia"/>
          <w:b w:val="0"/>
          <w:color w:val="auto"/>
          <w:kern w:val="2"/>
          <w:sz w:val="21"/>
          <w:szCs w:val="21"/>
          <w:highlight w:val="none"/>
        </w:rPr>
        <w:t>自本公告发布之日起</w:t>
      </w:r>
      <w:r>
        <w:rPr>
          <w:rFonts w:hint="eastAsia" w:ascii="Times New Roman" w:hAnsi="Times New Roman"/>
          <w:b w:val="0"/>
          <w:color w:val="auto"/>
          <w:kern w:val="2"/>
          <w:sz w:val="21"/>
          <w:szCs w:val="21"/>
          <w:highlight w:val="none"/>
          <w:lang w:eastAsia="zh-CN"/>
        </w:rPr>
        <w:t>5</w:t>
      </w:r>
      <w:r>
        <w:rPr>
          <w:rFonts w:hint="eastAsia"/>
          <w:b w:val="0"/>
          <w:color w:val="auto"/>
          <w:kern w:val="2"/>
          <w:sz w:val="21"/>
          <w:szCs w:val="21"/>
          <w:highlight w:val="none"/>
        </w:rPr>
        <w:t>个工作日。</w:t>
      </w:r>
    </w:p>
    <w:p>
      <w:pPr>
        <w:pageBreakBefore w:val="0"/>
        <w:kinsoku/>
        <w:wordWrap/>
        <w:overflowPunct/>
        <w:topLinePunct w:val="0"/>
        <w:autoSpaceDE/>
        <w:autoSpaceDN/>
        <w:bidi w:val="0"/>
        <w:spacing w:line="360" w:lineRule="auto"/>
        <w:textAlignment w:val="auto"/>
        <w:rPr>
          <w:rFonts w:ascii="宋体" w:hAnsi="宋体" w:cs="宋体"/>
          <w:b/>
          <w:color w:val="auto"/>
          <w:szCs w:val="21"/>
          <w:highlight w:val="none"/>
        </w:rPr>
      </w:pPr>
      <w:r>
        <w:rPr>
          <w:rFonts w:hint="eastAsia" w:ascii="宋体" w:hAnsi="宋体" w:cs="宋体"/>
          <w:b/>
          <w:color w:val="auto"/>
          <w:szCs w:val="21"/>
          <w:highlight w:val="none"/>
        </w:rPr>
        <w:t>七、其他补充事宜</w:t>
      </w:r>
    </w:p>
    <w:p>
      <w:pPr>
        <w:pageBreakBefore w:val="0"/>
        <w:kinsoku/>
        <w:wordWrap/>
        <w:overflowPunct/>
        <w:topLinePunct w:val="0"/>
        <w:autoSpaceDE/>
        <w:autoSpaceDN/>
        <w:bidi w:val="0"/>
        <w:spacing w:line="360" w:lineRule="auto"/>
        <w:ind w:firstLine="420" w:firstLineChars="200"/>
        <w:textAlignment w:val="auto"/>
        <w:rPr>
          <w:rFonts w:ascii="宋体" w:hAnsi="宋体" w:cs="宋体"/>
          <w:color w:val="auto"/>
          <w:szCs w:val="21"/>
          <w:highlight w:val="none"/>
        </w:rPr>
      </w:pPr>
      <w:r>
        <w:rPr>
          <w:rFonts w:hint="eastAsia" w:ascii="Times New Roman" w:hAnsi="Times New Roman" w:cs="宋体"/>
          <w:color w:val="auto"/>
          <w:szCs w:val="21"/>
          <w:highlight w:val="none"/>
          <w:lang w:eastAsia="zh-CN"/>
        </w:rPr>
        <w:t>1</w:t>
      </w:r>
      <w:r>
        <w:rPr>
          <w:rFonts w:hint="eastAsia" w:ascii="宋体" w:hAnsi="宋体" w:cs="宋体"/>
          <w:color w:val="auto"/>
          <w:szCs w:val="21"/>
          <w:highlight w:val="none"/>
        </w:rPr>
        <w:t>、</w:t>
      </w:r>
      <w:r>
        <w:rPr>
          <w:rFonts w:hint="eastAsia" w:ascii="宋体" w:hAnsi="宋体"/>
          <w:i/>
          <w:iCs/>
          <w:color w:val="auto"/>
          <w:szCs w:val="21"/>
          <w:highlight w:val="none"/>
          <w:u w:val="single"/>
        </w:rPr>
        <w:t>本</w:t>
      </w:r>
      <w:r>
        <w:rPr>
          <w:rFonts w:hint="eastAsia" w:ascii="宋体" w:hAnsi="宋体"/>
          <w:i/>
          <w:iCs/>
          <w:color w:val="auto"/>
          <w:szCs w:val="21"/>
          <w:highlight w:val="none"/>
          <w:u w:val="single"/>
          <w:lang w:val="en-US" w:eastAsia="zh-CN"/>
        </w:rPr>
        <w:t>招标</w:t>
      </w:r>
      <w:r>
        <w:rPr>
          <w:rFonts w:hint="eastAsia" w:ascii="宋体" w:hAnsi="宋体"/>
          <w:i/>
          <w:iCs/>
          <w:color w:val="auto"/>
          <w:szCs w:val="21"/>
          <w:highlight w:val="none"/>
          <w:u w:val="single"/>
        </w:rPr>
        <w:t>文件中斜体下划线部分为实质性响应条件，为必须遵守的条件，如不满足将作无效响应文件处理</w:t>
      </w:r>
      <w:r>
        <w:rPr>
          <w:rFonts w:hint="eastAsia" w:ascii="宋体" w:hAnsi="宋体"/>
          <w:i/>
          <w:color w:val="auto"/>
          <w:szCs w:val="21"/>
          <w:highlight w:val="none"/>
          <w:u w:val="single"/>
        </w:rPr>
        <w:t>。</w:t>
      </w:r>
    </w:p>
    <w:p>
      <w:pPr>
        <w:pageBreakBefore w:val="0"/>
        <w:kinsoku/>
        <w:wordWrap/>
        <w:overflowPunct/>
        <w:topLinePunct w:val="0"/>
        <w:autoSpaceDE/>
        <w:autoSpaceDN/>
        <w:bidi w:val="0"/>
        <w:spacing w:line="360" w:lineRule="auto"/>
        <w:ind w:firstLine="525" w:firstLineChars="250"/>
        <w:textAlignment w:val="auto"/>
        <w:rPr>
          <w:rFonts w:ascii="宋体" w:hAnsi="宋体"/>
          <w:bCs/>
          <w:color w:val="auto"/>
          <w:szCs w:val="21"/>
          <w:highlight w:val="none"/>
        </w:rPr>
      </w:pPr>
      <w:r>
        <w:rPr>
          <w:rFonts w:hint="eastAsia" w:ascii="宋体" w:hAnsi="宋体" w:cs="Arial"/>
          <w:color w:val="auto"/>
          <w:szCs w:val="21"/>
          <w:highlight w:val="none"/>
        </w:rPr>
        <w:t>如供应商未按上述要求去做，将自行承担所产生的风险。</w:t>
      </w:r>
      <w:r>
        <w:rPr>
          <w:rFonts w:hint="eastAsia" w:ascii="宋体" w:hAnsi="宋体"/>
          <w:color w:val="auto"/>
          <w:szCs w:val="21"/>
          <w:highlight w:val="none"/>
        </w:rPr>
        <w:t>有关本次</w:t>
      </w:r>
      <w:r>
        <w:rPr>
          <w:rFonts w:hint="eastAsia" w:ascii="宋体" w:hAnsi="宋体"/>
          <w:color w:val="auto"/>
          <w:szCs w:val="21"/>
          <w:highlight w:val="none"/>
          <w:lang w:val="en-US" w:eastAsia="zh-CN"/>
        </w:rPr>
        <w:t>招标</w:t>
      </w:r>
      <w:r>
        <w:rPr>
          <w:rFonts w:hint="eastAsia" w:ascii="宋体" w:hAnsi="宋体"/>
          <w:color w:val="auto"/>
          <w:szCs w:val="21"/>
          <w:highlight w:val="none"/>
        </w:rPr>
        <w:t>的事项若存在变动或修改，敬请及时关注“</w:t>
      </w:r>
      <w:r>
        <w:rPr>
          <w:rFonts w:hint="eastAsia" w:ascii="宋体" w:hAnsi="宋体"/>
          <w:color w:val="auto"/>
          <w:szCs w:val="21"/>
          <w:highlight w:val="none"/>
          <w:lang w:val="en-US" w:eastAsia="zh-CN"/>
        </w:rPr>
        <w:t>中国政府采购网</w:t>
      </w:r>
      <w:r>
        <w:rPr>
          <w:rFonts w:hint="eastAsia" w:ascii="宋体" w:hAnsi="宋体"/>
          <w:color w:val="auto"/>
          <w:szCs w:val="21"/>
          <w:highlight w:val="none"/>
        </w:rPr>
        <w:t>”</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扬州市邗江城市建设发展有限公司</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扬州维扬发展投资有限公司</w:t>
      </w:r>
      <w:r>
        <w:rPr>
          <w:rFonts w:hint="eastAsia" w:ascii="宋体" w:hAnsi="宋体"/>
          <w:color w:val="auto"/>
          <w:szCs w:val="21"/>
          <w:highlight w:val="none"/>
          <w:lang w:eastAsia="zh-CN"/>
        </w:rPr>
        <w:t>”</w:t>
      </w:r>
      <w:r>
        <w:rPr>
          <w:rFonts w:hint="eastAsia" w:ascii="宋体" w:hAnsi="宋体"/>
          <w:color w:val="auto"/>
          <w:szCs w:val="21"/>
          <w:highlight w:val="none"/>
        </w:rPr>
        <w:t>发布的信息或更正公告。</w:t>
      </w:r>
    </w:p>
    <w:p>
      <w:pPr>
        <w:pageBreakBefore w:val="0"/>
        <w:kinsoku/>
        <w:wordWrap/>
        <w:overflowPunct/>
        <w:topLinePunct w:val="0"/>
        <w:autoSpaceDE/>
        <w:autoSpaceDN/>
        <w:bidi w:val="0"/>
        <w:spacing w:line="360" w:lineRule="auto"/>
        <w:ind w:firstLine="420" w:firstLineChars="200"/>
        <w:textAlignment w:val="auto"/>
        <w:rPr>
          <w:rFonts w:ascii="宋体" w:hAnsi="宋体"/>
          <w:color w:val="auto"/>
          <w:szCs w:val="21"/>
          <w:highlight w:val="none"/>
        </w:rPr>
      </w:pPr>
      <w:r>
        <w:rPr>
          <w:rFonts w:hint="eastAsia" w:ascii="Times New Roman" w:hAnsi="Times New Roman"/>
          <w:bCs/>
          <w:color w:val="auto"/>
          <w:szCs w:val="21"/>
          <w:highlight w:val="none"/>
          <w:lang w:eastAsia="zh-CN"/>
        </w:rPr>
        <w:t>3</w:t>
      </w:r>
      <w:r>
        <w:rPr>
          <w:rFonts w:hint="eastAsia" w:ascii="宋体" w:hAnsi="宋体"/>
          <w:bCs/>
          <w:color w:val="auto"/>
          <w:szCs w:val="21"/>
          <w:highlight w:val="none"/>
        </w:rPr>
        <w:t>、本次</w:t>
      </w:r>
      <w:r>
        <w:rPr>
          <w:rFonts w:hint="eastAsia" w:ascii="宋体" w:hAnsi="宋体"/>
          <w:bCs/>
          <w:color w:val="auto"/>
          <w:szCs w:val="21"/>
          <w:highlight w:val="none"/>
          <w:lang w:val="en-US" w:eastAsia="zh-CN"/>
        </w:rPr>
        <w:t>投标</w:t>
      </w:r>
      <w:r>
        <w:rPr>
          <w:rFonts w:hint="eastAsia" w:ascii="宋体" w:hAnsi="宋体"/>
          <w:bCs/>
          <w:color w:val="auto"/>
          <w:szCs w:val="21"/>
          <w:highlight w:val="none"/>
        </w:rPr>
        <w:t>响应文件制作份数要求：</w:t>
      </w:r>
      <w:r>
        <w:rPr>
          <w:rFonts w:hint="eastAsia" w:ascii="宋体" w:hAnsi="宋体"/>
          <w:color w:val="auto"/>
          <w:szCs w:val="21"/>
          <w:highlight w:val="none"/>
        </w:rPr>
        <w:t>一式</w:t>
      </w:r>
      <w:r>
        <w:rPr>
          <w:rFonts w:hint="eastAsia" w:ascii="宋体" w:hAnsi="宋体"/>
          <w:color w:val="auto"/>
          <w:szCs w:val="21"/>
          <w:highlight w:val="none"/>
          <w:lang w:val="en-US" w:eastAsia="zh-CN"/>
        </w:rPr>
        <w:t>伍</w:t>
      </w:r>
      <w:r>
        <w:rPr>
          <w:rFonts w:hint="eastAsia" w:ascii="宋体" w:hAnsi="宋体"/>
          <w:color w:val="auto"/>
          <w:szCs w:val="21"/>
          <w:highlight w:val="none"/>
        </w:rPr>
        <w:t>份（一份正本，</w:t>
      </w:r>
      <w:r>
        <w:rPr>
          <w:rFonts w:hint="eastAsia" w:ascii="宋体" w:hAnsi="宋体"/>
          <w:color w:val="auto"/>
          <w:szCs w:val="21"/>
          <w:highlight w:val="none"/>
          <w:lang w:val="en-US" w:eastAsia="zh-CN"/>
        </w:rPr>
        <w:t>四</w:t>
      </w:r>
      <w:r>
        <w:rPr>
          <w:rFonts w:hint="eastAsia" w:ascii="宋体" w:hAnsi="宋体"/>
          <w:color w:val="auto"/>
          <w:szCs w:val="21"/>
          <w:highlight w:val="none"/>
        </w:rPr>
        <w:t>份副本），每份响应文件须清楚地标明“正本”或“副本”字样。电子版响应文件</w:t>
      </w:r>
      <w:r>
        <w:rPr>
          <w:rFonts w:hint="eastAsia" w:ascii="Times New Roman" w:hAnsi="Times New Roman"/>
          <w:color w:val="auto"/>
          <w:szCs w:val="21"/>
          <w:highlight w:val="none"/>
          <w:lang w:eastAsia="zh-CN"/>
        </w:rPr>
        <w:t>1</w:t>
      </w:r>
      <w:r>
        <w:rPr>
          <w:rFonts w:hint="eastAsia" w:ascii="宋体" w:hAnsi="宋体"/>
          <w:color w:val="auto"/>
          <w:szCs w:val="21"/>
          <w:highlight w:val="none"/>
        </w:rPr>
        <w:t>份(</w:t>
      </w:r>
      <w:r>
        <w:rPr>
          <w:rFonts w:hint="eastAsia" w:ascii="Times New Roman" w:hAnsi="Times New Roman"/>
          <w:color w:val="auto"/>
          <w:szCs w:val="21"/>
          <w:highlight w:val="none"/>
          <w:lang w:eastAsia="zh-CN"/>
        </w:rPr>
        <w:t>U</w:t>
      </w:r>
      <w:r>
        <w:rPr>
          <w:rFonts w:hint="eastAsia" w:ascii="宋体" w:hAnsi="宋体"/>
          <w:color w:val="auto"/>
          <w:szCs w:val="21"/>
          <w:highlight w:val="none"/>
        </w:rPr>
        <w:t>盘形式,单独密封、随纸质响应文件一并提交)。当电子版文件和纸质正本文件不一致时，以纸质正本文件为准。电子版文件用于辅助评标和存档，供应商需承担前述不一致造成的不利后果。</w:t>
      </w:r>
    </w:p>
    <w:p>
      <w:pPr>
        <w:pageBreakBefore w:val="0"/>
        <w:kinsoku/>
        <w:wordWrap/>
        <w:overflowPunct/>
        <w:topLinePunct w:val="0"/>
        <w:autoSpaceDE/>
        <w:autoSpaceDN/>
        <w:bidi w:val="0"/>
        <w:spacing w:line="360" w:lineRule="auto"/>
        <w:ind w:firstLine="420" w:firstLineChars="200"/>
        <w:textAlignment w:val="auto"/>
        <w:rPr>
          <w:rFonts w:hint="eastAsia" w:ascii="宋体" w:hAnsi="宋体"/>
          <w:color w:val="auto"/>
          <w:szCs w:val="21"/>
          <w:highlight w:val="none"/>
        </w:rPr>
      </w:pPr>
      <w:r>
        <w:rPr>
          <w:rFonts w:hint="eastAsia" w:ascii="Times New Roman" w:hAnsi="Times New Roman"/>
          <w:color w:val="auto"/>
          <w:szCs w:val="21"/>
          <w:highlight w:val="none"/>
          <w:lang w:eastAsia="zh-CN"/>
        </w:rPr>
        <w:t>4</w:t>
      </w:r>
      <w:r>
        <w:rPr>
          <w:rFonts w:hint="eastAsia" w:ascii="宋体" w:hAnsi="宋体"/>
          <w:color w:val="auto"/>
          <w:szCs w:val="21"/>
          <w:highlight w:val="none"/>
        </w:rPr>
        <w:t>、本次招标</w:t>
      </w:r>
      <w:r>
        <w:rPr>
          <w:rFonts w:hint="eastAsia" w:ascii="宋体" w:hAnsi="宋体"/>
          <w:color w:val="auto"/>
          <w:szCs w:val="21"/>
          <w:highlight w:val="none"/>
          <w:lang w:val="en-US" w:eastAsia="zh-CN"/>
        </w:rPr>
        <w:t>不</w:t>
      </w:r>
      <w:r>
        <w:rPr>
          <w:rFonts w:hint="eastAsia" w:ascii="宋体" w:hAnsi="宋体"/>
          <w:color w:val="auto"/>
          <w:szCs w:val="21"/>
          <w:highlight w:val="none"/>
        </w:rPr>
        <w:t>收取投标保证金。</w:t>
      </w:r>
    </w:p>
    <w:p>
      <w:pPr>
        <w:pStyle w:val="8"/>
        <w:pageBreakBefore w:val="0"/>
        <w:tabs>
          <w:tab w:val="left" w:pos="0"/>
        </w:tabs>
        <w:kinsoku/>
        <w:wordWrap/>
        <w:overflowPunct/>
        <w:topLinePunct w:val="0"/>
        <w:autoSpaceDE/>
        <w:autoSpaceDN/>
        <w:bidi w:val="0"/>
        <w:spacing w:line="360" w:lineRule="auto"/>
        <w:textAlignment w:val="auto"/>
        <w:rPr>
          <w:rFonts w:cs="宋体"/>
          <w:bCs/>
          <w:color w:val="auto"/>
          <w:sz w:val="21"/>
          <w:szCs w:val="21"/>
          <w:highlight w:val="none"/>
        </w:rPr>
      </w:pPr>
      <w:r>
        <w:rPr>
          <w:rFonts w:hint="eastAsia" w:cs="宋体"/>
          <w:bCs/>
          <w:color w:val="auto"/>
          <w:sz w:val="21"/>
          <w:szCs w:val="21"/>
          <w:highlight w:val="none"/>
        </w:rPr>
        <w:t>八、</w:t>
      </w:r>
      <w:bookmarkEnd w:id="34"/>
      <w:bookmarkEnd w:id="35"/>
      <w:bookmarkEnd w:id="36"/>
      <w:bookmarkEnd w:id="37"/>
      <w:bookmarkEnd w:id="38"/>
      <w:bookmarkEnd w:id="39"/>
      <w:r>
        <w:rPr>
          <w:rFonts w:hint="eastAsia" w:cs="宋体"/>
          <w:bCs/>
          <w:color w:val="auto"/>
          <w:sz w:val="21"/>
          <w:szCs w:val="21"/>
          <w:highlight w:val="none"/>
        </w:rPr>
        <w:t>凡对本次采购提出询问，请按以下方式联系。</w:t>
      </w:r>
    </w:p>
    <w:p>
      <w:pPr>
        <w:pageBreakBefore w:val="0"/>
        <w:widowControl/>
        <w:kinsoku/>
        <w:wordWrap/>
        <w:overflowPunct/>
        <w:topLinePunct w:val="0"/>
        <w:autoSpaceDE/>
        <w:autoSpaceDN/>
        <w:bidi w:val="0"/>
        <w:spacing w:line="360" w:lineRule="auto"/>
        <w:ind w:firstLine="420" w:firstLineChars="200"/>
        <w:jc w:val="left"/>
        <w:textAlignment w:val="auto"/>
        <w:rPr>
          <w:rFonts w:ascii="宋体" w:hAnsi="宋体" w:cs="宋体"/>
          <w:color w:val="auto"/>
          <w:highlight w:val="none"/>
        </w:rPr>
      </w:pPr>
      <w:r>
        <w:rPr>
          <w:rFonts w:hint="eastAsia" w:ascii="Times New Roman" w:hAnsi="Times New Roman" w:cs="宋体"/>
          <w:color w:val="auto"/>
          <w:highlight w:val="none"/>
          <w:lang w:eastAsia="zh-CN"/>
        </w:rPr>
        <w:t>1</w:t>
      </w:r>
      <w:r>
        <w:rPr>
          <w:rFonts w:hint="eastAsia" w:ascii="宋体" w:hAnsi="宋体" w:cs="宋体"/>
          <w:color w:val="auto"/>
          <w:highlight w:val="none"/>
        </w:rPr>
        <w:t>.采购人信息</w:t>
      </w:r>
    </w:p>
    <w:p>
      <w:pPr>
        <w:pageBreakBefore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highlight w:val="none"/>
          <w:lang w:eastAsia="zh-CN"/>
        </w:rPr>
      </w:pPr>
      <w:r>
        <w:rPr>
          <w:rFonts w:hint="eastAsia" w:ascii="宋体" w:hAnsi="宋体" w:cs="宋体"/>
          <w:color w:val="auto"/>
          <w:highlight w:val="none"/>
        </w:rPr>
        <w:t>名 称：</w:t>
      </w:r>
      <w:r>
        <w:rPr>
          <w:rFonts w:hint="eastAsia" w:ascii="宋体" w:hAnsi="宋体" w:cs="宋体"/>
          <w:color w:val="auto"/>
          <w:highlight w:val="none"/>
          <w:u w:val="single"/>
          <w:lang w:eastAsia="zh-CN"/>
        </w:rPr>
        <w:t>扬州邗祥置业有限公司</w:t>
      </w:r>
    </w:p>
    <w:p>
      <w:pPr>
        <w:pageBreakBefore w:val="0"/>
        <w:numPr>
          <w:ilvl w:val="0"/>
          <w:numId w:val="4"/>
        </w:numPr>
        <w:kinsoku/>
        <w:wordWrap/>
        <w:overflowPunct/>
        <w:topLinePunct w:val="0"/>
        <w:autoSpaceDE/>
        <w:autoSpaceDN/>
        <w:bidi w:val="0"/>
        <w:spacing w:line="360" w:lineRule="auto"/>
        <w:ind w:firstLine="420" w:firstLineChars="200"/>
        <w:jc w:val="left"/>
        <w:textAlignment w:val="auto"/>
        <w:rPr>
          <w:rFonts w:ascii="宋体" w:hAnsi="宋体" w:cs="宋体"/>
          <w:color w:val="auto"/>
          <w:highlight w:val="none"/>
        </w:rPr>
      </w:pPr>
      <w:bookmarkStart w:id="44" w:name="_Toc28359086"/>
      <w:bookmarkStart w:id="45" w:name="_Toc28359009"/>
      <w:r>
        <w:rPr>
          <w:rFonts w:hint="eastAsia" w:ascii="宋体" w:hAnsi="宋体" w:cs="宋体"/>
          <w:color w:val="auto"/>
          <w:highlight w:val="none"/>
        </w:rPr>
        <w:t>采购代理机构信息</w:t>
      </w:r>
      <w:bookmarkEnd w:id="44"/>
      <w:bookmarkEnd w:id="45"/>
    </w:p>
    <w:p>
      <w:pPr>
        <w:pageBreakBefore w:val="0"/>
        <w:kinsoku/>
        <w:wordWrap/>
        <w:overflowPunct/>
        <w:topLinePunct w:val="0"/>
        <w:autoSpaceDE/>
        <w:autoSpaceDN/>
        <w:bidi w:val="0"/>
        <w:spacing w:line="360" w:lineRule="auto"/>
        <w:ind w:firstLine="420" w:firstLineChars="200"/>
        <w:textAlignment w:val="auto"/>
        <w:rPr>
          <w:color w:val="auto"/>
          <w:highlight w:val="none"/>
        </w:rPr>
      </w:pPr>
      <w:r>
        <w:rPr>
          <w:rFonts w:hint="eastAsia" w:ascii="宋体" w:hAnsi="宋体"/>
          <w:color w:val="auto"/>
          <w:highlight w:val="none"/>
        </w:rPr>
        <w:t>名 称：</w:t>
      </w:r>
      <w:r>
        <w:rPr>
          <w:rFonts w:hint="eastAsia" w:ascii="宋体" w:hAnsi="宋体"/>
          <w:color w:val="auto"/>
          <w:highlight w:val="none"/>
          <w:u w:val="single"/>
        </w:rPr>
        <w:t>江苏志诚工程咨询管理有限公司</w:t>
      </w:r>
    </w:p>
    <w:p>
      <w:pPr>
        <w:pageBreakBefore w:val="0"/>
        <w:kinsoku/>
        <w:wordWrap/>
        <w:overflowPunct/>
        <w:topLinePunct w:val="0"/>
        <w:autoSpaceDE/>
        <w:autoSpaceDN/>
        <w:bidi w:val="0"/>
        <w:spacing w:line="360" w:lineRule="auto"/>
        <w:ind w:firstLine="420" w:firstLineChars="200"/>
        <w:textAlignment w:val="auto"/>
        <w:rPr>
          <w:rFonts w:ascii="宋体" w:hAnsi="宋体" w:cs="宋体"/>
          <w:bCs/>
          <w:color w:val="auto"/>
          <w:highlight w:val="none"/>
          <w:u w:val="single"/>
        </w:rPr>
      </w:pPr>
      <w:r>
        <w:rPr>
          <w:rFonts w:hint="eastAsia" w:ascii="宋体" w:hAnsi="宋体" w:cs="宋体"/>
          <w:color w:val="auto"/>
          <w:highlight w:val="none"/>
        </w:rPr>
        <w:t>地　址：</w:t>
      </w:r>
      <w:r>
        <w:rPr>
          <w:rFonts w:hint="eastAsia" w:ascii="宋体" w:hAnsi="宋体" w:cs="宋体"/>
          <w:bCs/>
          <w:color w:val="auto"/>
          <w:highlight w:val="none"/>
          <w:u w:val="single"/>
        </w:rPr>
        <w:t>扬州市邗江区文昌西路</w:t>
      </w:r>
      <w:r>
        <w:rPr>
          <w:rFonts w:hint="eastAsia" w:ascii="Times New Roman" w:hAnsi="Times New Roman" w:cs="宋体"/>
          <w:bCs/>
          <w:color w:val="auto"/>
          <w:highlight w:val="none"/>
          <w:u w:val="single"/>
          <w:lang w:eastAsia="zh-CN"/>
        </w:rPr>
        <w:t>305</w:t>
      </w:r>
      <w:r>
        <w:rPr>
          <w:rFonts w:hint="eastAsia" w:ascii="宋体" w:hAnsi="宋体" w:cs="宋体"/>
          <w:bCs/>
          <w:color w:val="auto"/>
          <w:highlight w:val="none"/>
          <w:u w:val="single"/>
        </w:rPr>
        <w:t>号金都汇商务楼</w:t>
      </w:r>
      <w:r>
        <w:rPr>
          <w:rFonts w:hint="eastAsia" w:ascii="Times New Roman" w:hAnsi="Times New Roman" w:cs="宋体"/>
          <w:bCs/>
          <w:color w:val="auto"/>
          <w:highlight w:val="none"/>
          <w:u w:val="single"/>
          <w:lang w:eastAsia="zh-CN"/>
        </w:rPr>
        <w:t>3</w:t>
      </w:r>
      <w:r>
        <w:rPr>
          <w:rFonts w:hint="eastAsia" w:ascii="宋体" w:hAnsi="宋体" w:cs="宋体"/>
          <w:bCs/>
          <w:color w:val="auto"/>
          <w:highlight w:val="none"/>
          <w:u w:val="single"/>
        </w:rPr>
        <w:t>楼</w:t>
      </w:r>
    </w:p>
    <w:p>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olor w:val="auto"/>
          <w:kern w:val="0"/>
          <w:szCs w:val="21"/>
          <w:highlight w:val="none"/>
          <w:u w:val="single"/>
          <w:lang w:eastAsia="zh-CN"/>
        </w:rPr>
      </w:pPr>
      <w:r>
        <w:rPr>
          <w:rFonts w:hint="eastAsia" w:ascii="宋体" w:hAnsi="宋体" w:cs="宋体"/>
          <w:color w:val="auto"/>
          <w:highlight w:val="none"/>
        </w:rPr>
        <w:t>联系方式：</w:t>
      </w:r>
      <w:r>
        <w:rPr>
          <w:rFonts w:hint="eastAsia" w:ascii="Times New Roman" w:hAnsi="Times New Roman"/>
          <w:color w:val="auto"/>
          <w:kern w:val="0"/>
          <w:szCs w:val="21"/>
          <w:highlight w:val="none"/>
          <w:u w:val="single"/>
          <w:lang w:eastAsia="zh-CN"/>
        </w:rPr>
        <w:t>0514</w:t>
      </w:r>
      <w:r>
        <w:rPr>
          <w:rFonts w:hint="eastAsia" w:ascii="宋体" w:hAnsi="宋体"/>
          <w:color w:val="auto"/>
          <w:kern w:val="0"/>
          <w:szCs w:val="21"/>
          <w:highlight w:val="none"/>
          <w:u w:val="single"/>
        </w:rPr>
        <w:t>-</w:t>
      </w:r>
      <w:r>
        <w:rPr>
          <w:rFonts w:hint="eastAsia" w:ascii="Times New Roman" w:hAnsi="Times New Roman"/>
          <w:color w:val="auto"/>
          <w:kern w:val="0"/>
          <w:szCs w:val="21"/>
          <w:highlight w:val="none"/>
          <w:u w:val="single"/>
          <w:lang w:eastAsia="zh-CN"/>
        </w:rPr>
        <w:t>80820678</w:t>
      </w:r>
    </w:p>
    <w:p>
      <w:pPr>
        <w:pageBreakBefore w:val="0"/>
        <w:kinsoku/>
        <w:wordWrap/>
        <w:overflowPunct/>
        <w:topLinePunct w:val="0"/>
        <w:autoSpaceDE/>
        <w:autoSpaceDN/>
        <w:bidi w:val="0"/>
        <w:spacing w:line="360" w:lineRule="auto"/>
        <w:ind w:firstLine="420" w:firstLineChars="200"/>
        <w:textAlignment w:val="auto"/>
        <w:rPr>
          <w:color w:val="auto"/>
          <w:highlight w:val="none"/>
        </w:rPr>
      </w:pPr>
      <w:r>
        <w:rPr>
          <w:rFonts w:hint="eastAsia" w:ascii="Times New Roman" w:hAnsi="Times New Roman" w:cs="宋体"/>
          <w:color w:val="auto"/>
          <w:highlight w:val="none"/>
          <w:lang w:eastAsia="zh-CN"/>
        </w:rPr>
        <w:t>3</w:t>
      </w:r>
      <w:r>
        <w:rPr>
          <w:rFonts w:hint="eastAsia" w:ascii="宋体" w:hAnsi="宋体" w:cs="宋体"/>
          <w:color w:val="auto"/>
          <w:highlight w:val="none"/>
        </w:rPr>
        <w:t>、项目联系</w:t>
      </w:r>
      <w:r>
        <w:rPr>
          <w:rFonts w:ascii="宋体" w:hAnsi="宋体" w:cs="宋体"/>
          <w:color w:val="auto"/>
          <w:highlight w:val="none"/>
        </w:rPr>
        <w:t>方式</w:t>
      </w:r>
    </w:p>
    <w:p>
      <w:pPr>
        <w:pageBreakBefore w:val="0"/>
        <w:kinsoku/>
        <w:wordWrap/>
        <w:overflowPunct/>
        <w:topLinePunct w:val="0"/>
        <w:autoSpaceDE/>
        <w:autoSpaceDN/>
        <w:bidi w:val="0"/>
        <w:spacing w:line="360" w:lineRule="auto"/>
        <w:ind w:firstLine="420" w:firstLineChars="200"/>
        <w:textAlignment w:val="auto"/>
        <w:rPr>
          <w:rFonts w:hint="eastAsia" w:ascii="宋体" w:hAnsi="宋体"/>
          <w:color w:val="auto"/>
          <w:highlight w:val="none"/>
          <w:u w:val="single"/>
          <w:lang w:val="en-US" w:eastAsia="zh-CN"/>
        </w:rPr>
      </w:pPr>
      <w:r>
        <w:rPr>
          <w:rFonts w:hint="eastAsia" w:ascii="宋体" w:hAnsi="宋体" w:cs="宋体"/>
          <w:color w:val="auto"/>
          <w:highlight w:val="none"/>
        </w:rPr>
        <w:t>项目联系人：</w:t>
      </w:r>
      <w:r>
        <w:rPr>
          <w:rFonts w:hint="eastAsia" w:ascii="宋体" w:hAnsi="宋体"/>
          <w:color w:val="auto"/>
          <w:highlight w:val="none"/>
          <w:u w:val="single"/>
          <w:lang w:val="en-US" w:eastAsia="zh-CN"/>
        </w:rPr>
        <w:t>田明姣</w:t>
      </w:r>
    </w:p>
    <w:p>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olor w:val="auto"/>
          <w:kern w:val="0"/>
          <w:szCs w:val="21"/>
          <w:highlight w:val="none"/>
          <w:lang w:eastAsia="zh-CN"/>
        </w:rPr>
      </w:pPr>
      <w:r>
        <w:rPr>
          <w:rFonts w:hint="eastAsia" w:ascii="宋体" w:hAnsi="宋体" w:cs="宋体"/>
          <w:color w:val="auto"/>
          <w:highlight w:val="none"/>
        </w:rPr>
        <w:t>电话：</w:t>
      </w:r>
      <w:bookmarkStart w:id="46" w:name="_Toc28359010"/>
      <w:bookmarkStart w:id="47" w:name="_Toc28359087"/>
      <w:r>
        <w:rPr>
          <w:rFonts w:hint="eastAsia" w:ascii="Times New Roman" w:hAnsi="Times New Roman"/>
          <w:color w:val="auto"/>
          <w:kern w:val="0"/>
          <w:szCs w:val="21"/>
          <w:highlight w:val="none"/>
          <w:u w:val="single"/>
          <w:lang w:eastAsia="zh-CN"/>
        </w:rPr>
        <w:t>0514</w:t>
      </w:r>
      <w:r>
        <w:rPr>
          <w:rFonts w:hint="eastAsia" w:ascii="宋体" w:hAnsi="宋体"/>
          <w:color w:val="auto"/>
          <w:kern w:val="0"/>
          <w:szCs w:val="21"/>
          <w:highlight w:val="none"/>
          <w:u w:val="single"/>
        </w:rPr>
        <w:t>-</w:t>
      </w:r>
      <w:r>
        <w:rPr>
          <w:rFonts w:hint="eastAsia" w:ascii="Times New Roman" w:hAnsi="Times New Roman"/>
          <w:color w:val="auto"/>
          <w:kern w:val="0"/>
          <w:szCs w:val="21"/>
          <w:highlight w:val="none"/>
          <w:u w:val="single"/>
          <w:lang w:eastAsia="zh-CN"/>
        </w:rPr>
        <w:t>80820678</w:t>
      </w:r>
    </w:p>
    <w:bookmarkEnd w:id="46"/>
    <w:bookmarkEnd w:id="47"/>
    <w:p>
      <w:pPr>
        <w:pageBreakBefore w:val="0"/>
        <w:kinsoku/>
        <w:wordWrap/>
        <w:overflowPunct/>
        <w:topLinePunct w:val="0"/>
        <w:autoSpaceDE/>
        <w:autoSpaceDN/>
        <w:bidi w:val="0"/>
        <w:spacing w:line="360" w:lineRule="auto"/>
        <w:jc w:val="right"/>
        <w:textAlignment w:val="auto"/>
        <w:rPr>
          <w:rFonts w:ascii="宋体" w:hAnsi="宋体"/>
          <w:color w:val="auto"/>
          <w:szCs w:val="21"/>
          <w:highlight w:val="none"/>
        </w:rPr>
      </w:pPr>
      <w:r>
        <w:rPr>
          <w:rFonts w:hint="eastAsia" w:ascii="宋体" w:hAnsi="宋体"/>
          <w:color w:val="auto"/>
          <w:szCs w:val="21"/>
          <w:highlight w:val="none"/>
        </w:rPr>
        <w:t>江苏志诚工程咨询管理有限公司</w:t>
      </w:r>
    </w:p>
    <w:p>
      <w:pPr>
        <w:pageBreakBefore w:val="0"/>
        <w:kinsoku/>
        <w:wordWrap/>
        <w:overflowPunct/>
        <w:topLinePunct w:val="0"/>
        <w:autoSpaceDE/>
        <w:autoSpaceDN/>
        <w:bidi w:val="0"/>
        <w:spacing w:line="360" w:lineRule="auto"/>
        <w:jc w:val="right"/>
        <w:textAlignment w:val="auto"/>
        <w:rPr>
          <w:rFonts w:ascii="宋体" w:hAnsi="宋体"/>
          <w:color w:val="auto"/>
          <w:szCs w:val="21"/>
          <w:highlight w:val="none"/>
        </w:rPr>
      </w:pPr>
      <w:r>
        <w:rPr>
          <w:rFonts w:hint="eastAsia" w:ascii="Times New Roman" w:hAnsi="Times New Roman"/>
          <w:color w:val="auto"/>
          <w:szCs w:val="21"/>
          <w:highlight w:val="none"/>
          <w:lang w:eastAsia="zh-CN"/>
        </w:rPr>
        <w:t>2023</w:t>
      </w:r>
      <w:r>
        <w:rPr>
          <w:rFonts w:hint="eastAsia" w:ascii="宋体" w:hAnsi="宋体"/>
          <w:color w:val="auto"/>
          <w:szCs w:val="21"/>
          <w:highlight w:val="none"/>
        </w:rPr>
        <w:t>年</w:t>
      </w:r>
      <w:r>
        <w:rPr>
          <w:rFonts w:hint="eastAsia" w:ascii="宋体" w:hAnsi="宋体"/>
          <w:color w:val="auto"/>
          <w:szCs w:val="21"/>
          <w:highlight w:val="none"/>
          <w:lang w:val="en-US" w:eastAsia="zh-CN"/>
        </w:rPr>
        <w:t>6</w:t>
      </w:r>
      <w:r>
        <w:rPr>
          <w:rFonts w:hint="eastAsia" w:ascii="宋体" w:hAnsi="宋体"/>
          <w:color w:val="auto"/>
          <w:szCs w:val="21"/>
          <w:highlight w:val="none"/>
        </w:rPr>
        <w:t>月</w:t>
      </w:r>
      <w:r>
        <w:rPr>
          <w:rFonts w:hint="eastAsia" w:ascii="宋体" w:hAnsi="宋体"/>
          <w:color w:val="auto"/>
          <w:szCs w:val="21"/>
          <w:highlight w:val="none"/>
          <w:lang w:val="en-US" w:eastAsia="zh-CN"/>
        </w:rPr>
        <w:t>13</w:t>
      </w:r>
      <w:r>
        <w:rPr>
          <w:rFonts w:hint="eastAsia" w:ascii="宋体" w:hAnsi="宋体"/>
          <w:color w:val="auto"/>
          <w:szCs w:val="21"/>
          <w:highlight w:val="none"/>
        </w:rPr>
        <w:t>日</w:t>
      </w:r>
    </w:p>
    <w:p>
      <w:pPr>
        <w:spacing w:line="360" w:lineRule="auto"/>
        <w:rPr>
          <w:color w:val="auto"/>
          <w:highlight w:val="none"/>
        </w:rPr>
      </w:pPr>
      <w:r>
        <w:rPr>
          <w:rFonts w:hint="eastAsia"/>
          <w:color w:val="auto"/>
          <w:highlight w:val="none"/>
        </w:rPr>
        <w:br w:type="page"/>
      </w:r>
    </w:p>
    <w:p>
      <w:pPr>
        <w:pStyle w:val="7"/>
        <w:keepNext/>
        <w:keepLines/>
        <w:pageBreakBefore w:val="0"/>
        <w:widowControl w:val="0"/>
        <w:kinsoku/>
        <w:wordWrap/>
        <w:overflowPunct/>
        <w:topLinePunct w:val="0"/>
        <w:autoSpaceDE/>
        <w:autoSpaceDN/>
        <w:bidi w:val="0"/>
        <w:adjustRightInd/>
        <w:snapToGrid/>
        <w:spacing w:line="360" w:lineRule="auto"/>
        <w:textAlignment w:val="auto"/>
        <w:rPr>
          <w:color w:val="auto"/>
          <w:highlight w:val="none"/>
        </w:rPr>
      </w:pPr>
      <w:bookmarkStart w:id="48" w:name="_Toc26690"/>
      <w:r>
        <w:rPr>
          <w:rFonts w:hint="eastAsia"/>
          <w:color w:val="auto"/>
          <w:highlight w:val="none"/>
          <w:lang w:val="en-US" w:eastAsia="zh-CN"/>
        </w:rPr>
        <w:t>第二章、</w:t>
      </w:r>
      <w:r>
        <w:rPr>
          <w:rFonts w:hint="eastAsia"/>
          <w:color w:val="auto"/>
          <w:highlight w:val="none"/>
        </w:rPr>
        <w:t>投标人须知</w:t>
      </w:r>
      <w:bookmarkEnd w:id="48"/>
    </w:p>
    <w:p>
      <w:pPr>
        <w:spacing w:line="360" w:lineRule="auto"/>
        <w:rPr>
          <w:rFonts w:ascii="Arial" w:hAnsi="Arial" w:cs="宋体"/>
          <w:b/>
          <w:bCs/>
          <w:color w:val="auto"/>
          <w:kern w:val="0"/>
          <w:szCs w:val="21"/>
          <w:highlight w:val="none"/>
        </w:rPr>
      </w:pPr>
      <w:bookmarkStart w:id="49" w:name="_Toc16938520"/>
      <w:bookmarkStart w:id="50" w:name="_Toc513029204"/>
      <w:bookmarkStart w:id="51" w:name="_Toc20823276"/>
      <w:r>
        <w:rPr>
          <w:rFonts w:hint="eastAsia" w:ascii="Times New Roman" w:hAnsi="Times New Roman" w:cs="宋体"/>
          <w:b/>
          <w:bCs/>
          <w:color w:val="auto"/>
          <w:kern w:val="0"/>
          <w:szCs w:val="21"/>
          <w:highlight w:val="none"/>
          <w:lang w:eastAsia="zh-CN"/>
        </w:rPr>
        <w:t>1</w:t>
      </w:r>
      <w:r>
        <w:rPr>
          <w:rFonts w:hint="eastAsia" w:ascii="Arial" w:hAnsi="Arial" w:cs="宋体"/>
          <w:b/>
          <w:bCs/>
          <w:color w:val="auto"/>
          <w:kern w:val="0"/>
          <w:szCs w:val="21"/>
          <w:highlight w:val="none"/>
        </w:rPr>
        <w:t>、采购方式</w:t>
      </w:r>
      <w:bookmarkEnd w:id="49"/>
      <w:bookmarkEnd w:id="50"/>
      <w:bookmarkEnd w:id="51"/>
    </w:p>
    <w:p>
      <w:pPr>
        <w:spacing w:line="360" w:lineRule="auto"/>
        <w:ind w:firstLine="420" w:firstLineChars="200"/>
        <w:rPr>
          <w:rFonts w:ascii="宋体" w:hAnsi="宋体"/>
          <w:color w:val="auto"/>
          <w:szCs w:val="21"/>
          <w:highlight w:val="none"/>
        </w:rPr>
      </w:pPr>
      <w:r>
        <w:rPr>
          <w:rFonts w:hint="eastAsia" w:ascii="Times New Roman" w:hAnsi="Times New Roman"/>
          <w:color w:val="auto"/>
          <w:szCs w:val="21"/>
          <w:highlight w:val="none"/>
          <w:lang w:eastAsia="zh-CN"/>
        </w:rPr>
        <w:t>1</w:t>
      </w:r>
      <w:r>
        <w:rPr>
          <w:rFonts w:hint="eastAsia" w:ascii="宋体" w:hAnsi="宋体"/>
          <w:color w:val="auto"/>
          <w:szCs w:val="21"/>
          <w:highlight w:val="none"/>
        </w:rPr>
        <w:t>.</w:t>
      </w:r>
      <w:r>
        <w:rPr>
          <w:rFonts w:hint="eastAsia" w:ascii="Times New Roman" w:hAnsi="Times New Roman"/>
          <w:color w:val="auto"/>
          <w:szCs w:val="21"/>
          <w:highlight w:val="none"/>
          <w:lang w:eastAsia="zh-CN"/>
        </w:rPr>
        <w:t>1</w:t>
      </w:r>
      <w:r>
        <w:rPr>
          <w:rFonts w:hint="eastAsia" w:ascii="宋体" w:hAnsi="宋体"/>
          <w:color w:val="auto"/>
          <w:szCs w:val="21"/>
          <w:highlight w:val="none"/>
        </w:rPr>
        <w:t xml:space="preserve"> 本次采购采取公开采购方式，本采购文件仅适用于</w:t>
      </w:r>
      <w:r>
        <w:rPr>
          <w:rFonts w:hint="eastAsia" w:ascii="Times New Roman" w:hAnsi="Times New Roman"/>
          <w:color w:val="auto"/>
          <w:szCs w:val="21"/>
          <w:highlight w:val="none"/>
          <w:u w:val="single"/>
          <w:lang w:eastAsia="zh-CN"/>
        </w:rPr>
        <w:t>GZ427</w:t>
      </w:r>
      <w:r>
        <w:rPr>
          <w:rFonts w:hint="eastAsia" w:ascii="宋体" w:hAnsi="宋体"/>
          <w:color w:val="auto"/>
          <w:szCs w:val="21"/>
          <w:highlight w:val="none"/>
          <w:u w:val="single"/>
          <w:lang w:eastAsia="zh-CN"/>
        </w:rPr>
        <w:t>、</w:t>
      </w:r>
      <w:r>
        <w:rPr>
          <w:rFonts w:hint="eastAsia" w:ascii="Times New Roman" w:hAnsi="Times New Roman"/>
          <w:color w:val="auto"/>
          <w:szCs w:val="21"/>
          <w:highlight w:val="none"/>
          <w:u w:val="single"/>
          <w:lang w:eastAsia="zh-CN"/>
        </w:rPr>
        <w:t>428</w:t>
      </w:r>
      <w:r>
        <w:rPr>
          <w:rFonts w:hint="eastAsia" w:ascii="宋体" w:hAnsi="宋体"/>
          <w:color w:val="auto"/>
          <w:szCs w:val="21"/>
          <w:highlight w:val="none"/>
          <w:u w:val="single"/>
          <w:lang w:eastAsia="zh-CN"/>
        </w:rPr>
        <w:t>地块项目开发管理服务采购项目</w:t>
      </w:r>
      <w:r>
        <w:rPr>
          <w:rFonts w:hint="eastAsia" w:ascii="宋体" w:hAnsi="宋体"/>
          <w:color w:val="auto"/>
          <w:szCs w:val="21"/>
          <w:highlight w:val="none"/>
        </w:rPr>
        <w:t>。</w:t>
      </w:r>
    </w:p>
    <w:p>
      <w:pPr>
        <w:spacing w:line="360" w:lineRule="auto"/>
        <w:rPr>
          <w:rFonts w:ascii="Arial" w:hAnsi="Arial" w:cs="宋体"/>
          <w:b/>
          <w:bCs/>
          <w:color w:val="auto"/>
          <w:kern w:val="0"/>
          <w:szCs w:val="21"/>
          <w:highlight w:val="none"/>
        </w:rPr>
      </w:pPr>
      <w:bookmarkStart w:id="52" w:name="_Toc16938521"/>
      <w:bookmarkStart w:id="53" w:name="_Toc20823277"/>
      <w:bookmarkStart w:id="54" w:name="_Toc513029205"/>
      <w:r>
        <w:rPr>
          <w:rFonts w:hint="eastAsia" w:ascii="Times New Roman" w:hAnsi="Times New Roman" w:cs="宋体"/>
          <w:b/>
          <w:bCs/>
          <w:color w:val="auto"/>
          <w:kern w:val="0"/>
          <w:szCs w:val="21"/>
          <w:highlight w:val="none"/>
          <w:lang w:eastAsia="zh-CN"/>
        </w:rPr>
        <w:t>2</w:t>
      </w:r>
      <w:r>
        <w:rPr>
          <w:rFonts w:hint="eastAsia" w:ascii="Arial" w:hAnsi="Arial" w:cs="宋体"/>
          <w:b/>
          <w:bCs/>
          <w:color w:val="auto"/>
          <w:kern w:val="0"/>
          <w:szCs w:val="21"/>
          <w:highlight w:val="none"/>
        </w:rPr>
        <w:t>、投标人</w:t>
      </w:r>
    </w:p>
    <w:p>
      <w:pPr>
        <w:spacing w:line="360" w:lineRule="auto"/>
        <w:ind w:firstLine="420" w:firstLineChars="200"/>
        <w:rPr>
          <w:rFonts w:ascii="宋体" w:hAnsi="宋体"/>
          <w:color w:val="auto"/>
          <w:szCs w:val="21"/>
          <w:highlight w:val="none"/>
        </w:rPr>
      </w:pPr>
      <w:r>
        <w:rPr>
          <w:rFonts w:hint="eastAsia" w:ascii="Times New Roman" w:hAnsi="Times New Roman"/>
          <w:color w:val="auto"/>
          <w:szCs w:val="21"/>
          <w:highlight w:val="none"/>
          <w:lang w:eastAsia="zh-CN"/>
        </w:rPr>
        <w:t>2</w:t>
      </w:r>
      <w:r>
        <w:rPr>
          <w:rFonts w:hint="eastAsia" w:ascii="宋体" w:hAnsi="宋体"/>
          <w:color w:val="auto"/>
          <w:szCs w:val="21"/>
          <w:highlight w:val="none"/>
        </w:rPr>
        <w:t>.</w:t>
      </w:r>
      <w:r>
        <w:rPr>
          <w:rFonts w:hint="eastAsia" w:ascii="Times New Roman" w:hAnsi="Times New Roman"/>
          <w:color w:val="auto"/>
          <w:szCs w:val="21"/>
          <w:highlight w:val="none"/>
          <w:lang w:eastAsia="zh-CN"/>
        </w:rPr>
        <w:t>1</w:t>
      </w:r>
      <w:r>
        <w:rPr>
          <w:rFonts w:hint="eastAsia" w:ascii="宋体" w:hAnsi="宋体"/>
          <w:color w:val="auto"/>
          <w:szCs w:val="21"/>
          <w:highlight w:val="none"/>
        </w:rPr>
        <w:t xml:space="preserve"> 本采购文件中“投标人”，即“投标人”，是指参加投标竞争，并符合采购文件规定资格条件的法人、其他组织或者自然人。</w:t>
      </w:r>
    </w:p>
    <w:p>
      <w:pPr>
        <w:spacing w:line="360" w:lineRule="auto"/>
        <w:ind w:firstLine="420" w:firstLineChars="200"/>
        <w:rPr>
          <w:rFonts w:ascii="宋体" w:hAnsi="宋体"/>
          <w:color w:val="auto"/>
          <w:szCs w:val="21"/>
          <w:highlight w:val="none"/>
        </w:rPr>
      </w:pPr>
      <w:r>
        <w:rPr>
          <w:rFonts w:hint="eastAsia" w:ascii="Times New Roman" w:hAnsi="Times New Roman"/>
          <w:color w:val="auto"/>
          <w:szCs w:val="21"/>
          <w:highlight w:val="none"/>
          <w:lang w:eastAsia="zh-CN"/>
        </w:rPr>
        <w:t>2</w:t>
      </w:r>
      <w:r>
        <w:rPr>
          <w:rFonts w:hint="eastAsia" w:ascii="宋体" w:hAnsi="宋体"/>
          <w:color w:val="auto"/>
          <w:szCs w:val="21"/>
          <w:highlight w:val="none"/>
        </w:rPr>
        <w:t>.</w:t>
      </w:r>
      <w:r>
        <w:rPr>
          <w:rFonts w:hint="eastAsia" w:ascii="Times New Roman" w:hAnsi="Times New Roman"/>
          <w:color w:val="auto"/>
          <w:szCs w:val="21"/>
          <w:highlight w:val="none"/>
          <w:lang w:eastAsia="zh-CN"/>
        </w:rPr>
        <w:t>2</w:t>
      </w:r>
      <w:r>
        <w:rPr>
          <w:rFonts w:hint="eastAsia" w:ascii="宋体" w:hAnsi="宋体"/>
          <w:color w:val="auto"/>
          <w:szCs w:val="21"/>
          <w:highlight w:val="none"/>
        </w:rPr>
        <w:t>合格的投标人</w:t>
      </w:r>
      <w:bookmarkEnd w:id="52"/>
      <w:bookmarkEnd w:id="53"/>
      <w:bookmarkEnd w:id="54"/>
    </w:p>
    <w:p>
      <w:pPr>
        <w:spacing w:line="360" w:lineRule="auto"/>
        <w:ind w:firstLine="420" w:firstLineChars="200"/>
        <w:rPr>
          <w:rFonts w:ascii="宋体" w:hAnsi="宋体"/>
          <w:color w:val="auto"/>
          <w:szCs w:val="21"/>
          <w:highlight w:val="none"/>
        </w:rPr>
      </w:pPr>
      <w:r>
        <w:rPr>
          <w:rFonts w:hint="eastAsia" w:ascii="Times New Roman" w:hAnsi="Times New Roman"/>
          <w:color w:val="auto"/>
          <w:szCs w:val="21"/>
          <w:highlight w:val="none"/>
          <w:lang w:eastAsia="zh-CN"/>
        </w:rPr>
        <w:t>2</w:t>
      </w:r>
      <w:r>
        <w:rPr>
          <w:rFonts w:hint="eastAsia" w:ascii="宋体" w:hAnsi="宋体"/>
          <w:color w:val="auto"/>
          <w:szCs w:val="21"/>
          <w:highlight w:val="none"/>
        </w:rPr>
        <w:t>.</w:t>
      </w:r>
      <w:r>
        <w:rPr>
          <w:rFonts w:hint="eastAsia" w:ascii="Times New Roman" w:hAnsi="Times New Roman"/>
          <w:color w:val="auto"/>
          <w:szCs w:val="21"/>
          <w:highlight w:val="none"/>
          <w:lang w:eastAsia="zh-CN"/>
        </w:rPr>
        <w:t>2</w:t>
      </w:r>
      <w:r>
        <w:rPr>
          <w:rFonts w:hint="eastAsia" w:ascii="宋体" w:hAnsi="宋体"/>
          <w:color w:val="auto"/>
          <w:szCs w:val="21"/>
          <w:highlight w:val="none"/>
        </w:rPr>
        <w:t>.</w:t>
      </w:r>
      <w:r>
        <w:rPr>
          <w:rFonts w:hint="eastAsia" w:ascii="Times New Roman" w:hAnsi="Times New Roman"/>
          <w:color w:val="auto"/>
          <w:szCs w:val="21"/>
          <w:highlight w:val="none"/>
          <w:lang w:eastAsia="zh-CN"/>
        </w:rPr>
        <w:t>1</w:t>
      </w:r>
      <w:r>
        <w:rPr>
          <w:rFonts w:hint="eastAsia" w:ascii="宋体" w:hAnsi="宋体"/>
          <w:color w:val="auto"/>
          <w:szCs w:val="21"/>
          <w:highlight w:val="none"/>
        </w:rPr>
        <w:t xml:space="preserve"> 满足采购公告中投标人的资格条件要求的规定。</w:t>
      </w:r>
    </w:p>
    <w:p>
      <w:pPr>
        <w:spacing w:line="360" w:lineRule="auto"/>
        <w:ind w:firstLine="420" w:firstLineChars="200"/>
        <w:rPr>
          <w:rFonts w:ascii="宋体" w:hAnsi="宋体"/>
          <w:color w:val="auto"/>
          <w:szCs w:val="21"/>
          <w:highlight w:val="none"/>
        </w:rPr>
      </w:pPr>
      <w:r>
        <w:rPr>
          <w:rFonts w:hint="eastAsia" w:ascii="Times New Roman" w:hAnsi="Times New Roman"/>
          <w:color w:val="auto"/>
          <w:szCs w:val="21"/>
          <w:highlight w:val="none"/>
          <w:lang w:eastAsia="zh-CN"/>
        </w:rPr>
        <w:t>2</w:t>
      </w:r>
      <w:r>
        <w:rPr>
          <w:rFonts w:hint="eastAsia" w:ascii="宋体" w:hAnsi="宋体"/>
          <w:color w:val="auto"/>
          <w:szCs w:val="21"/>
          <w:highlight w:val="none"/>
        </w:rPr>
        <w:t>.</w:t>
      </w:r>
      <w:r>
        <w:rPr>
          <w:rFonts w:hint="eastAsia" w:ascii="Times New Roman" w:hAnsi="Times New Roman"/>
          <w:color w:val="auto"/>
          <w:szCs w:val="21"/>
          <w:highlight w:val="none"/>
          <w:lang w:eastAsia="zh-CN"/>
        </w:rPr>
        <w:t>2</w:t>
      </w:r>
      <w:r>
        <w:rPr>
          <w:rFonts w:hint="eastAsia" w:ascii="宋体" w:hAnsi="宋体"/>
          <w:color w:val="auto"/>
          <w:szCs w:val="21"/>
          <w:highlight w:val="none"/>
        </w:rPr>
        <w:t>.</w:t>
      </w:r>
      <w:r>
        <w:rPr>
          <w:rFonts w:hint="eastAsia" w:ascii="Times New Roman" w:hAnsi="Times New Roman"/>
          <w:color w:val="auto"/>
          <w:szCs w:val="21"/>
          <w:highlight w:val="none"/>
          <w:lang w:eastAsia="zh-CN"/>
        </w:rPr>
        <w:t>2</w:t>
      </w:r>
      <w:r>
        <w:rPr>
          <w:rFonts w:hint="eastAsia" w:ascii="宋体" w:hAnsi="宋体"/>
          <w:color w:val="auto"/>
          <w:szCs w:val="21"/>
          <w:highlight w:val="none"/>
        </w:rPr>
        <w:t xml:space="preserve"> 满足本文件实质性条款的规定。</w:t>
      </w:r>
    </w:p>
    <w:p>
      <w:pPr>
        <w:spacing w:line="360" w:lineRule="auto"/>
        <w:rPr>
          <w:rFonts w:ascii="Arial" w:hAnsi="Arial" w:cs="宋体"/>
          <w:b/>
          <w:bCs/>
          <w:color w:val="auto"/>
          <w:kern w:val="0"/>
          <w:szCs w:val="21"/>
          <w:highlight w:val="none"/>
        </w:rPr>
      </w:pPr>
      <w:bookmarkStart w:id="55" w:name="_Toc16938522"/>
      <w:bookmarkStart w:id="56" w:name="_Toc513029206"/>
      <w:bookmarkStart w:id="57" w:name="_Toc20823278"/>
      <w:r>
        <w:rPr>
          <w:rFonts w:hint="eastAsia" w:ascii="Times New Roman" w:hAnsi="Times New Roman" w:cs="宋体"/>
          <w:b/>
          <w:bCs/>
          <w:color w:val="auto"/>
          <w:kern w:val="0"/>
          <w:szCs w:val="21"/>
          <w:highlight w:val="none"/>
          <w:lang w:eastAsia="zh-CN"/>
        </w:rPr>
        <w:t>3</w:t>
      </w:r>
      <w:r>
        <w:rPr>
          <w:rFonts w:hint="eastAsia" w:ascii="Arial" w:hAnsi="Arial" w:cs="宋体"/>
          <w:b/>
          <w:bCs/>
          <w:color w:val="auto"/>
          <w:kern w:val="0"/>
          <w:szCs w:val="21"/>
          <w:highlight w:val="none"/>
        </w:rPr>
        <w:t>、适用法律</w:t>
      </w:r>
      <w:bookmarkEnd w:id="55"/>
      <w:bookmarkEnd w:id="56"/>
      <w:bookmarkEnd w:id="57"/>
    </w:p>
    <w:p>
      <w:pPr>
        <w:spacing w:line="360" w:lineRule="auto"/>
        <w:ind w:firstLine="420" w:firstLineChars="200"/>
        <w:rPr>
          <w:rFonts w:ascii="宋体" w:hAnsi="宋体"/>
          <w:color w:val="auto"/>
          <w:szCs w:val="21"/>
          <w:highlight w:val="none"/>
        </w:rPr>
      </w:pPr>
      <w:r>
        <w:rPr>
          <w:rFonts w:hint="eastAsia" w:ascii="Times New Roman" w:hAnsi="Times New Roman"/>
          <w:color w:val="auto"/>
          <w:szCs w:val="21"/>
          <w:highlight w:val="none"/>
          <w:lang w:eastAsia="zh-CN"/>
        </w:rPr>
        <w:t>3</w:t>
      </w:r>
      <w:r>
        <w:rPr>
          <w:rFonts w:hint="eastAsia" w:ascii="宋体" w:hAnsi="宋体"/>
          <w:color w:val="auto"/>
          <w:szCs w:val="21"/>
          <w:highlight w:val="none"/>
        </w:rPr>
        <w:t>.</w:t>
      </w:r>
      <w:r>
        <w:rPr>
          <w:rFonts w:hint="eastAsia" w:ascii="Times New Roman" w:hAnsi="Times New Roman"/>
          <w:color w:val="auto"/>
          <w:szCs w:val="21"/>
          <w:highlight w:val="none"/>
          <w:lang w:eastAsia="zh-CN"/>
        </w:rPr>
        <w:t>1</w:t>
      </w:r>
      <w:r>
        <w:rPr>
          <w:rFonts w:hint="eastAsia" w:ascii="宋体" w:hAnsi="宋体"/>
          <w:color w:val="auto"/>
          <w:szCs w:val="21"/>
          <w:highlight w:val="none"/>
        </w:rPr>
        <w:t xml:space="preserve"> 本次采购及由此产生的合同受中华人民共和国有关的法律法规制约和保护。</w:t>
      </w:r>
    </w:p>
    <w:p>
      <w:pPr>
        <w:pStyle w:val="8"/>
        <w:tabs>
          <w:tab w:val="left" w:pos="0"/>
        </w:tabs>
        <w:spacing w:line="360" w:lineRule="auto"/>
        <w:rPr>
          <w:rFonts w:cs="宋体"/>
          <w:color w:val="auto"/>
          <w:sz w:val="21"/>
          <w:szCs w:val="21"/>
          <w:highlight w:val="none"/>
        </w:rPr>
      </w:pPr>
      <w:r>
        <w:rPr>
          <w:rFonts w:hint="eastAsia" w:ascii="Times New Roman" w:hAnsi="Times New Roman" w:cs="宋体"/>
          <w:color w:val="auto"/>
          <w:sz w:val="21"/>
          <w:szCs w:val="21"/>
          <w:highlight w:val="none"/>
          <w:lang w:eastAsia="zh-CN"/>
        </w:rPr>
        <w:t>4</w:t>
      </w:r>
      <w:r>
        <w:rPr>
          <w:rFonts w:hint="eastAsia" w:cs="宋体"/>
          <w:color w:val="auto"/>
          <w:sz w:val="21"/>
          <w:szCs w:val="21"/>
          <w:highlight w:val="none"/>
        </w:rPr>
        <w:t>、投标费用</w:t>
      </w:r>
    </w:p>
    <w:p>
      <w:pPr>
        <w:spacing w:line="360" w:lineRule="auto"/>
        <w:ind w:firstLine="420" w:firstLineChars="200"/>
        <w:rPr>
          <w:rFonts w:ascii="宋体" w:hAnsi="宋体"/>
          <w:color w:val="auto"/>
          <w:szCs w:val="21"/>
          <w:highlight w:val="none"/>
        </w:rPr>
      </w:pPr>
      <w:r>
        <w:rPr>
          <w:rFonts w:hint="eastAsia" w:ascii="Times New Roman" w:hAnsi="Times New Roman"/>
          <w:bCs/>
          <w:color w:val="auto"/>
          <w:szCs w:val="21"/>
          <w:highlight w:val="none"/>
          <w:lang w:eastAsia="zh-CN"/>
        </w:rPr>
        <w:t>4</w:t>
      </w:r>
      <w:r>
        <w:rPr>
          <w:rFonts w:hint="eastAsia" w:ascii="宋体" w:hAnsi="宋体"/>
          <w:bCs/>
          <w:color w:val="auto"/>
          <w:szCs w:val="21"/>
          <w:highlight w:val="none"/>
        </w:rPr>
        <w:t>.</w:t>
      </w:r>
      <w:r>
        <w:rPr>
          <w:rFonts w:hint="eastAsia" w:ascii="Times New Roman" w:hAnsi="Times New Roman"/>
          <w:bCs/>
          <w:color w:val="auto"/>
          <w:szCs w:val="21"/>
          <w:highlight w:val="none"/>
          <w:lang w:eastAsia="zh-CN"/>
        </w:rPr>
        <w:t>1</w:t>
      </w:r>
      <w:r>
        <w:rPr>
          <w:rFonts w:hint="eastAsia" w:ascii="宋体" w:hAnsi="宋体"/>
          <w:color w:val="auto"/>
          <w:szCs w:val="21"/>
          <w:highlight w:val="none"/>
        </w:rPr>
        <w:t xml:space="preserve"> 投标人应自行承担所有与参加投标有关的费用，无论投标过程中的做法和结果如何，代理机构在任何情况下均无义务和责任承担这些费用。</w:t>
      </w:r>
    </w:p>
    <w:p>
      <w:pPr>
        <w:spacing w:line="360" w:lineRule="auto"/>
        <w:ind w:firstLine="420" w:firstLineChars="200"/>
        <w:rPr>
          <w:rFonts w:ascii="宋体" w:hAnsi="宋体"/>
          <w:color w:val="auto"/>
          <w:szCs w:val="21"/>
          <w:highlight w:val="none"/>
        </w:rPr>
      </w:pPr>
      <w:r>
        <w:rPr>
          <w:rFonts w:hint="eastAsia" w:ascii="Times New Roman" w:hAnsi="Times New Roman"/>
          <w:color w:val="auto"/>
          <w:szCs w:val="21"/>
          <w:highlight w:val="none"/>
          <w:lang w:eastAsia="zh-CN"/>
        </w:rPr>
        <w:t>4</w:t>
      </w:r>
      <w:r>
        <w:rPr>
          <w:rFonts w:hint="eastAsia" w:ascii="宋体" w:hAnsi="宋体"/>
          <w:color w:val="auto"/>
          <w:szCs w:val="21"/>
          <w:highlight w:val="none"/>
        </w:rPr>
        <w:t>.</w:t>
      </w:r>
      <w:r>
        <w:rPr>
          <w:rFonts w:hint="eastAsia" w:ascii="Times New Roman" w:hAnsi="Times New Roman"/>
          <w:color w:val="auto"/>
          <w:szCs w:val="21"/>
          <w:highlight w:val="none"/>
          <w:lang w:eastAsia="zh-CN"/>
        </w:rPr>
        <w:t>2</w:t>
      </w:r>
      <w:r>
        <w:rPr>
          <w:rFonts w:hint="eastAsia" w:ascii="宋体" w:hAnsi="宋体"/>
          <w:color w:val="auto"/>
          <w:szCs w:val="21"/>
          <w:highlight w:val="none"/>
        </w:rPr>
        <w:t>本次采购文件售价</w:t>
      </w:r>
      <w:r>
        <w:rPr>
          <w:rFonts w:hint="eastAsia" w:ascii="Times New Roman" w:hAnsi="Times New Roman"/>
          <w:color w:val="auto"/>
          <w:szCs w:val="21"/>
          <w:highlight w:val="none"/>
          <w:lang w:eastAsia="zh-CN"/>
        </w:rPr>
        <w:t>300</w:t>
      </w:r>
      <w:r>
        <w:rPr>
          <w:rFonts w:hint="eastAsia" w:ascii="宋体" w:hAnsi="宋体"/>
          <w:color w:val="auto"/>
          <w:szCs w:val="21"/>
          <w:highlight w:val="none"/>
        </w:rPr>
        <w:t>元，开标时缴纳，售后不退。</w:t>
      </w:r>
    </w:p>
    <w:p>
      <w:pPr>
        <w:spacing w:line="360" w:lineRule="auto"/>
        <w:ind w:firstLine="420" w:firstLineChars="200"/>
        <w:rPr>
          <w:rFonts w:hint="default" w:ascii="宋体" w:hAnsi="宋体" w:eastAsia="宋体"/>
          <w:color w:val="auto"/>
          <w:szCs w:val="21"/>
          <w:highlight w:val="none"/>
          <w:lang w:val="en-US" w:eastAsia="zh-CN"/>
        </w:rPr>
      </w:pPr>
      <w:r>
        <w:rPr>
          <w:rFonts w:hint="eastAsia" w:ascii="Times New Roman" w:hAnsi="Times New Roman"/>
          <w:color w:val="auto"/>
          <w:szCs w:val="21"/>
          <w:highlight w:val="none"/>
          <w:lang w:eastAsia="zh-CN"/>
        </w:rPr>
        <w:t>4</w:t>
      </w:r>
      <w:r>
        <w:rPr>
          <w:rFonts w:hint="eastAsia" w:ascii="宋体" w:hAnsi="宋体"/>
          <w:color w:val="auto"/>
          <w:szCs w:val="21"/>
          <w:highlight w:val="none"/>
        </w:rPr>
        <w:t>.</w:t>
      </w:r>
      <w:r>
        <w:rPr>
          <w:rFonts w:hint="eastAsia" w:ascii="Times New Roman" w:hAnsi="Times New Roman"/>
          <w:color w:val="auto"/>
          <w:szCs w:val="21"/>
          <w:highlight w:val="none"/>
          <w:lang w:eastAsia="zh-CN"/>
        </w:rPr>
        <w:t>3</w:t>
      </w:r>
      <w:r>
        <w:rPr>
          <w:rFonts w:hint="eastAsia" w:ascii="宋体" w:hAnsi="宋体" w:cs="宋体"/>
          <w:color w:val="auto"/>
          <w:szCs w:val="21"/>
          <w:highlight w:val="none"/>
        </w:rPr>
        <w:t>本项目代理服务费由</w:t>
      </w:r>
      <w:r>
        <w:rPr>
          <w:rFonts w:hint="eastAsia" w:ascii="宋体" w:hAnsi="宋体" w:cs="宋体"/>
          <w:color w:val="auto"/>
          <w:szCs w:val="21"/>
          <w:highlight w:val="none"/>
          <w:lang w:val="en-US" w:eastAsia="zh-CN"/>
        </w:rPr>
        <w:t>采购人支付。</w:t>
      </w:r>
    </w:p>
    <w:p>
      <w:pPr>
        <w:pStyle w:val="8"/>
        <w:tabs>
          <w:tab w:val="left" w:pos="0"/>
        </w:tabs>
        <w:spacing w:line="360" w:lineRule="auto"/>
        <w:rPr>
          <w:rFonts w:cs="宋体"/>
          <w:color w:val="auto"/>
          <w:sz w:val="21"/>
          <w:szCs w:val="21"/>
          <w:highlight w:val="none"/>
        </w:rPr>
      </w:pPr>
      <w:r>
        <w:rPr>
          <w:rFonts w:hint="eastAsia" w:ascii="Times New Roman" w:hAnsi="Times New Roman" w:cs="宋体"/>
          <w:color w:val="auto"/>
          <w:sz w:val="21"/>
          <w:szCs w:val="21"/>
          <w:highlight w:val="none"/>
          <w:lang w:eastAsia="zh-CN"/>
        </w:rPr>
        <w:t>5</w:t>
      </w:r>
      <w:r>
        <w:rPr>
          <w:rFonts w:hint="eastAsia" w:cs="宋体"/>
          <w:color w:val="auto"/>
          <w:sz w:val="21"/>
          <w:szCs w:val="21"/>
          <w:highlight w:val="none"/>
        </w:rPr>
        <w:t>、采购文件的约束力</w:t>
      </w:r>
    </w:p>
    <w:p>
      <w:pPr>
        <w:spacing w:line="360" w:lineRule="auto"/>
        <w:ind w:firstLine="420" w:firstLineChars="200"/>
        <w:rPr>
          <w:rFonts w:ascii="宋体" w:hAnsi="宋体"/>
          <w:bCs/>
          <w:color w:val="auto"/>
          <w:szCs w:val="21"/>
          <w:highlight w:val="none"/>
        </w:rPr>
      </w:pPr>
      <w:r>
        <w:rPr>
          <w:rFonts w:hint="eastAsia" w:ascii="Times New Roman" w:hAnsi="Times New Roman"/>
          <w:bCs/>
          <w:color w:val="auto"/>
          <w:szCs w:val="21"/>
          <w:highlight w:val="none"/>
          <w:lang w:eastAsia="zh-CN"/>
        </w:rPr>
        <w:t>5</w:t>
      </w:r>
      <w:r>
        <w:rPr>
          <w:rFonts w:hint="eastAsia" w:ascii="宋体" w:hAnsi="宋体"/>
          <w:bCs/>
          <w:color w:val="auto"/>
          <w:szCs w:val="21"/>
          <w:highlight w:val="none"/>
        </w:rPr>
        <w:t>.</w:t>
      </w:r>
      <w:r>
        <w:rPr>
          <w:rFonts w:hint="eastAsia" w:ascii="Times New Roman" w:hAnsi="Times New Roman"/>
          <w:bCs/>
          <w:color w:val="auto"/>
          <w:szCs w:val="21"/>
          <w:highlight w:val="none"/>
          <w:lang w:eastAsia="zh-CN"/>
        </w:rPr>
        <w:t>1</w:t>
      </w:r>
      <w:r>
        <w:rPr>
          <w:rFonts w:hint="eastAsia" w:ascii="宋体" w:hAnsi="宋体"/>
          <w:color w:val="auto"/>
          <w:szCs w:val="21"/>
          <w:highlight w:val="none"/>
        </w:rPr>
        <w:t xml:space="preserve"> 投标人一旦参加本项目采购活动，即被认为接受了本采购文件的规定和约束。</w:t>
      </w:r>
    </w:p>
    <w:p>
      <w:pPr>
        <w:pStyle w:val="8"/>
        <w:tabs>
          <w:tab w:val="left" w:pos="0"/>
        </w:tabs>
        <w:spacing w:line="360" w:lineRule="auto"/>
        <w:rPr>
          <w:rFonts w:cs="宋体"/>
          <w:color w:val="auto"/>
          <w:sz w:val="21"/>
          <w:szCs w:val="21"/>
          <w:highlight w:val="none"/>
        </w:rPr>
      </w:pPr>
      <w:bookmarkStart w:id="58" w:name="_Toc20823282"/>
      <w:bookmarkStart w:id="59" w:name="_Toc16938526"/>
      <w:bookmarkStart w:id="60" w:name="_Toc513029210"/>
      <w:r>
        <w:rPr>
          <w:rFonts w:hint="eastAsia" w:ascii="Times New Roman" w:hAnsi="Times New Roman" w:cs="宋体"/>
          <w:color w:val="auto"/>
          <w:sz w:val="21"/>
          <w:szCs w:val="21"/>
          <w:highlight w:val="none"/>
          <w:lang w:eastAsia="zh-CN"/>
        </w:rPr>
        <w:t>6</w:t>
      </w:r>
      <w:r>
        <w:rPr>
          <w:rFonts w:hint="eastAsia" w:cs="宋体"/>
          <w:color w:val="auto"/>
          <w:sz w:val="21"/>
          <w:szCs w:val="21"/>
          <w:highlight w:val="none"/>
        </w:rPr>
        <w:t>、采购文件构成</w:t>
      </w:r>
      <w:bookmarkEnd w:id="58"/>
      <w:bookmarkEnd w:id="59"/>
      <w:bookmarkEnd w:id="60"/>
    </w:p>
    <w:p>
      <w:pPr>
        <w:spacing w:line="360" w:lineRule="auto"/>
        <w:ind w:firstLine="420" w:firstLineChars="200"/>
        <w:rPr>
          <w:rFonts w:ascii="宋体" w:hAnsi="宋体"/>
          <w:color w:val="auto"/>
          <w:szCs w:val="21"/>
          <w:highlight w:val="none"/>
        </w:rPr>
      </w:pPr>
      <w:r>
        <w:rPr>
          <w:rFonts w:hint="eastAsia" w:ascii="Times New Roman" w:hAnsi="Times New Roman"/>
          <w:bCs/>
          <w:color w:val="auto"/>
          <w:szCs w:val="21"/>
          <w:highlight w:val="none"/>
          <w:lang w:eastAsia="zh-CN"/>
        </w:rPr>
        <w:t>6</w:t>
      </w:r>
      <w:r>
        <w:rPr>
          <w:rFonts w:hint="eastAsia" w:ascii="宋体" w:hAnsi="宋体"/>
          <w:bCs/>
          <w:color w:val="auto"/>
          <w:szCs w:val="21"/>
          <w:highlight w:val="none"/>
        </w:rPr>
        <w:t>.</w:t>
      </w:r>
      <w:r>
        <w:rPr>
          <w:rFonts w:hint="eastAsia" w:ascii="Times New Roman" w:hAnsi="Times New Roman"/>
          <w:bCs/>
          <w:color w:val="auto"/>
          <w:szCs w:val="21"/>
          <w:highlight w:val="none"/>
          <w:lang w:eastAsia="zh-CN"/>
        </w:rPr>
        <w:t>1</w:t>
      </w:r>
      <w:r>
        <w:rPr>
          <w:rFonts w:hint="eastAsia" w:ascii="宋体" w:hAnsi="宋体"/>
          <w:color w:val="auto"/>
          <w:szCs w:val="21"/>
          <w:highlight w:val="none"/>
        </w:rPr>
        <w:t xml:space="preserve"> 采购文件有以下部分组成：</w:t>
      </w:r>
    </w:p>
    <w:p>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w:t>
      </w:r>
      <w:r>
        <w:rPr>
          <w:rFonts w:hint="eastAsia" w:ascii="Times New Roman" w:hAnsi="Times New Roman"/>
          <w:color w:val="auto"/>
          <w:szCs w:val="21"/>
          <w:highlight w:val="none"/>
          <w:lang w:eastAsia="zh-CN"/>
        </w:rPr>
        <w:t>1</w:t>
      </w:r>
      <w:r>
        <w:rPr>
          <w:rFonts w:hint="eastAsia" w:ascii="宋体" w:hAnsi="宋体"/>
          <w:color w:val="auto"/>
          <w:szCs w:val="21"/>
          <w:highlight w:val="none"/>
        </w:rPr>
        <w:t>）采购公告</w:t>
      </w:r>
    </w:p>
    <w:p>
      <w:pPr>
        <w:tabs>
          <w:tab w:val="left" w:pos="2580"/>
        </w:tabs>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w:t>
      </w:r>
      <w:r>
        <w:rPr>
          <w:rFonts w:hint="eastAsia" w:ascii="Times New Roman" w:hAnsi="Times New Roman"/>
          <w:color w:val="auto"/>
          <w:szCs w:val="21"/>
          <w:highlight w:val="none"/>
          <w:lang w:eastAsia="zh-CN"/>
        </w:rPr>
        <w:t>2</w:t>
      </w:r>
      <w:r>
        <w:rPr>
          <w:rFonts w:hint="eastAsia" w:ascii="宋体" w:hAnsi="宋体"/>
          <w:color w:val="auto"/>
          <w:szCs w:val="21"/>
          <w:highlight w:val="none"/>
        </w:rPr>
        <w:t>）投标人须知</w:t>
      </w:r>
      <w:r>
        <w:rPr>
          <w:rFonts w:hint="eastAsia" w:ascii="宋体" w:hAnsi="宋体"/>
          <w:color w:val="auto"/>
          <w:szCs w:val="21"/>
          <w:highlight w:val="none"/>
        </w:rPr>
        <w:tab/>
      </w:r>
    </w:p>
    <w:p>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w:t>
      </w:r>
      <w:r>
        <w:rPr>
          <w:rFonts w:hint="eastAsia" w:ascii="Times New Roman" w:hAnsi="Times New Roman"/>
          <w:color w:val="auto"/>
          <w:szCs w:val="21"/>
          <w:highlight w:val="none"/>
          <w:lang w:eastAsia="zh-CN"/>
        </w:rPr>
        <w:t>3</w:t>
      </w:r>
      <w:r>
        <w:rPr>
          <w:rFonts w:hint="eastAsia" w:ascii="宋体" w:hAnsi="宋体"/>
          <w:color w:val="auto"/>
          <w:szCs w:val="21"/>
          <w:highlight w:val="none"/>
        </w:rPr>
        <w:t>）合同条款及格式</w:t>
      </w:r>
    </w:p>
    <w:p>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w:t>
      </w:r>
      <w:r>
        <w:rPr>
          <w:rFonts w:hint="eastAsia" w:ascii="Times New Roman" w:hAnsi="Times New Roman"/>
          <w:color w:val="auto"/>
          <w:szCs w:val="21"/>
          <w:highlight w:val="none"/>
          <w:lang w:eastAsia="zh-CN"/>
        </w:rPr>
        <w:t>4</w:t>
      </w:r>
      <w:r>
        <w:rPr>
          <w:rFonts w:hint="eastAsia" w:ascii="宋体" w:hAnsi="宋体"/>
          <w:color w:val="auto"/>
          <w:szCs w:val="21"/>
          <w:highlight w:val="none"/>
        </w:rPr>
        <w:t>）项目需求</w:t>
      </w:r>
    </w:p>
    <w:p>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w:t>
      </w:r>
      <w:r>
        <w:rPr>
          <w:rFonts w:hint="eastAsia" w:ascii="Times New Roman" w:hAnsi="Times New Roman"/>
          <w:color w:val="auto"/>
          <w:szCs w:val="21"/>
          <w:highlight w:val="none"/>
          <w:lang w:eastAsia="zh-CN"/>
        </w:rPr>
        <w:t>5</w:t>
      </w:r>
      <w:r>
        <w:rPr>
          <w:rFonts w:hint="eastAsia" w:ascii="宋体" w:hAnsi="宋体"/>
          <w:color w:val="auto"/>
          <w:szCs w:val="21"/>
          <w:highlight w:val="none"/>
        </w:rPr>
        <w:t>）评</w:t>
      </w:r>
      <w:r>
        <w:rPr>
          <w:rFonts w:hint="eastAsia" w:ascii="宋体" w:hAnsi="宋体"/>
          <w:color w:val="auto"/>
          <w:szCs w:val="21"/>
          <w:highlight w:val="none"/>
          <w:lang w:val="en-US" w:eastAsia="zh-CN"/>
        </w:rPr>
        <w:t>审</w:t>
      </w:r>
      <w:r>
        <w:rPr>
          <w:rFonts w:hint="eastAsia" w:ascii="宋体" w:hAnsi="宋体"/>
          <w:color w:val="auto"/>
          <w:szCs w:val="21"/>
          <w:highlight w:val="none"/>
        </w:rPr>
        <w:t>方法与评</w:t>
      </w:r>
      <w:r>
        <w:rPr>
          <w:rFonts w:hint="eastAsia" w:ascii="宋体" w:hAnsi="宋体"/>
          <w:color w:val="auto"/>
          <w:szCs w:val="21"/>
          <w:highlight w:val="none"/>
          <w:lang w:val="en-US" w:eastAsia="zh-CN"/>
        </w:rPr>
        <w:t>审</w:t>
      </w:r>
      <w:r>
        <w:rPr>
          <w:rFonts w:hint="eastAsia" w:ascii="宋体" w:hAnsi="宋体"/>
          <w:color w:val="auto"/>
          <w:szCs w:val="21"/>
          <w:highlight w:val="none"/>
        </w:rPr>
        <w:t>标准</w:t>
      </w:r>
    </w:p>
    <w:p>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w:t>
      </w:r>
      <w:r>
        <w:rPr>
          <w:rFonts w:hint="eastAsia" w:ascii="Times New Roman" w:hAnsi="Times New Roman"/>
          <w:color w:val="auto"/>
          <w:szCs w:val="21"/>
          <w:highlight w:val="none"/>
          <w:lang w:eastAsia="zh-CN"/>
        </w:rPr>
        <w:t>6</w:t>
      </w:r>
      <w:r>
        <w:rPr>
          <w:rFonts w:hint="eastAsia" w:ascii="宋体" w:hAnsi="宋体"/>
          <w:color w:val="auto"/>
          <w:szCs w:val="21"/>
          <w:highlight w:val="none"/>
        </w:rPr>
        <w:t>）投标文件格式</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请仔细检查采购文件是否齐全，如有缺漏请立即与代理机构联系解决。</w:t>
      </w:r>
    </w:p>
    <w:p>
      <w:pPr>
        <w:spacing w:line="360" w:lineRule="auto"/>
        <w:ind w:firstLine="420" w:firstLineChars="200"/>
        <w:rPr>
          <w:rFonts w:ascii="宋体" w:hAnsi="宋体"/>
          <w:bCs/>
          <w:color w:val="auto"/>
          <w:szCs w:val="21"/>
          <w:highlight w:val="none"/>
        </w:rPr>
      </w:pPr>
      <w:r>
        <w:rPr>
          <w:rFonts w:hint="eastAsia" w:ascii="Times New Roman" w:hAnsi="Times New Roman"/>
          <w:bCs/>
          <w:color w:val="auto"/>
          <w:szCs w:val="21"/>
          <w:highlight w:val="none"/>
          <w:lang w:eastAsia="zh-CN"/>
        </w:rPr>
        <w:t>6</w:t>
      </w:r>
      <w:r>
        <w:rPr>
          <w:rFonts w:hint="eastAsia" w:ascii="宋体" w:hAnsi="宋体"/>
          <w:bCs/>
          <w:color w:val="auto"/>
          <w:szCs w:val="21"/>
          <w:highlight w:val="none"/>
        </w:rPr>
        <w:t>.</w:t>
      </w:r>
      <w:r>
        <w:rPr>
          <w:rFonts w:hint="eastAsia" w:ascii="Times New Roman" w:hAnsi="Times New Roman"/>
          <w:bCs/>
          <w:color w:val="auto"/>
          <w:szCs w:val="21"/>
          <w:highlight w:val="none"/>
          <w:lang w:eastAsia="zh-CN"/>
        </w:rPr>
        <w:t>2</w:t>
      </w:r>
      <w:r>
        <w:rPr>
          <w:rFonts w:hint="eastAsia" w:ascii="宋体" w:hAnsi="宋体"/>
          <w:bCs/>
          <w:color w:val="auto"/>
          <w:szCs w:val="21"/>
          <w:highlight w:val="none"/>
        </w:rPr>
        <w:t xml:space="preserve"> 采购的最小单位是包。采购服务数量及技术要求中未分包的，投标人对要求提供的服务不得部分投标；采购服务数量及技术要求中已经分包的，应当以包为单位投标。</w:t>
      </w:r>
    </w:p>
    <w:p>
      <w:pPr>
        <w:spacing w:line="360" w:lineRule="auto"/>
        <w:ind w:firstLine="420" w:firstLineChars="200"/>
        <w:rPr>
          <w:rFonts w:ascii="宋体" w:hAnsi="宋体"/>
          <w:bCs/>
          <w:color w:val="auto"/>
          <w:szCs w:val="21"/>
          <w:highlight w:val="none"/>
        </w:rPr>
      </w:pPr>
      <w:r>
        <w:rPr>
          <w:rFonts w:hint="eastAsia" w:ascii="Times New Roman" w:hAnsi="Times New Roman"/>
          <w:bCs/>
          <w:color w:val="auto"/>
          <w:szCs w:val="21"/>
          <w:highlight w:val="none"/>
          <w:lang w:eastAsia="zh-CN"/>
        </w:rPr>
        <w:t>6</w:t>
      </w:r>
      <w:r>
        <w:rPr>
          <w:rFonts w:hint="eastAsia" w:ascii="宋体" w:hAnsi="宋体"/>
          <w:bCs/>
          <w:color w:val="auto"/>
          <w:szCs w:val="21"/>
          <w:highlight w:val="none"/>
        </w:rPr>
        <w:t>.</w:t>
      </w:r>
      <w:r>
        <w:rPr>
          <w:rFonts w:hint="eastAsia" w:ascii="Times New Roman" w:hAnsi="Times New Roman"/>
          <w:bCs/>
          <w:color w:val="auto"/>
          <w:szCs w:val="21"/>
          <w:highlight w:val="none"/>
          <w:lang w:eastAsia="zh-CN"/>
        </w:rPr>
        <w:t>3</w:t>
      </w:r>
      <w:r>
        <w:rPr>
          <w:rFonts w:hint="eastAsia" w:ascii="宋体" w:hAnsi="宋体"/>
          <w:bCs/>
          <w:color w:val="auto"/>
          <w:szCs w:val="21"/>
          <w:highlight w:val="none"/>
        </w:rPr>
        <w:t xml:space="preserve"> 采购文件如果要求投标人提交备选投标方案的，投标人可以提交备选方案；否则，备选方案将被拒绝。</w:t>
      </w:r>
    </w:p>
    <w:p>
      <w:pPr>
        <w:spacing w:line="360" w:lineRule="auto"/>
        <w:ind w:firstLine="420" w:firstLineChars="200"/>
        <w:rPr>
          <w:rFonts w:ascii="宋体" w:hAnsi="宋体"/>
          <w:color w:val="auto"/>
          <w:szCs w:val="21"/>
          <w:highlight w:val="none"/>
        </w:rPr>
      </w:pPr>
      <w:r>
        <w:rPr>
          <w:rFonts w:hint="eastAsia" w:ascii="Times New Roman" w:hAnsi="Times New Roman"/>
          <w:bCs/>
          <w:color w:val="auto"/>
          <w:szCs w:val="21"/>
          <w:highlight w:val="none"/>
          <w:lang w:eastAsia="zh-CN"/>
        </w:rPr>
        <w:t>6</w:t>
      </w:r>
      <w:r>
        <w:rPr>
          <w:rFonts w:hint="eastAsia" w:ascii="宋体" w:hAnsi="宋体"/>
          <w:bCs/>
          <w:color w:val="auto"/>
          <w:szCs w:val="21"/>
          <w:highlight w:val="none"/>
        </w:rPr>
        <w:t>.</w:t>
      </w:r>
      <w:r>
        <w:rPr>
          <w:rFonts w:hint="eastAsia" w:ascii="Times New Roman" w:hAnsi="Times New Roman"/>
          <w:bCs/>
          <w:color w:val="auto"/>
          <w:szCs w:val="21"/>
          <w:highlight w:val="none"/>
          <w:lang w:eastAsia="zh-CN"/>
        </w:rPr>
        <w:t>4</w:t>
      </w:r>
      <w:r>
        <w:rPr>
          <w:rFonts w:hint="eastAsia" w:ascii="宋体" w:hAnsi="宋体"/>
          <w:color w:val="auto"/>
          <w:szCs w:val="21"/>
          <w:highlight w:val="none"/>
        </w:rPr>
        <w:t xml:space="preserve"> 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pPr>
        <w:pStyle w:val="8"/>
        <w:tabs>
          <w:tab w:val="left" w:pos="0"/>
        </w:tabs>
        <w:spacing w:line="360" w:lineRule="auto"/>
        <w:rPr>
          <w:rFonts w:cs="宋体"/>
          <w:color w:val="auto"/>
          <w:sz w:val="21"/>
          <w:szCs w:val="21"/>
          <w:highlight w:val="none"/>
        </w:rPr>
      </w:pPr>
      <w:bookmarkStart w:id="61" w:name="_Toc513029211"/>
      <w:bookmarkStart w:id="62" w:name="_Toc20823283"/>
      <w:bookmarkStart w:id="63" w:name="_Toc462564070"/>
      <w:bookmarkStart w:id="64" w:name="_Toc16938527"/>
      <w:r>
        <w:rPr>
          <w:rFonts w:hint="eastAsia" w:ascii="Times New Roman" w:hAnsi="Times New Roman" w:cs="宋体"/>
          <w:color w:val="auto"/>
          <w:sz w:val="21"/>
          <w:szCs w:val="21"/>
          <w:highlight w:val="none"/>
          <w:lang w:eastAsia="zh-CN"/>
        </w:rPr>
        <w:t>7</w:t>
      </w:r>
      <w:r>
        <w:rPr>
          <w:rFonts w:hint="eastAsia" w:cs="宋体"/>
          <w:color w:val="auto"/>
          <w:sz w:val="21"/>
          <w:szCs w:val="21"/>
          <w:highlight w:val="none"/>
        </w:rPr>
        <w:t>、采购文件的</w:t>
      </w:r>
      <w:bookmarkEnd w:id="61"/>
      <w:bookmarkEnd w:id="62"/>
      <w:bookmarkEnd w:id="63"/>
      <w:bookmarkEnd w:id="64"/>
      <w:r>
        <w:rPr>
          <w:rFonts w:hint="eastAsia" w:cs="宋体"/>
          <w:color w:val="auto"/>
          <w:sz w:val="21"/>
          <w:szCs w:val="21"/>
          <w:highlight w:val="none"/>
        </w:rPr>
        <w:t>澄清</w:t>
      </w:r>
    </w:p>
    <w:p>
      <w:pPr>
        <w:spacing w:line="360" w:lineRule="auto"/>
        <w:ind w:firstLine="420" w:firstLineChars="200"/>
        <w:rPr>
          <w:rFonts w:ascii="宋体" w:hAnsi="宋体"/>
          <w:color w:val="auto"/>
          <w:szCs w:val="21"/>
          <w:highlight w:val="none"/>
        </w:rPr>
      </w:pPr>
      <w:r>
        <w:rPr>
          <w:rFonts w:hint="eastAsia" w:ascii="Times New Roman" w:hAnsi="Times New Roman"/>
          <w:color w:val="auto"/>
          <w:szCs w:val="21"/>
          <w:highlight w:val="none"/>
          <w:lang w:eastAsia="zh-CN"/>
        </w:rPr>
        <w:t>7</w:t>
      </w:r>
      <w:r>
        <w:rPr>
          <w:rFonts w:hint="eastAsia" w:ascii="宋体" w:hAnsi="宋体"/>
          <w:color w:val="auto"/>
          <w:szCs w:val="21"/>
          <w:highlight w:val="none"/>
        </w:rPr>
        <w:t>.</w:t>
      </w:r>
      <w:r>
        <w:rPr>
          <w:rFonts w:hint="eastAsia" w:ascii="Times New Roman" w:hAnsi="Times New Roman"/>
          <w:color w:val="auto"/>
          <w:szCs w:val="21"/>
          <w:highlight w:val="none"/>
          <w:lang w:eastAsia="zh-CN"/>
        </w:rPr>
        <w:t>1</w:t>
      </w:r>
      <w:r>
        <w:rPr>
          <w:rFonts w:hint="eastAsia" w:ascii="宋体" w:hAnsi="宋体"/>
          <w:color w:val="auto"/>
          <w:szCs w:val="21"/>
          <w:highlight w:val="none"/>
        </w:rPr>
        <w:t xml:space="preserve"> 任何要求对采购文件进行澄清的投标人，应在投标截止日期的十日前按投标邀请中的通讯地址，以书面形式通知代理机构。</w:t>
      </w:r>
    </w:p>
    <w:p>
      <w:pPr>
        <w:pStyle w:val="8"/>
        <w:tabs>
          <w:tab w:val="left" w:pos="0"/>
        </w:tabs>
        <w:spacing w:line="360" w:lineRule="auto"/>
        <w:rPr>
          <w:rFonts w:cs="宋体"/>
          <w:color w:val="auto"/>
          <w:sz w:val="21"/>
          <w:szCs w:val="21"/>
          <w:highlight w:val="none"/>
        </w:rPr>
      </w:pPr>
      <w:bookmarkStart w:id="65" w:name="_Toc513029212"/>
      <w:bookmarkStart w:id="66" w:name="_Toc16938528"/>
      <w:bookmarkStart w:id="67" w:name="_Toc20823284"/>
      <w:bookmarkStart w:id="68" w:name="_Toc462564071"/>
      <w:r>
        <w:rPr>
          <w:rFonts w:hint="eastAsia" w:ascii="Times New Roman" w:hAnsi="Times New Roman" w:cs="宋体"/>
          <w:color w:val="auto"/>
          <w:sz w:val="21"/>
          <w:szCs w:val="21"/>
          <w:highlight w:val="none"/>
          <w:lang w:eastAsia="zh-CN"/>
        </w:rPr>
        <w:t>8</w:t>
      </w:r>
      <w:r>
        <w:rPr>
          <w:rFonts w:hint="eastAsia" w:cs="宋体"/>
          <w:color w:val="auto"/>
          <w:sz w:val="21"/>
          <w:szCs w:val="21"/>
          <w:highlight w:val="none"/>
        </w:rPr>
        <w:t>、采购文件的修改</w:t>
      </w:r>
      <w:bookmarkEnd w:id="65"/>
      <w:bookmarkEnd w:id="66"/>
      <w:bookmarkEnd w:id="67"/>
      <w:bookmarkEnd w:id="68"/>
    </w:p>
    <w:p>
      <w:pPr>
        <w:spacing w:line="360" w:lineRule="auto"/>
        <w:ind w:firstLine="420" w:firstLineChars="200"/>
        <w:rPr>
          <w:rFonts w:ascii="宋体" w:hAnsi="宋体"/>
          <w:color w:val="auto"/>
          <w:szCs w:val="21"/>
          <w:highlight w:val="none"/>
        </w:rPr>
      </w:pPr>
      <w:r>
        <w:rPr>
          <w:rFonts w:hint="eastAsia" w:ascii="Times New Roman" w:hAnsi="Times New Roman"/>
          <w:bCs/>
          <w:color w:val="auto"/>
          <w:szCs w:val="21"/>
          <w:highlight w:val="none"/>
          <w:lang w:eastAsia="zh-CN"/>
        </w:rPr>
        <w:t>8</w:t>
      </w:r>
      <w:r>
        <w:rPr>
          <w:rFonts w:hint="eastAsia" w:ascii="宋体" w:hAnsi="宋体"/>
          <w:bCs/>
          <w:color w:val="auto"/>
          <w:szCs w:val="21"/>
          <w:highlight w:val="none"/>
        </w:rPr>
        <w:t>.</w:t>
      </w:r>
      <w:r>
        <w:rPr>
          <w:rFonts w:hint="eastAsia" w:ascii="Times New Roman" w:hAnsi="Times New Roman"/>
          <w:bCs/>
          <w:color w:val="auto"/>
          <w:szCs w:val="21"/>
          <w:highlight w:val="none"/>
          <w:lang w:eastAsia="zh-CN"/>
        </w:rPr>
        <w:t>1</w:t>
      </w:r>
      <w:r>
        <w:rPr>
          <w:rFonts w:hint="eastAsia" w:ascii="宋体" w:hAnsi="宋体"/>
          <w:color w:val="auto"/>
          <w:szCs w:val="21"/>
          <w:highlight w:val="none"/>
        </w:rPr>
        <w:t xml:space="preserve"> 在投标截止时间前，代理机构可以对采购文件进行修改。</w:t>
      </w:r>
    </w:p>
    <w:p>
      <w:pPr>
        <w:spacing w:line="360" w:lineRule="auto"/>
        <w:ind w:firstLine="420" w:firstLineChars="200"/>
        <w:rPr>
          <w:rFonts w:ascii="宋体" w:hAnsi="宋体"/>
          <w:bCs/>
          <w:color w:val="auto"/>
          <w:szCs w:val="21"/>
          <w:highlight w:val="none"/>
        </w:rPr>
      </w:pPr>
      <w:r>
        <w:rPr>
          <w:rFonts w:hint="eastAsia" w:ascii="Times New Roman" w:hAnsi="Times New Roman"/>
          <w:bCs/>
          <w:color w:val="auto"/>
          <w:szCs w:val="21"/>
          <w:highlight w:val="none"/>
          <w:lang w:eastAsia="zh-CN"/>
        </w:rPr>
        <w:t>8</w:t>
      </w:r>
      <w:r>
        <w:rPr>
          <w:rFonts w:hint="eastAsia" w:ascii="宋体" w:hAnsi="宋体"/>
          <w:bCs/>
          <w:color w:val="auto"/>
          <w:szCs w:val="21"/>
          <w:highlight w:val="none"/>
        </w:rPr>
        <w:t>.</w:t>
      </w:r>
      <w:r>
        <w:rPr>
          <w:rFonts w:hint="eastAsia" w:ascii="Times New Roman" w:hAnsi="Times New Roman"/>
          <w:bCs/>
          <w:color w:val="auto"/>
          <w:szCs w:val="21"/>
          <w:highlight w:val="none"/>
          <w:lang w:eastAsia="zh-CN"/>
        </w:rPr>
        <w:t>2</w:t>
      </w:r>
      <w:r>
        <w:rPr>
          <w:rFonts w:hint="eastAsia" w:ascii="宋体" w:hAnsi="宋体"/>
          <w:bCs/>
          <w:color w:val="auto"/>
          <w:szCs w:val="21"/>
          <w:highlight w:val="none"/>
        </w:rPr>
        <w:t>代理机构在采购文件要求提交投标文件截止时间前，有权决定延长投标截止时间和开标时间，并在原采购信息发布媒体上发布变更公告。</w:t>
      </w:r>
    </w:p>
    <w:p>
      <w:pPr>
        <w:spacing w:line="360" w:lineRule="auto"/>
        <w:ind w:firstLine="420" w:firstLineChars="200"/>
        <w:rPr>
          <w:rFonts w:ascii="宋体" w:hAnsi="宋体"/>
          <w:color w:val="auto"/>
          <w:szCs w:val="21"/>
          <w:highlight w:val="none"/>
        </w:rPr>
      </w:pPr>
      <w:r>
        <w:rPr>
          <w:rFonts w:hint="eastAsia" w:ascii="Times New Roman" w:hAnsi="Times New Roman"/>
          <w:bCs/>
          <w:color w:val="auto"/>
          <w:szCs w:val="21"/>
          <w:highlight w:val="none"/>
          <w:lang w:eastAsia="zh-CN"/>
        </w:rPr>
        <w:t>8</w:t>
      </w:r>
      <w:r>
        <w:rPr>
          <w:rFonts w:hint="eastAsia" w:ascii="宋体" w:hAnsi="宋体"/>
          <w:bCs/>
          <w:color w:val="auto"/>
          <w:szCs w:val="21"/>
          <w:highlight w:val="none"/>
        </w:rPr>
        <w:t>.</w:t>
      </w:r>
      <w:r>
        <w:rPr>
          <w:rFonts w:hint="eastAsia" w:ascii="Times New Roman" w:hAnsi="Times New Roman"/>
          <w:bCs/>
          <w:color w:val="auto"/>
          <w:szCs w:val="21"/>
          <w:highlight w:val="none"/>
          <w:lang w:eastAsia="zh-CN"/>
        </w:rPr>
        <w:t>3</w:t>
      </w:r>
      <w:r>
        <w:rPr>
          <w:rFonts w:hint="eastAsia" w:ascii="宋体" w:hAnsi="宋体"/>
          <w:color w:val="auto"/>
          <w:szCs w:val="21"/>
          <w:highlight w:val="none"/>
        </w:rPr>
        <w:t>采购文件的修改将在“</w:t>
      </w:r>
      <w:r>
        <w:rPr>
          <w:rFonts w:hint="eastAsia" w:ascii="宋体" w:hAnsi="宋体"/>
          <w:color w:val="auto"/>
          <w:szCs w:val="21"/>
          <w:highlight w:val="none"/>
          <w:lang w:val="en-US" w:eastAsia="zh-CN"/>
        </w:rPr>
        <w:t>中国政府采购网</w:t>
      </w:r>
      <w:r>
        <w:rPr>
          <w:rFonts w:hint="eastAsia" w:ascii="宋体" w:hAnsi="宋体"/>
          <w:color w:val="auto"/>
          <w:szCs w:val="21"/>
          <w:highlight w:val="none"/>
        </w:rPr>
        <w:t>”</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扬州市邗江城市建设发展有限公司</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扬州维扬发展投资有限公司</w:t>
      </w:r>
      <w:r>
        <w:rPr>
          <w:rFonts w:hint="eastAsia" w:ascii="宋体" w:hAnsi="宋体"/>
          <w:color w:val="auto"/>
          <w:szCs w:val="21"/>
          <w:highlight w:val="none"/>
          <w:lang w:eastAsia="zh-CN"/>
        </w:rPr>
        <w:t>”</w:t>
      </w:r>
      <w:r>
        <w:rPr>
          <w:rFonts w:hint="eastAsia" w:ascii="宋体" w:hAnsi="宋体"/>
          <w:color w:val="auto"/>
          <w:szCs w:val="21"/>
          <w:highlight w:val="none"/>
        </w:rPr>
        <w:t>公布，补充文件将作为采购文件的组成部分，并对投标人具有约束力。</w:t>
      </w:r>
    </w:p>
    <w:p>
      <w:pPr>
        <w:spacing w:line="360" w:lineRule="auto"/>
        <w:ind w:firstLine="420" w:firstLineChars="200"/>
        <w:rPr>
          <w:rFonts w:ascii="宋体" w:hAnsi="宋体"/>
          <w:color w:val="auto"/>
          <w:szCs w:val="21"/>
          <w:highlight w:val="none"/>
        </w:rPr>
      </w:pPr>
      <w:r>
        <w:rPr>
          <w:rFonts w:hint="eastAsia" w:ascii="Times New Roman" w:hAnsi="Times New Roman"/>
          <w:color w:val="auto"/>
          <w:szCs w:val="21"/>
          <w:highlight w:val="none"/>
          <w:lang w:eastAsia="zh-CN"/>
        </w:rPr>
        <w:t>8</w:t>
      </w:r>
      <w:r>
        <w:rPr>
          <w:rFonts w:hint="eastAsia" w:ascii="宋体" w:hAnsi="宋体"/>
          <w:color w:val="auto"/>
          <w:szCs w:val="21"/>
          <w:highlight w:val="none"/>
        </w:rPr>
        <w:t>.</w:t>
      </w:r>
      <w:r>
        <w:rPr>
          <w:rFonts w:hint="eastAsia" w:ascii="Times New Roman" w:hAnsi="Times New Roman"/>
          <w:color w:val="auto"/>
          <w:szCs w:val="21"/>
          <w:highlight w:val="none"/>
          <w:lang w:eastAsia="zh-CN"/>
        </w:rPr>
        <w:t>4</w:t>
      </w:r>
      <w:r>
        <w:rPr>
          <w:rFonts w:hint="eastAsia" w:ascii="宋体" w:hAnsi="宋体"/>
          <w:color w:val="auto"/>
          <w:szCs w:val="21"/>
          <w:highlight w:val="none"/>
        </w:rPr>
        <w:t>投标人应在投标截止时间前关注原采购信息发布媒体上有关本采购项目有无变更公告。</w:t>
      </w:r>
    </w:p>
    <w:p>
      <w:pPr>
        <w:pStyle w:val="8"/>
        <w:tabs>
          <w:tab w:val="left" w:pos="0"/>
        </w:tabs>
        <w:spacing w:line="360" w:lineRule="auto"/>
        <w:rPr>
          <w:rFonts w:cs="宋体"/>
          <w:color w:val="auto"/>
          <w:sz w:val="21"/>
          <w:szCs w:val="21"/>
          <w:highlight w:val="none"/>
        </w:rPr>
      </w:pPr>
      <w:bookmarkStart w:id="69" w:name="_Toc20823286"/>
      <w:bookmarkStart w:id="70" w:name="_Toc462564073"/>
      <w:bookmarkStart w:id="71" w:name="_Toc16938530"/>
      <w:bookmarkStart w:id="72" w:name="_Toc513029214"/>
      <w:r>
        <w:rPr>
          <w:rFonts w:hint="eastAsia" w:ascii="Times New Roman" w:hAnsi="Times New Roman" w:cs="宋体"/>
          <w:color w:val="auto"/>
          <w:sz w:val="21"/>
          <w:szCs w:val="21"/>
          <w:highlight w:val="none"/>
          <w:lang w:eastAsia="zh-CN"/>
        </w:rPr>
        <w:t>9</w:t>
      </w:r>
      <w:r>
        <w:rPr>
          <w:rFonts w:hint="eastAsia" w:cs="宋体"/>
          <w:color w:val="auto"/>
          <w:sz w:val="21"/>
          <w:szCs w:val="21"/>
          <w:highlight w:val="none"/>
        </w:rPr>
        <w:t>、投标文件的语言、度量衡单位</w:t>
      </w:r>
      <w:bookmarkEnd w:id="69"/>
      <w:bookmarkEnd w:id="70"/>
      <w:bookmarkEnd w:id="71"/>
      <w:bookmarkEnd w:id="72"/>
      <w:r>
        <w:rPr>
          <w:rFonts w:hint="eastAsia" w:cs="宋体"/>
          <w:color w:val="auto"/>
          <w:sz w:val="21"/>
          <w:szCs w:val="21"/>
          <w:highlight w:val="none"/>
        </w:rPr>
        <w:t>、货币和编制</w:t>
      </w:r>
    </w:p>
    <w:p>
      <w:pPr>
        <w:spacing w:line="360" w:lineRule="auto"/>
        <w:ind w:firstLine="420" w:firstLineChars="200"/>
        <w:rPr>
          <w:rFonts w:ascii="宋体" w:hAnsi="宋体"/>
          <w:color w:val="auto"/>
          <w:szCs w:val="21"/>
          <w:highlight w:val="none"/>
        </w:rPr>
      </w:pPr>
      <w:r>
        <w:rPr>
          <w:rFonts w:hint="eastAsia" w:ascii="Times New Roman" w:hAnsi="Times New Roman"/>
          <w:bCs/>
          <w:color w:val="auto"/>
          <w:szCs w:val="21"/>
          <w:highlight w:val="none"/>
          <w:lang w:eastAsia="zh-CN"/>
        </w:rPr>
        <w:t>9</w:t>
      </w:r>
      <w:r>
        <w:rPr>
          <w:rFonts w:hint="eastAsia" w:ascii="宋体" w:hAnsi="宋体"/>
          <w:bCs/>
          <w:color w:val="auto"/>
          <w:szCs w:val="21"/>
          <w:highlight w:val="none"/>
        </w:rPr>
        <w:t>.</w:t>
      </w:r>
      <w:r>
        <w:rPr>
          <w:rFonts w:hint="eastAsia" w:ascii="Times New Roman" w:hAnsi="Times New Roman"/>
          <w:bCs/>
          <w:color w:val="auto"/>
          <w:szCs w:val="21"/>
          <w:highlight w:val="none"/>
          <w:lang w:eastAsia="zh-CN"/>
        </w:rPr>
        <w:t>1</w:t>
      </w:r>
      <w:r>
        <w:rPr>
          <w:rFonts w:hint="eastAsia" w:ascii="宋体" w:hAnsi="宋体"/>
          <w:color w:val="auto"/>
          <w:szCs w:val="21"/>
          <w:highlight w:val="none"/>
        </w:rPr>
        <w:t>投标人提交的投标文件、技术文件和资料，包括图纸中的说明，以及投标人与代理机构就有关投标的所有来往函、电、通知和文件均应使用中文。投标文件中若有英文或其他语言文字的资料，应提供相应的中文翻译资料。对不同文本投标文件的解释发生异议的，以中文文本为准。投标文件以及投标人与代理机构就有关投标的所有来往通知、函件和文件均应使用简体中文。</w:t>
      </w:r>
    </w:p>
    <w:p>
      <w:pPr>
        <w:spacing w:line="360" w:lineRule="auto"/>
        <w:ind w:firstLine="420" w:firstLineChars="200"/>
        <w:rPr>
          <w:rFonts w:ascii="宋体" w:hAnsi="宋体"/>
          <w:color w:val="auto"/>
          <w:szCs w:val="21"/>
          <w:highlight w:val="none"/>
        </w:rPr>
      </w:pPr>
      <w:r>
        <w:rPr>
          <w:rFonts w:hint="eastAsia" w:ascii="Times New Roman" w:hAnsi="Times New Roman"/>
          <w:bCs/>
          <w:color w:val="auto"/>
          <w:szCs w:val="21"/>
          <w:highlight w:val="none"/>
          <w:lang w:eastAsia="zh-CN"/>
        </w:rPr>
        <w:t>9</w:t>
      </w:r>
      <w:r>
        <w:rPr>
          <w:rFonts w:hint="eastAsia" w:ascii="宋体" w:hAnsi="宋体"/>
          <w:bCs/>
          <w:color w:val="auto"/>
          <w:szCs w:val="21"/>
          <w:highlight w:val="none"/>
        </w:rPr>
        <w:t>.</w:t>
      </w:r>
      <w:r>
        <w:rPr>
          <w:rFonts w:hint="eastAsia" w:ascii="Times New Roman" w:hAnsi="Times New Roman"/>
          <w:bCs/>
          <w:color w:val="auto"/>
          <w:szCs w:val="21"/>
          <w:highlight w:val="none"/>
          <w:lang w:eastAsia="zh-CN"/>
        </w:rPr>
        <w:t>2</w:t>
      </w:r>
      <w:r>
        <w:rPr>
          <w:rFonts w:hint="eastAsia" w:ascii="宋体" w:hAnsi="宋体"/>
          <w:color w:val="auto"/>
          <w:szCs w:val="21"/>
          <w:highlight w:val="none"/>
        </w:rPr>
        <w:t xml:space="preserve"> 除技术性能另有规定外，投标文件所使用的度量衡单位，均须采用国家法定计量单位。</w:t>
      </w:r>
    </w:p>
    <w:p>
      <w:pPr>
        <w:spacing w:line="360" w:lineRule="auto"/>
        <w:ind w:firstLine="420" w:firstLineChars="200"/>
        <w:rPr>
          <w:rFonts w:ascii="宋体" w:hAnsi="宋体"/>
          <w:color w:val="auto"/>
          <w:szCs w:val="21"/>
          <w:highlight w:val="none"/>
        </w:rPr>
      </w:pPr>
      <w:r>
        <w:rPr>
          <w:rFonts w:hint="eastAsia" w:ascii="Times New Roman" w:hAnsi="Times New Roman"/>
          <w:color w:val="auto"/>
          <w:szCs w:val="21"/>
          <w:highlight w:val="none"/>
          <w:lang w:eastAsia="zh-CN"/>
        </w:rPr>
        <w:t>9</w:t>
      </w:r>
      <w:r>
        <w:rPr>
          <w:rFonts w:hint="eastAsia" w:ascii="宋体" w:hAnsi="宋体"/>
          <w:color w:val="auto"/>
          <w:szCs w:val="21"/>
          <w:highlight w:val="none"/>
        </w:rPr>
        <w:t>.</w:t>
      </w:r>
      <w:r>
        <w:rPr>
          <w:rFonts w:hint="eastAsia" w:ascii="Times New Roman" w:hAnsi="Times New Roman"/>
          <w:color w:val="auto"/>
          <w:szCs w:val="21"/>
          <w:highlight w:val="none"/>
          <w:lang w:eastAsia="zh-CN"/>
        </w:rPr>
        <w:t>3</w:t>
      </w:r>
      <w:r>
        <w:rPr>
          <w:rFonts w:hint="eastAsia" w:ascii="宋体" w:hAnsi="宋体"/>
          <w:color w:val="auto"/>
          <w:szCs w:val="21"/>
          <w:highlight w:val="none"/>
        </w:rPr>
        <w:t>投标人应使用人民币报价。</w:t>
      </w:r>
    </w:p>
    <w:p>
      <w:pPr>
        <w:spacing w:line="360" w:lineRule="auto"/>
        <w:ind w:firstLine="420" w:firstLineChars="200"/>
        <w:rPr>
          <w:rFonts w:ascii="宋体" w:hAnsi="宋体"/>
          <w:color w:val="auto"/>
          <w:szCs w:val="21"/>
          <w:highlight w:val="none"/>
        </w:rPr>
      </w:pPr>
      <w:r>
        <w:rPr>
          <w:rFonts w:hint="eastAsia" w:ascii="Times New Roman" w:hAnsi="Times New Roman"/>
          <w:color w:val="auto"/>
          <w:szCs w:val="21"/>
          <w:highlight w:val="none"/>
          <w:lang w:eastAsia="zh-CN"/>
        </w:rPr>
        <w:t>9</w:t>
      </w:r>
      <w:r>
        <w:rPr>
          <w:rFonts w:hint="eastAsia" w:ascii="宋体" w:hAnsi="宋体"/>
          <w:color w:val="auto"/>
          <w:szCs w:val="21"/>
          <w:highlight w:val="none"/>
        </w:rPr>
        <w:t>.</w:t>
      </w:r>
      <w:r>
        <w:rPr>
          <w:rFonts w:hint="eastAsia" w:ascii="Times New Roman" w:hAnsi="Times New Roman"/>
          <w:color w:val="auto"/>
          <w:szCs w:val="21"/>
          <w:highlight w:val="none"/>
          <w:lang w:eastAsia="zh-CN"/>
        </w:rPr>
        <w:t>4</w:t>
      </w:r>
      <w:r>
        <w:rPr>
          <w:rFonts w:hint="eastAsia" w:ascii="宋体" w:hAnsi="宋体"/>
          <w:color w:val="auto"/>
          <w:szCs w:val="21"/>
          <w:highlight w:val="none"/>
        </w:rPr>
        <w:t>投标文件应字迹清楚、内容齐全、不得涂改。如有修改，修改处须有投标人加盖公章和法定代表人或其授权代表签字。</w:t>
      </w:r>
    </w:p>
    <w:p>
      <w:pPr>
        <w:pStyle w:val="8"/>
        <w:tabs>
          <w:tab w:val="left" w:pos="0"/>
        </w:tabs>
        <w:spacing w:line="360" w:lineRule="auto"/>
        <w:rPr>
          <w:rFonts w:cs="宋体"/>
          <w:color w:val="auto"/>
          <w:sz w:val="21"/>
          <w:szCs w:val="21"/>
          <w:highlight w:val="none"/>
        </w:rPr>
      </w:pPr>
      <w:bookmarkStart w:id="73" w:name="_Toc513029215"/>
      <w:bookmarkStart w:id="74" w:name="_Toc462564074"/>
      <w:bookmarkStart w:id="75" w:name="_Toc16938531"/>
      <w:bookmarkStart w:id="76" w:name="_Toc20823287"/>
      <w:r>
        <w:rPr>
          <w:rFonts w:hint="eastAsia" w:ascii="Times New Roman" w:hAnsi="Times New Roman" w:cs="宋体"/>
          <w:color w:val="auto"/>
          <w:sz w:val="21"/>
          <w:szCs w:val="21"/>
          <w:highlight w:val="none"/>
          <w:lang w:eastAsia="zh-CN"/>
        </w:rPr>
        <w:t>10</w:t>
      </w:r>
      <w:r>
        <w:rPr>
          <w:rFonts w:hint="eastAsia" w:cs="宋体"/>
          <w:color w:val="auto"/>
          <w:sz w:val="21"/>
          <w:szCs w:val="21"/>
          <w:highlight w:val="none"/>
        </w:rPr>
        <w:t>、投标文件构成</w:t>
      </w:r>
      <w:bookmarkEnd w:id="73"/>
      <w:bookmarkEnd w:id="74"/>
      <w:bookmarkEnd w:id="75"/>
      <w:bookmarkEnd w:id="76"/>
    </w:p>
    <w:p>
      <w:pPr>
        <w:spacing w:line="360" w:lineRule="auto"/>
        <w:ind w:firstLine="420" w:firstLineChars="200"/>
        <w:rPr>
          <w:rFonts w:ascii="宋体" w:hAnsi="宋体"/>
          <w:color w:val="auto"/>
          <w:szCs w:val="21"/>
          <w:highlight w:val="none"/>
        </w:rPr>
      </w:pPr>
      <w:r>
        <w:rPr>
          <w:rFonts w:hint="eastAsia" w:ascii="Times New Roman" w:hAnsi="Times New Roman"/>
          <w:color w:val="auto"/>
          <w:szCs w:val="21"/>
          <w:highlight w:val="none"/>
          <w:lang w:eastAsia="zh-CN"/>
        </w:rPr>
        <w:t>10</w:t>
      </w:r>
      <w:r>
        <w:rPr>
          <w:rFonts w:hint="eastAsia" w:ascii="宋体" w:hAnsi="宋体"/>
          <w:color w:val="auto"/>
          <w:szCs w:val="21"/>
          <w:highlight w:val="none"/>
        </w:rPr>
        <w:t>.</w:t>
      </w:r>
      <w:r>
        <w:rPr>
          <w:rFonts w:hint="eastAsia" w:ascii="Times New Roman" w:hAnsi="Times New Roman"/>
          <w:color w:val="auto"/>
          <w:szCs w:val="21"/>
          <w:highlight w:val="none"/>
          <w:lang w:eastAsia="zh-CN"/>
        </w:rPr>
        <w:t>1</w:t>
      </w:r>
      <w:r>
        <w:rPr>
          <w:rFonts w:hint="eastAsia" w:ascii="宋体" w:hAnsi="宋体"/>
          <w:color w:val="auto"/>
          <w:szCs w:val="21"/>
          <w:highlight w:val="none"/>
        </w:rPr>
        <w:t xml:space="preserve"> 投标人编写的投标文件应包括：资信证明文件、技术参数响应及偏离表、商务条款响应及偏离表、开标一览表等部分；</w:t>
      </w:r>
    </w:p>
    <w:p>
      <w:pPr>
        <w:spacing w:line="360" w:lineRule="auto"/>
        <w:ind w:firstLine="420" w:firstLineChars="200"/>
        <w:rPr>
          <w:rFonts w:ascii="宋体" w:hAnsi="宋体"/>
          <w:color w:val="auto"/>
          <w:szCs w:val="21"/>
          <w:highlight w:val="none"/>
        </w:rPr>
      </w:pPr>
      <w:bookmarkStart w:id="77" w:name="_Toc14577357"/>
      <w:bookmarkStart w:id="78" w:name="_Toc513029219"/>
      <w:bookmarkStart w:id="79" w:name="_Toc49090509"/>
      <w:bookmarkStart w:id="80" w:name="_Toc513029216"/>
      <w:bookmarkStart w:id="81" w:name="_Toc49090507"/>
      <w:bookmarkStart w:id="82" w:name="_Toc14577354"/>
      <w:r>
        <w:rPr>
          <w:rFonts w:hint="eastAsia" w:ascii="Times New Roman" w:hAnsi="Times New Roman"/>
          <w:color w:val="auto"/>
          <w:szCs w:val="21"/>
          <w:highlight w:val="none"/>
          <w:lang w:eastAsia="zh-CN"/>
        </w:rPr>
        <w:t>10</w:t>
      </w:r>
      <w:r>
        <w:rPr>
          <w:rFonts w:hint="eastAsia" w:ascii="宋体" w:hAnsi="宋体"/>
          <w:color w:val="auto"/>
          <w:szCs w:val="21"/>
          <w:highlight w:val="none"/>
        </w:rPr>
        <w:t>.</w:t>
      </w:r>
      <w:r>
        <w:rPr>
          <w:rFonts w:hint="eastAsia" w:ascii="Times New Roman" w:hAnsi="Times New Roman"/>
          <w:color w:val="auto"/>
          <w:szCs w:val="21"/>
          <w:highlight w:val="none"/>
          <w:lang w:eastAsia="zh-CN"/>
        </w:rPr>
        <w:t>2</w:t>
      </w:r>
      <w:r>
        <w:rPr>
          <w:rFonts w:hint="eastAsia" w:ascii="宋体" w:hAnsi="宋体"/>
          <w:color w:val="auto"/>
          <w:szCs w:val="21"/>
          <w:highlight w:val="none"/>
        </w:rPr>
        <w:t xml:space="preserve"> 投标人应将投标文件按顺序装订成册，应逐页编码，不得跳页（包括但不限于证明材料、声明及产品介绍、彩页等），并编制投标文件资料目录。由于编排混乱导致投标文件被误读或查找不到，责任由投标人承担。</w:t>
      </w:r>
    </w:p>
    <w:p>
      <w:pPr>
        <w:spacing w:line="360" w:lineRule="auto"/>
        <w:ind w:firstLine="420" w:firstLineChars="200"/>
        <w:rPr>
          <w:rFonts w:ascii="宋体" w:hAnsi="宋体"/>
          <w:color w:val="auto"/>
          <w:szCs w:val="21"/>
          <w:highlight w:val="none"/>
        </w:rPr>
      </w:pPr>
      <w:r>
        <w:rPr>
          <w:rFonts w:hint="eastAsia" w:ascii="Times New Roman" w:hAnsi="Times New Roman"/>
          <w:color w:val="auto"/>
          <w:szCs w:val="21"/>
          <w:highlight w:val="none"/>
          <w:lang w:eastAsia="zh-CN"/>
        </w:rPr>
        <w:t>10</w:t>
      </w:r>
      <w:r>
        <w:rPr>
          <w:rFonts w:hint="eastAsia" w:ascii="宋体" w:hAnsi="宋体"/>
          <w:color w:val="auto"/>
          <w:szCs w:val="21"/>
          <w:highlight w:val="none"/>
        </w:rPr>
        <w:t>.</w:t>
      </w:r>
      <w:r>
        <w:rPr>
          <w:rFonts w:hint="eastAsia" w:ascii="Times New Roman" w:hAnsi="Times New Roman"/>
          <w:color w:val="auto"/>
          <w:szCs w:val="21"/>
          <w:highlight w:val="none"/>
          <w:lang w:eastAsia="zh-CN"/>
        </w:rPr>
        <w:t>3</w:t>
      </w:r>
      <w:r>
        <w:rPr>
          <w:rFonts w:hint="eastAsia" w:ascii="宋体" w:hAnsi="宋体"/>
          <w:color w:val="auto"/>
          <w:szCs w:val="21"/>
          <w:highlight w:val="none"/>
        </w:rPr>
        <w:t xml:space="preserve"> 投标人应当根据采购文件要求编制投标文件，投标文件应对采购文件提出的要求和条件作出实质性响应，并在相应的投标文件中逐条标明满足与否。</w:t>
      </w:r>
    </w:p>
    <w:p>
      <w:pPr>
        <w:pStyle w:val="8"/>
        <w:tabs>
          <w:tab w:val="left" w:pos="0"/>
        </w:tabs>
        <w:spacing w:line="360" w:lineRule="auto"/>
        <w:rPr>
          <w:rFonts w:cs="宋体"/>
          <w:color w:val="auto"/>
          <w:sz w:val="21"/>
          <w:szCs w:val="21"/>
          <w:highlight w:val="none"/>
        </w:rPr>
      </w:pPr>
      <w:r>
        <w:rPr>
          <w:rFonts w:hint="eastAsia" w:ascii="Times New Roman" w:hAnsi="Times New Roman" w:cs="宋体"/>
          <w:color w:val="auto"/>
          <w:sz w:val="21"/>
          <w:szCs w:val="21"/>
          <w:highlight w:val="none"/>
          <w:lang w:eastAsia="zh-CN"/>
        </w:rPr>
        <w:t>11</w:t>
      </w:r>
      <w:r>
        <w:rPr>
          <w:rFonts w:hint="eastAsia" w:cs="宋体"/>
          <w:color w:val="auto"/>
          <w:sz w:val="21"/>
          <w:szCs w:val="21"/>
          <w:highlight w:val="none"/>
        </w:rPr>
        <w:t>、证明投标人资格及符合采购文件规定的文件</w:t>
      </w:r>
      <w:bookmarkEnd w:id="77"/>
      <w:bookmarkEnd w:id="78"/>
      <w:bookmarkEnd w:id="79"/>
    </w:p>
    <w:p>
      <w:pPr>
        <w:spacing w:line="360" w:lineRule="auto"/>
        <w:ind w:firstLine="420" w:firstLineChars="200"/>
        <w:rPr>
          <w:rFonts w:ascii="宋体" w:hAnsi="宋体"/>
          <w:color w:val="auto"/>
          <w:szCs w:val="21"/>
          <w:highlight w:val="none"/>
        </w:rPr>
      </w:pPr>
      <w:r>
        <w:rPr>
          <w:rFonts w:hint="eastAsia" w:ascii="Times New Roman" w:hAnsi="Times New Roman"/>
          <w:color w:val="auto"/>
          <w:szCs w:val="21"/>
          <w:highlight w:val="none"/>
          <w:lang w:eastAsia="zh-CN"/>
        </w:rPr>
        <w:t>11</w:t>
      </w:r>
      <w:r>
        <w:rPr>
          <w:rFonts w:hint="eastAsia" w:ascii="宋体" w:hAnsi="宋体"/>
          <w:color w:val="auto"/>
          <w:szCs w:val="21"/>
          <w:highlight w:val="none"/>
        </w:rPr>
        <w:t>.</w:t>
      </w:r>
      <w:r>
        <w:rPr>
          <w:rFonts w:hint="eastAsia" w:ascii="Times New Roman" w:hAnsi="Times New Roman"/>
          <w:color w:val="auto"/>
          <w:szCs w:val="21"/>
          <w:highlight w:val="none"/>
          <w:lang w:eastAsia="zh-CN"/>
        </w:rPr>
        <w:t>1</w:t>
      </w:r>
      <w:r>
        <w:rPr>
          <w:rFonts w:hint="eastAsia" w:ascii="宋体" w:hAnsi="宋体"/>
          <w:color w:val="auto"/>
          <w:szCs w:val="21"/>
          <w:highlight w:val="none"/>
        </w:rPr>
        <w:t>投标人应按要求提交资格证明文件及符合采购文件规定的文件。</w:t>
      </w:r>
    </w:p>
    <w:p>
      <w:pPr>
        <w:spacing w:line="360" w:lineRule="auto"/>
        <w:ind w:firstLine="420" w:firstLineChars="200"/>
        <w:rPr>
          <w:rFonts w:ascii="宋体" w:hAnsi="宋体"/>
          <w:color w:val="auto"/>
          <w:szCs w:val="21"/>
          <w:highlight w:val="none"/>
        </w:rPr>
      </w:pPr>
      <w:r>
        <w:rPr>
          <w:rFonts w:hint="eastAsia" w:ascii="Times New Roman" w:hAnsi="Times New Roman"/>
          <w:color w:val="auto"/>
          <w:szCs w:val="21"/>
          <w:highlight w:val="none"/>
          <w:lang w:eastAsia="zh-CN"/>
        </w:rPr>
        <w:t>11</w:t>
      </w:r>
      <w:r>
        <w:rPr>
          <w:rFonts w:hint="eastAsia" w:ascii="宋体" w:hAnsi="宋体"/>
          <w:color w:val="auto"/>
          <w:szCs w:val="21"/>
          <w:highlight w:val="none"/>
        </w:rPr>
        <w:t>.</w:t>
      </w:r>
      <w:r>
        <w:rPr>
          <w:rFonts w:hint="eastAsia" w:ascii="Times New Roman" w:hAnsi="Times New Roman"/>
          <w:color w:val="auto"/>
          <w:szCs w:val="21"/>
          <w:highlight w:val="none"/>
          <w:lang w:eastAsia="zh-CN"/>
        </w:rPr>
        <w:t>2</w:t>
      </w:r>
      <w:r>
        <w:rPr>
          <w:rFonts w:hint="eastAsia" w:ascii="宋体" w:hAnsi="宋体"/>
          <w:color w:val="auto"/>
          <w:szCs w:val="21"/>
          <w:highlight w:val="none"/>
        </w:rPr>
        <w:t>投标人应提交证明其有资格参加投标和中标后有能力独立履行合同的文件。</w:t>
      </w:r>
    </w:p>
    <w:p>
      <w:pPr>
        <w:spacing w:line="360" w:lineRule="auto"/>
        <w:ind w:firstLine="420" w:firstLineChars="200"/>
        <w:rPr>
          <w:rFonts w:ascii="宋体" w:hAnsi="宋体"/>
          <w:color w:val="auto"/>
          <w:szCs w:val="21"/>
          <w:highlight w:val="none"/>
        </w:rPr>
      </w:pPr>
      <w:r>
        <w:rPr>
          <w:rFonts w:hint="eastAsia" w:ascii="Times New Roman" w:hAnsi="Times New Roman"/>
          <w:color w:val="auto"/>
          <w:szCs w:val="21"/>
          <w:highlight w:val="none"/>
          <w:lang w:eastAsia="zh-CN"/>
        </w:rPr>
        <w:t>11</w:t>
      </w:r>
      <w:r>
        <w:rPr>
          <w:rFonts w:hint="eastAsia" w:ascii="宋体" w:hAnsi="宋体"/>
          <w:color w:val="auto"/>
          <w:szCs w:val="21"/>
          <w:highlight w:val="none"/>
        </w:rPr>
        <w:t>.</w:t>
      </w:r>
      <w:r>
        <w:rPr>
          <w:rFonts w:hint="eastAsia" w:ascii="Times New Roman" w:hAnsi="Times New Roman"/>
          <w:color w:val="auto"/>
          <w:szCs w:val="21"/>
          <w:highlight w:val="none"/>
          <w:lang w:eastAsia="zh-CN"/>
        </w:rPr>
        <w:t>3</w:t>
      </w:r>
      <w:r>
        <w:rPr>
          <w:rFonts w:hint="eastAsia" w:ascii="宋体" w:hAnsi="宋体"/>
          <w:color w:val="auto"/>
          <w:szCs w:val="21"/>
          <w:highlight w:val="none"/>
        </w:rPr>
        <w:t>投标人除必须具有履行合同所需提供的货物以及服务的能力外，还必须具备相应的财务、技术方面的能力。</w:t>
      </w:r>
    </w:p>
    <w:p>
      <w:pPr>
        <w:spacing w:line="360" w:lineRule="auto"/>
        <w:rPr>
          <w:rFonts w:ascii="宋体" w:hAnsi="宋体"/>
          <w:color w:val="auto"/>
          <w:szCs w:val="21"/>
          <w:highlight w:val="none"/>
        </w:rPr>
      </w:pPr>
      <w:r>
        <w:rPr>
          <w:rFonts w:hint="eastAsia" w:ascii="宋体" w:hAnsi="宋体"/>
          <w:color w:val="auto"/>
          <w:szCs w:val="21"/>
          <w:highlight w:val="none"/>
        </w:rPr>
        <w:t xml:space="preserve">    </w:t>
      </w:r>
      <w:r>
        <w:rPr>
          <w:rFonts w:hint="eastAsia" w:ascii="Times New Roman" w:hAnsi="Times New Roman"/>
          <w:color w:val="auto"/>
          <w:szCs w:val="21"/>
          <w:highlight w:val="none"/>
          <w:lang w:eastAsia="zh-CN"/>
        </w:rPr>
        <w:t>11</w:t>
      </w:r>
      <w:r>
        <w:rPr>
          <w:rFonts w:hint="eastAsia" w:ascii="宋体" w:hAnsi="宋体"/>
          <w:color w:val="auto"/>
          <w:szCs w:val="21"/>
          <w:highlight w:val="none"/>
        </w:rPr>
        <w:t>.</w:t>
      </w:r>
      <w:r>
        <w:rPr>
          <w:rFonts w:hint="eastAsia" w:ascii="Times New Roman" w:hAnsi="Times New Roman"/>
          <w:color w:val="auto"/>
          <w:szCs w:val="21"/>
          <w:highlight w:val="none"/>
          <w:lang w:eastAsia="zh-CN"/>
        </w:rPr>
        <w:t>4</w:t>
      </w:r>
      <w:r>
        <w:rPr>
          <w:rFonts w:hint="eastAsia" w:ascii="宋体" w:hAnsi="宋体"/>
          <w:color w:val="auto"/>
          <w:szCs w:val="21"/>
          <w:highlight w:val="none"/>
        </w:rPr>
        <w:t>投标人应提交根据合同要求提供的证明产品质量合格以及符合采购文件规定的证明文件。</w:t>
      </w:r>
    </w:p>
    <w:p>
      <w:pPr>
        <w:spacing w:line="360" w:lineRule="auto"/>
        <w:rPr>
          <w:rFonts w:ascii="宋体" w:hAnsi="宋体"/>
          <w:color w:val="auto"/>
          <w:szCs w:val="21"/>
          <w:highlight w:val="none"/>
        </w:rPr>
      </w:pPr>
      <w:r>
        <w:rPr>
          <w:rFonts w:hint="eastAsia" w:ascii="宋体" w:hAnsi="宋体"/>
          <w:color w:val="auto"/>
          <w:szCs w:val="21"/>
          <w:highlight w:val="none"/>
        </w:rPr>
        <w:t xml:space="preserve">    </w:t>
      </w:r>
      <w:r>
        <w:rPr>
          <w:rFonts w:hint="eastAsia" w:ascii="Times New Roman" w:hAnsi="Times New Roman"/>
          <w:color w:val="auto"/>
          <w:szCs w:val="21"/>
          <w:highlight w:val="none"/>
          <w:lang w:eastAsia="zh-CN"/>
        </w:rPr>
        <w:t>11</w:t>
      </w:r>
      <w:r>
        <w:rPr>
          <w:rFonts w:hint="eastAsia" w:ascii="宋体" w:hAnsi="宋体"/>
          <w:color w:val="auto"/>
          <w:szCs w:val="21"/>
          <w:highlight w:val="none"/>
        </w:rPr>
        <w:t>.</w:t>
      </w:r>
      <w:r>
        <w:rPr>
          <w:rFonts w:hint="eastAsia" w:ascii="Times New Roman" w:hAnsi="Times New Roman"/>
          <w:color w:val="auto"/>
          <w:szCs w:val="21"/>
          <w:highlight w:val="none"/>
          <w:lang w:eastAsia="zh-CN"/>
        </w:rPr>
        <w:t>5</w:t>
      </w:r>
      <w:r>
        <w:rPr>
          <w:rFonts w:hint="eastAsia" w:ascii="宋体" w:hAnsi="宋体"/>
          <w:color w:val="auto"/>
          <w:szCs w:val="21"/>
          <w:highlight w:val="none"/>
        </w:rPr>
        <w:t>证明投标人所提供货物与采购文件的要求相一致的文件可以是手册、图纸、文字资料和数据</w:t>
      </w:r>
      <w:r>
        <w:rPr>
          <w:rFonts w:hint="eastAsia" w:ascii="宋体" w:hAnsi="宋体"/>
          <w:bCs/>
          <w:color w:val="auto"/>
          <w:szCs w:val="21"/>
          <w:highlight w:val="none"/>
        </w:rPr>
        <w:t>。</w:t>
      </w:r>
    </w:p>
    <w:bookmarkEnd w:id="80"/>
    <w:bookmarkEnd w:id="81"/>
    <w:bookmarkEnd w:id="82"/>
    <w:p>
      <w:pPr>
        <w:pStyle w:val="8"/>
        <w:tabs>
          <w:tab w:val="left" w:pos="0"/>
        </w:tabs>
        <w:spacing w:line="360" w:lineRule="auto"/>
        <w:rPr>
          <w:rFonts w:cs="宋体"/>
          <w:color w:val="auto"/>
          <w:sz w:val="21"/>
          <w:szCs w:val="21"/>
          <w:highlight w:val="none"/>
        </w:rPr>
      </w:pPr>
      <w:bookmarkStart w:id="83" w:name="_Toc14577355"/>
      <w:bookmarkStart w:id="84" w:name="_Toc49090508"/>
      <w:r>
        <w:rPr>
          <w:rFonts w:hint="eastAsia" w:ascii="Times New Roman" w:hAnsi="Times New Roman" w:cs="宋体"/>
          <w:color w:val="auto"/>
          <w:sz w:val="21"/>
          <w:szCs w:val="21"/>
          <w:highlight w:val="none"/>
          <w:lang w:eastAsia="zh-CN"/>
        </w:rPr>
        <w:t>12</w:t>
      </w:r>
      <w:r>
        <w:rPr>
          <w:rFonts w:hint="eastAsia" w:cs="宋体"/>
          <w:color w:val="auto"/>
          <w:sz w:val="21"/>
          <w:szCs w:val="21"/>
          <w:highlight w:val="none"/>
        </w:rPr>
        <w:t>、供货一览表和投标配置与分项报价</w:t>
      </w:r>
      <w:bookmarkEnd w:id="83"/>
      <w:r>
        <w:rPr>
          <w:rFonts w:hint="eastAsia" w:cs="宋体"/>
          <w:color w:val="auto"/>
          <w:sz w:val="21"/>
          <w:szCs w:val="21"/>
          <w:highlight w:val="none"/>
        </w:rPr>
        <w:t>表</w:t>
      </w:r>
      <w:bookmarkEnd w:id="84"/>
    </w:p>
    <w:p>
      <w:pPr>
        <w:spacing w:line="360" w:lineRule="auto"/>
        <w:ind w:firstLine="420" w:firstLineChars="200"/>
        <w:rPr>
          <w:rFonts w:ascii="宋体" w:hAnsi="宋体"/>
          <w:bCs/>
          <w:color w:val="auto"/>
          <w:szCs w:val="21"/>
          <w:highlight w:val="none"/>
        </w:rPr>
      </w:pPr>
      <w:r>
        <w:rPr>
          <w:rFonts w:hint="eastAsia" w:ascii="Times New Roman" w:hAnsi="Times New Roman"/>
          <w:bCs/>
          <w:color w:val="auto"/>
          <w:szCs w:val="21"/>
          <w:highlight w:val="none"/>
          <w:lang w:eastAsia="zh-CN"/>
        </w:rPr>
        <w:t>12</w:t>
      </w:r>
      <w:r>
        <w:rPr>
          <w:rFonts w:hint="eastAsia" w:ascii="宋体" w:hAnsi="宋体"/>
          <w:bCs/>
          <w:color w:val="auto"/>
          <w:szCs w:val="21"/>
          <w:highlight w:val="none"/>
        </w:rPr>
        <w:t>.</w:t>
      </w:r>
      <w:r>
        <w:rPr>
          <w:rFonts w:hint="eastAsia" w:ascii="Times New Roman" w:hAnsi="Times New Roman"/>
          <w:bCs/>
          <w:color w:val="auto"/>
          <w:szCs w:val="21"/>
          <w:highlight w:val="none"/>
          <w:lang w:eastAsia="zh-CN"/>
        </w:rPr>
        <w:t>1</w:t>
      </w:r>
      <w:r>
        <w:rPr>
          <w:rFonts w:hint="eastAsia" w:ascii="宋体" w:hAnsi="宋体"/>
          <w:color w:val="auto"/>
          <w:szCs w:val="21"/>
          <w:highlight w:val="none"/>
        </w:rPr>
        <w:t xml:space="preserve"> 投标人应按照采购文件规定格式填报供货一览表、投标配置与分项报价表，在表中标明所提供的设备品牌、规格、型号、原产地、主要部件型号及其功能的中文说明和供货期。每项货物和服务等只允许有一个报价，任何有选择的报价将不予接受(如有备选配件，备选配件的报价不属于选择的报价)。</w:t>
      </w:r>
    </w:p>
    <w:p>
      <w:pPr>
        <w:spacing w:line="360" w:lineRule="auto"/>
        <w:ind w:firstLine="420" w:firstLineChars="200"/>
        <w:rPr>
          <w:rFonts w:ascii="宋体" w:hAnsi="宋体"/>
          <w:color w:val="auto"/>
          <w:szCs w:val="21"/>
          <w:highlight w:val="none"/>
        </w:rPr>
      </w:pPr>
      <w:r>
        <w:rPr>
          <w:rFonts w:hint="eastAsia" w:ascii="Times New Roman" w:hAnsi="Times New Roman"/>
          <w:bCs/>
          <w:color w:val="auto"/>
          <w:szCs w:val="21"/>
          <w:highlight w:val="none"/>
          <w:lang w:eastAsia="zh-CN"/>
        </w:rPr>
        <w:t>12</w:t>
      </w:r>
      <w:r>
        <w:rPr>
          <w:rFonts w:hint="eastAsia" w:ascii="宋体" w:hAnsi="宋体"/>
          <w:bCs/>
          <w:color w:val="auto"/>
          <w:szCs w:val="21"/>
          <w:highlight w:val="none"/>
        </w:rPr>
        <w:t>.</w:t>
      </w:r>
      <w:r>
        <w:rPr>
          <w:rFonts w:hint="eastAsia" w:ascii="Times New Roman" w:hAnsi="Times New Roman"/>
          <w:bCs/>
          <w:color w:val="auto"/>
          <w:szCs w:val="21"/>
          <w:highlight w:val="none"/>
          <w:lang w:eastAsia="zh-CN"/>
        </w:rPr>
        <w:t>2</w:t>
      </w:r>
      <w:r>
        <w:rPr>
          <w:rFonts w:hint="eastAsia" w:ascii="宋体" w:hAnsi="宋体"/>
          <w:color w:val="auto"/>
          <w:szCs w:val="21"/>
          <w:highlight w:val="none"/>
        </w:rPr>
        <w:t xml:space="preserve"> 标的物</w:t>
      </w:r>
    </w:p>
    <w:p>
      <w:pPr>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采购人需求的货物供应、安装，调试及有关技术服务等</w:t>
      </w:r>
      <w:r>
        <w:rPr>
          <w:rFonts w:hint="eastAsia" w:ascii="宋体" w:hAnsi="宋体"/>
          <w:color w:val="auto"/>
          <w:szCs w:val="21"/>
          <w:highlight w:val="none"/>
        </w:rPr>
        <w:t>。</w:t>
      </w:r>
    </w:p>
    <w:p>
      <w:pPr>
        <w:spacing w:line="360" w:lineRule="auto"/>
        <w:ind w:firstLine="420" w:firstLineChars="200"/>
        <w:rPr>
          <w:rFonts w:ascii="宋体" w:hAnsi="宋体"/>
          <w:bCs/>
          <w:color w:val="auto"/>
          <w:szCs w:val="21"/>
          <w:highlight w:val="none"/>
        </w:rPr>
      </w:pPr>
      <w:r>
        <w:rPr>
          <w:rFonts w:hint="eastAsia" w:ascii="Times New Roman" w:hAnsi="Times New Roman"/>
          <w:color w:val="auto"/>
          <w:szCs w:val="21"/>
          <w:highlight w:val="none"/>
          <w:lang w:eastAsia="zh-CN"/>
        </w:rPr>
        <w:t>12</w:t>
      </w:r>
      <w:r>
        <w:rPr>
          <w:rFonts w:hint="eastAsia" w:ascii="宋体" w:hAnsi="宋体"/>
          <w:color w:val="auto"/>
          <w:szCs w:val="21"/>
          <w:highlight w:val="none"/>
        </w:rPr>
        <w:t>.</w:t>
      </w:r>
      <w:r>
        <w:rPr>
          <w:rFonts w:hint="eastAsia" w:ascii="Times New Roman" w:hAnsi="Times New Roman"/>
          <w:color w:val="auto"/>
          <w:szCs w:val="21"/>
          <w:highlight w:val="none"/>
          <w:lang w:eastAsia="zh-CN"/>
        </w:rPr>
        <w:t>3</w:t>
      </w:r>
      <w:r>
        <w:rPr>
          <w:rFonts w:hint="eastAsia" w:ascii="宋体" w:hAnsi="宋体"/>
          <w:bCs/>
          <w:color w:val="auto"/>
          <w:szCs w:val="21"/>
          <w:highlight w:val="none"/>
        </w:rPr>
        <w:t>有关费用处理</w:t>
      </w:r>
    </w:p>
    <w:p>
      <w:pPr>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采购报价采用总承包方式，投标人的报价应包括所投产品费用、安装调试费、测试验收费、培训费、运行维护费用、税金、国际国内运输保险、报关清关、开证、办理全套免税手续费用及其他有关的为完成本项目发生的所有费用，采购文件中另有规定的除外。</w:t>
      </w:r>
    </w:p>
    <w:p>
      <w:pPr>
        <w:spacing w:line="360" w:lineRule="auto"/>
        <w:ind w:firstLine="420" w:firstLineChars="200"/>
        <w:rPr>
          <w:rFonts w:ascii="宋体" w:hAnsi="宋体"/>
          <w:bCs/>
          <w:color w:val="auto"/>
          <w:szCs w:val="21"/>
          <w:highlight w:val="none"/>
        </w:rPr>
      </w:pPr>
      <w:r>
        <w:rPr>
          <w:rFonts w:hint="eastAsia" w:ascii="Times New Roman" w:hAnsi="Times New Roman"/>
          <w:color w:val="auto"/>
          <w:szCs w:val="21"/>
          <w:highlight w:val="none"/>
          <w:lang w:eastAsia="zh-CN"/>
        </w:rPr>
        <w:t>12</w:t>
      </w:r>
      <w:r>
        <w:rPr>
          <w:rFonts w:hint="eastAsia" w:ascii="宋体" w:hAnsi="宋体"/>
          <w:color w:val="auto"/>
          <w:szCs w:val="21"/>
          <w:highlight w:val="none"/>
        </w:rPr>
        <w:t>.</w:t>
      </w:r>
      <w:r>
        <w:rPr>
          <w:rFonts w:hint="eastAsia" w:ascii="Times New Roman" w:hAnsi="Times New Roman"/>
          <w:color w:val="auto"/>
          <w:szCs w:val="21"/>
          <w:highlight w:val="none"/>
          <w:lang w:eastAsia="zh-CN"/>
        </w:rPr>
        <w:t>4</w:t>
      </w:r>
      <w:r>
        <w:rPr>
          <w:rFonts w:hint="eastAsia" w:ascii="宋体" w:hAnsi="宋体"/>
          <w:bCs/>
          <w:color w:val="auto"/>
          <w:szCs w:val="21"/>
          <w:highlight w:val="none"/>
        </w:rPr>
        <w:t>其它费用处理</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采购文件未列明，而投标人认为必需的费用也需列入报价。</w:t>
      </w:r>
    </w:p>
    <w:p>
      <w:pPr>
        <w:spacing w:line="360" w:lineRule="auto"/>
        <w:ind w:firstLine="420" w:firstLineChars="200"/>
        <w:rPr>
          <w:rFonts w:ascii="宋体" w:hAnsi="宋体"/>
          <w:bCs/>
          <w:color w:val="auto"/>
          <w:szCs w:val="21"/>
          <w:highlight w:val="none"/>
        </w:rPr>
      </w:pPr>
      <w:r>
        <w:rPr>
          <w:rFonts w:hint="eastAsia" w:ascii="Times New Roman" w:hAnsi="Times New Roman"/>
          <w:color w:val="auto"/>
          <w:szCs w:val="21"/>
          <w:highlight w:val="none"/>
          <w:lang w:eastAsia="zh-CN"/>
        </w:rPr>
        <w:t>12</w:t>
      </w:r>
      <w:r>
        <w:rPr>
          <w:rFonts w:hint="eastAsia" w:ascii="宋体" w:hAnsi="宋体"/>
          <w:color w:val="auto"/>
          <w:szCs w:val="21"/>
          <w:highlight w:val="none"/>
        </w:rPr>
        <w:t>.</w:t>
      </w:r>
      <w:r>
        <w:rPr>
          <w:rFonts w:hint="eastAsia" w:ascii="Times New Roman" w:hAnsi="Times New Roman"/>
          <w:color w:val="auto"/>
          <w:szCs w:val="21"/>
          <w:highlight w:val="none"/>
          <w:lang w:eastAsia="zh-CN"/>
        </w:rPr>
        <w:t>5</w:t>
      </w:r>
      <w:r>
        <w:rPr>
          <w:rFonts w:hint="eastAsia" w:ascii="宋体" w:hAnsi="宋体"/>
          <w:bCs/>
          <w:color w:val="auto"/>
          <w:szCs w:val="21"/>
          <w:highlight w:val="none"/>
        </w:rPr>
        <w:t>投标货币</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投标文件中的货物单价和总价无特殊规定的采用人民币报价，以元为单位标注。</w:t>
      </w:r>
      <w:r>
        <w:rPr>
          <w:rFonts w:hint="eastAsia" w:ascii="宋体" w:hAnsi="宋体"/>
          <w:color w:val="auto"/>
          <w:szCs w:val="21"/>
          <w:highlight w:val="none"/>
        </w:rPr>
        <w:t>采购文件中另有规定的按规定执行。</w:t>
      </w:r>
    </w:p>
    <w:p>
      <w:pPr>
        <w:spacing w:line="360" w:lineRule="auto"/>
        <w:ind w:firstLine="420" w:firstLineChars="200"/>
        <w:rPr>
          <w:rFonts w:ascii="宋体" w:hAnsi="宋体"/>
          <w:color w:val="auto"/>
          <w:szCs w:val="21"/>
          <w:highlight w:val="none"/>
        </w:rPr>
      </w:pPr>
      <w:r>
        <w:rPr>
          <w:rFonts w:hint="eastAsia" w:ascii="Times New Roman" w:hAnsi="Times New Roman"/>
          <w:color w:val="auto"/>
          <w:szCs w:val="21"/>
          <w:highlight w:val="none"/>
          <w:lang w:eastAsia="zh-CN"/>
        </w:rPr>
        <w:t>12</w:t>
      </w:r>
      <w:r>
        <w:rPr>
          <w:rFonts w:hint="eastAsia" w:ascii="宋体" w:hAnsi="宋体"/>
          <w:color w:val="auto"/>
          <w:szCs w:val="21"/>
          <w:highlight w:val="none"/>
        </w:rPr>
        <w:t>.</w:t>
      </w:r>
      <w:r>
        <w:rPr>
          <w:rFonts w:hint="eastAsia" w:ascii="Times New Roman" w:hAnsi="Times New Roman"/>
          <w:color w:val="auto"/>
          <w:szCs w:val="21"/>
          <w:highlight w:val="none"/>
          <w:lang w:eastAsia="zh-CN"/>
        </w:rPr>
        <w:t>6</w:t>
      </w:r>
      <w:r>
        <w:rPr>
          <w:rFonts w:hint="eastAsia" w:ascii="宋体" w:hAnsi="宋体"/>
          <w:bCs/>
          <w:color w:val="auto"/>
          <w:szCs w:val="21"/>
          <w:highlight w:val="none"/>
        </w:rPr>
        <w:t xml:space="preserve"> 投标配置与分项报价表上的价格应按下列方式分开填写</w:t>
      </w:r>
      <w:r>
        <w:rPr>
          <w:rFonts w:hint="eastAsia" w:ascii="宋体" w:hAnsi="宋体"/>
          <w:color w:val="auto"/>
          <w:szCs w:val="21"/>
          <w:highlight w:val="none"/>
        </w:rPr>
        <w:t>：</w:t>
      </w:r>
    </w:p>
    <w:p>
      <w:pPr>
        <w:spacing w:line="360" w:lineRule="auto"/>
        <w:ind w:firstLine="420" w:firstLineChars="200"/>
        <w:rPr>
          <w:rFonts w:ascii="宋体" w:hAnsi="宋体"/>
          <w:bCs/>
          <w:color w:val="auto"/>
          <w:szCs w:val="21"/>
          <w:highlight w:val="none"/>
        </w:rPr>
      </w:pPr>
      <w:r>
        <w:rPr>
          <w:rFonts w:hint="eastAsia" w:ascii="Times New Roman" w:hAnsi="Times New Roman"/>
          <w:bCs/>
          <w:color w:val="auto"/>
          <w:szCs w:val="21"/>
          <w:highlight w:val="none"/>
          <w:lang w:eastAsia="zh-CN"/>
        </w:rPr>
        <w:t>1</w:t>
      </w:r>
      <w:r>
        <w:rPr>
          <w:rFonts w:hint="eastAsia" w:ascii="宋体" w:hAnsi="宋体"/>
          <w:bCs/>
          <w:color w:val="auto"/>
          <w:szCs w:val="21"/>
          <w:highlight w:val="none"/>
        </w:rPr>
        <w:t>、</w:t>
      </w:r>
      <w:r>
        <w:rPr>
          <w:rFonts w:hint="eastAsia" w:ascii="宋体" w:hAnsi="宋体"/>
          <w:color w:val="auto"/>
          <w:szCs w:val="21"/>
          <w:highlight w:val="none"/>
        </w:rPr>
        <w:t>项目总价：包括</w:t>
      </w:r>
      <w:r>
        <w:rPr>
          <w:rFonts w:hint="eastAsia" w:ascii="宋体" w:hAnsi="宋体"/>
          <w:bCs/>
          <w:color w:val="auto"/>
          <w:szCs w:val="21"/>
          <w:highlight w:val="none"/>
        </w:rPr>
        <w:t>采购人需求的货物价格</w:t>
      </w:r>
      <w:r>
        <w:rPr>
          <w:rFonts w:hint="eastAsia" w:ascii="宋体" w:hAnsi="宋体"/>
          <w:color w:val="auto"/>
          <w:szCs w:val="21"/>
          <w:highlight w:val="none"/>
        </w:rPr>
        <w:t>、</w:t>
      </w:r>
      <w:r>
        <w:rPr>
          <w:rFonts w:hint="eastAsia" w:ascii="宋体" w:hAnsi="宋体"/>
          <w:bCs/>
          <w:color w:val="auto"/>
          <w:szCs w:val="21"/>
          <w:highlight w:val="none"/>
        </w:rPr>
        <w:t>质量保证费用、培训费用及售后服务费用，项目在指定地点、环境交付、安装、调试、验收所需费用和所有</w:t>
      </w:r>
      <w:r>
        <w:rPr>
          <w:rFonts w:hint="eastAsia" w:ascii="宋体" w:hAnsi="宋体"/>
          <w:color w:val="auto"/>
          <w:szCs w:val="21"/>
          <w:highlight w:val="none"/>
        </w:rPr>
        <w:t>相关税金费用</w:t>
      </w:r>
      <w:r>
        <w:rPr>
          <w:rFonts w:hint="eastAsia" w:ascii="宋体" w:hAnsi="宋体"/>
          <w:bCs/>
          <w:color w:val="auto"/>
          <w:szCs w:val="21"/>
          <w:highlight w:val="none"/>
        </w:rPr>
        <w:t>及为完成整个项目所产生的其它所有费用。</w:t>
      </w:r>
    </w:p>
    <w:p>
      <w:pPr>
        <w:spacing w:line="360" w:lineRule="auto"/>
        <w:ind w:firstLine="420" w:firstLineChars="200"/>
        <w:rPr>
          <w:rFonts w:ascii="宋体" w:hAnsi="宋体"/>
          <w:bCs/>
          <w:color w:val="auto"/>
          <w:szCs w:val="21"/>
          <w:highlight w:val="none"/>
        </w:rPr>
      </w:pPr>
      <w:r>
        <w:rPr>
          <w:rFonts w:hint="eastAsia" w:ascii="Times New Roman" w:hAnsi="Times New Roman"/>
          <w:color w:val="auto"/>
          <w:szCs w:val="21"/>
          <w:highlight w:val="none"/>
          <w:lang w:eastAsia="zh-CN"/>
        </w:rPr>
        <w:t>2</w:t>
      </w:r>
      <w:r>
        <w:rPr>
          <w:rFonts w:hint="eastAsia" w:ascii="宋体" w:hAnsi="宋体"/>
          <w:color w:val="auto"/>
          <w:szCs w:val="21"/>
          <w:highlight w:val="none"/>
        </w:rPr>
        <w:t>、</w:t>
      </w:r>
      <w:r>
        <w:rPr>
          <w:rFonts w:hint="eastAsia" w:ascii="宋体" w:hAnsi="宋体"/>
          <w:bCs/>
          <w:color w:val="auto"/>
          <w:szCs w:val="21"/>
          <w:highlight w:val="none"/>
        </w:rPr>
        <w:t>项目单价按投标配置及分项报价表中要求填报。</w:t>
      </w:r>
    </w:p>
    <w:p>
      <w:pPr>
        <w:pStyle w:val="8"/>
        <w:tabs>
          <w:tab w:val="left" w:pos="0"/>
        </w:tabs>
        <w:spacing w:line="360" w:lineRule="auto"/>
        <w:rPr>
          <w:rFonts w:cs="宋体"/>
          <w:color w:val="auto"/>
          <w:sz w:val="21"/>
          <w:szCs w:val="21"/>
          <w:highlight w:val="none"/>
        </w:rPr>
      </w:pPr>
      <w:r>
        <w:rPr>
          <w:rFonts w:hint="eastAsia" w:ascii="Times New Roman" w:hAnsi="Times New Roman" w:cs="宋体"/>
          <w:color w:val="auto"/>
          <w:sz w:val="21"/>
          <w:szCs w:val="21"/>
          <w:highlight w:val="none"/>
          <w:lang w:eastAsia="zh-CN"/>
        </w:rPr>
        <w:t>13</w:t>
      </w:r>
      <w:r>
        <w:rPr>
          <w:rFonts w:hint="eastAsia" w:cs="宋体"/>
          <w:color w:val="auto"/>
          <w:sz w:val="21"/>
          <w:szCs w:val="21"/>
          <w:highlight w:val="none"/>
        </w:rPr>
        <w:t>、技术参数响应及偏离表、商务条款响应及偏离表及投标货物说明</w:t>
      </w:r>
    </w:p>
    <w:p>
      <w:pPr>
        <w:autoSpaceDE w:val="0"/>
        <w:autoSpaceDN w:val="0"/>
        <w:spacing w:line="360" w:lineRule="auto"/>
        <w:ind w:firstLine="420" w:firstLineChars="200"/>
        <w:rPr>
          <w:rFonts w:ascii="宋体" w:hAnsi="宋体" w:cs="宋体"/>
          <w:color w:val="auto"/>
          <w:szCs w:val="21"/>
          <w:highlight w:val="none"/>
          <w:lang w:val="zh-CN"/>
        </w:rPr>
      </w:pPr>
      <w:r>
        <w:rPr>
          <w:rFonts w:hint="eastAsia" w:ascii="Times New Roman" w:hAnsi="Times New Roman" w:cs="宋体"/>
          <w:bCs/>
          <w:color w:val="auto"/>
          <w:szCs w:val="21"/>
          <w:highlight w:val="none"/>
          <w:lang w:val="zh-CN"/>
        </w:rPr>
        <w:t>13</w:t>
      </w:r>
      <w:r>
        <w:rPr>
          <w:rFonts w:hint="eastAsia" w:ascii="宋体" w:hAnsi="宋体" w:cs="宋体"/>
          <w:bCs/>
          <w:color w:val="auto"/>
          <w:szCs w:val="21"/>
          <w:highlight w:val="none"/>
          <w:lang w:val="zh-CN"/>
        </w:rPr>
        <w:t>.</w:t>
      </w:r>
      <w:r>
        <w:rPr>
          <w:rFonts w:hint="eastAsia" w:ascii="Times New Roman" w:hAnsi="Times New Roman" w:cs="宋体"/>
          <w:bCs/>
          <w:color w:val="auto"/>
          <w:szCs w:val="21"/>
          <w:highlight w:val="none"/>
          <w:lang w:val="zh-CN"/>
        </w:rPr>
        <w:t>1</w:t>
      </w:r>
      <w:r>
        <w:rPr>
          <w:rFonts w:hint="eastAsia" w:ascii="宋体" w:hAnsi="宋体" w:cs="宋体"/>
          <w:color w:val="auto"/>
          <w:szCs w:val="21"/>
          <w:highlight w:val="none"/>
          <w:lang w:val="zh-CN"/>
        </w:rPr>
        <w:t xml:space="preserve"> 对采购文件中的技术与商务条款要求逐项作出响应或偏离，并说明原因；</w:t>
      </w:r>
    </w:p>
    <w:p>
      <w:pPr>
        <w:tabs>
          <w:tab w:val="left" w:pos="1035"/>
        </w:tabs>
        <w:autoSpaceDE w:val="0"/>
        <w:autoSpaceDN w:val="0"/>
        <w:spacing w:line="360" w:lineRule="auto"/>
        <w:ind w:firstLine="420" w:firstLineChars="200"/>
        <w:rPr>
          <w:rFonts w:ascii="宋体" w:hAnsi="宋体" w:cs="宋体"/>
          <w:color w:val="auto"/>
          <w:szCs w:val="21"/>
          <w:highlight w:val="none"/>
          <w:lang w:val="zh-CN"/>
        </w:rPr>
      </w:pPr>
      <w:r>
        <w:rPr>
          <w:rFonts w:hint="eastAsia" w:ascii="Times New Roman" w:hAnsi="Times New Roman" w:cs="宋体"/>
          <w:color w:val="auto"/>
          <w:szCs w:val="21"/>
          <w:highlight w:val="none"/>
          <w:lang w:val="zh-CN"/>
        </w:rPr>
        <w:t>13</w:t>
      </w:r>
      <w:r>
        <w:rPr>
          <w:rFonts w:hint="eastAsia" w:ascii="宋体" w:hAnsi="宋体" w:cs="宋体"/>
          <w:color w:val="auto"/>
          <w:szCs w:val="21"/>
          <w:highlight w:val="none"/>
          <w:lang w:val="zh-CN"/>
        </w:rPr>
        <w:t>.</w:t>
      </w:r>
      <w:r>
        <w:rPr>
          <w:rFonts w:hint="eastAsia" w:ascii="Times New Roman" w:hAnsi="Times New Roman" w:cs="宋体"/>
          <w:color w:val="auto"/>
          <w:szCs w:val="21"/>
          <w:highlight w:val="none"/>
          <w:lang w:val="zh-CN"/>
        </w:rPr>
        <w:t>2</w:t>
      </w:r>
      <w:r>
        <w:rPr>
          <w:rFonts w:hint="eastAsia" w:ascii="宋体" w:hAnsi="宋体" w:cs="宋体"/>
          <w:color w:val="auto"/>
          <w:szCs w:val="21"/>
          <w:highlight w:val="none"/>
          <w:lang w:val="zh-CN"/>
        </w:rPr>
        <w:t xml:space="preserve"> 提供参加本项目类似案例简介；</w:t>
      </w:r>
    </w:p>
    <w:p>
      <w:pPr>
        <w:tabs>
          <w:tab w:val="left" w:pos="1035"/>
        </w:tabs>
        <w:autoSpaceDE w:val="0"/>
        <w:autoSpaceDN w:val="0"/>
        <w:spacing w:line="360" w:lineRule="auto"/>
        <w:ind w:firstLine="420" w:firstLineChars="200"/>
        <w:rPr>
          <w:rFonts w:ascii="宋体" w:hAnsi="宋体" w:cs="宋体"/>
          <w:color w:val="auto"/>
          <w:szCs w:val="21"/>
          <w:highlight w:val="none"/>
          <w:lang w:val="zh-CN"/>
        </w:rPr>
      </w:pPr>
      <w:r>
        <w:rPr>
          <w:rFonts w:hint="eastAsia" w:ascii="Times New Roman" w:hAnsi="Times New Roman" w:cs="宋体"/>
          <w:color w:val="auto"/>
          <w:szCs w:val="21"/>
          <w:highlight w:val="none"/>
          <w:lang w:val="zh-CN"/>
        </w:rPr>
        <w:t>13</w:t>
      </w:r>
      <w:r>
        <w:rPr>
          <w:rFonts w:hint="eastAsia" w:ascii="宋体" w:hAnsi="宋体" w:cs="宋体"/>
          <w:color w:val="auto"/>
          <w:szCs w:val="21"/>
          <w:highlight w:val="none"/>
          <w:lang w:val="zh-CN"/>
        </w:rPr>
        <w:t>.</w:t>
      </w:r>
      <w:r>
        <w:rPr>
          <w:rFonts w:hint="eastAsia" w:ascii="Times New Roman" w:hAnsi="Times New Roman" w:cs="宋体"/>
          <w:color w:val="auto"/>
          <w:szCs w:val="21"/>
          <w:highlight w:val="none"/>
          <w:lang w:val="zh-CN"/>
        </w:rPr>
        <w:t>3</w:t>
      </w:r>
      <w:r>
        <w:rPr>
          <w:rFonts w:hint="eastAsia" w:ascii="宋体" w:hAnsi="宋体" w:cs="宋体"/>
          <w:color w:val="auto"/>
          <w:szCs w:val="21"/>
          <w:highlight w:val="none"/>
          <w:lang w:val="zh-CN"/>
        </w:rPr>
        <w:t xml:space="preserve"> 培训计划；</w:t>
      </w:r>
    </w:p>
    <w:p>
      <w:pPr>
        <w:tabs>
          <w:tab w:val="left" w:pos="1035"/>
        </w:tabs>
        <w:autoSpaceDE w:val="0"/>
        <w:autoSpaceDN w:val="0"/>
        <w:spacing w:line="360" w:lineRule="auto"/>
        <w:ind w:firstLine="420" w:firstLineChars="200"/>
        <w:rPr>
          <w:rFonts w:ascii="宋体" w:hAnsi="宋体" w:cs="宋体"/>
          <w:color w:val="auto"/>
          <w:szCs w:val="21"/>
          <w:highlight w:val="none"/>
          <w:lang w:val="zh-CN"/>
        </w:rPr>
      </w:pPr>
      <w:r>
        <w:rPr>
          <w:rFonts w:hint="eastAsia" w:ascii="Times New Roman" w:hAnsi="Times New Roman" w:cs="宋体"/>
          <w:color w:val="auto"/>
          <w:szCs w:val="21"/>
          <w:highlight w:val="none"/>
          <w:lang w:val="zh-CN"/>
        </w:rPr>
        <w:t>13</w:t>
      </w:r>
      <w:r>
        <w:rPr>
          <w:rFonts w:hint="eastAsia" w:ascii="宋体" w:hAnsi="宋体" w:cs="宋体"/>
          <w:color w:val="auto"/>
          <w:szCs w:val="21"/>
          <w:highlight w:val="none"/>
          <w:lang w:val="zh-CN"/>
        </w:rPr>
        <w:t>.</w:t>
      </w:r>
      <w:r>
        <w:rPr>
          <w:rFonts w:hint="eastAsia" w:ascii="Times New Roman" w:hAnsi="Times New Roman" w:cs="宋体"/>
          <w:color w:val="auto"/>
          <w:szCs w:val="21"/>
          <w:highlight w:val="none"/>
          <w:lang w:val="zh-CN"/>
        </w:rPr>
        <w:t>4</w:t>
      </w:r>
      <w:r>
        <w:rPr>
          <w:rFonts w:hint="eastAsia" w:ascii="宋体" w:hAnsi="宋体" w:cs="宋体"/>
          <w:color w:val="auto"/>
          <w:szCs w:val="21"/>
          <w:highlight w:val="none"/>
          <w:lang w:val="zh-CN"/>
        </w:rPr>
        <w:t xml:space="preserve"> 详细阐述所投货物的主要组成部分、功能设计、实现思路及关键技术；</w:t>
      </w:r>
    </w:p>
    <w:p>
      <w:pPr>
        <w:tabs>
          <w:tab w:val="left" w:pos="1035"/>
        </w:tabs>
        <w:autoSpaceDE w:val="0"/>
        <w:autoSpaceDN w:val="0"/>
        <w:spacing w:line="360" w:lineRule="auto"/>
        <w:ind w:firstLine="420" w:firstLineChars="200"/>
        <w:rPr>
          <w:rFonts w:ascii="宋体" w:hAnsi="宋体" w:cs="宋体"/>
          <w:color w:val="auto"/>
          <w:szCs w:val="21"/>
          <w:highlight w:val="none"/>
          <w:lang w:val="zh-CN"/>
        </w:rPr>
      </w:pPr>
      <w:r>
        <w:rPr>
          <w:rFonts w:hint="eastAsia" w:ascii="Times New Roman" w:hAnsi="Times New Roman" w:cs="宋体"/>
          <w:color w:val="auto"/>
          <w:szCs w:val="21"/>
          <w:highlight w:val="none"/>
          <w:lang w:val="zh-CN"/>
        </w:rPr>
        <w:t>13</w:t>
      </w:r>
      <w:r>
        <w:rPr>
          <w:rFonts w:hint="eastAsia" w:ascii="宋体" w:hAnsi="宋体" w:cs="宋体"/>
          <w:color w:val="auto"/>
          <w:szCs w:val="21"/>
          <w:highlight w:val="none"/>
          <w:lang w:val="zh-CN"/>
        </w:rPr>
        <w:t>.</w:t>
      </w:r>
      <w:r>
        <w:rPr>
          <w:rFonts w:hint="eastAsia" w:ascii="Times New Roman" w:hAnsi="Times New Roman" w:cs="宋体"/>
          <w:color w:val="auto"/>
          <w:szCs w:val="21"/>
          <w:highlight w:val="none"/>
          <w:lang w:val="zh-CN"/>
        </w:rPr>
        <w:t>5</w:t>
      </w:r>
      <w:r>
        <w:rPr>
          <w:rFonts w:hint="eastAsia" w:ascii="宋体" w:hAnsi="宋体" w:cs="宋体"/>
          <w:color w:val="auto"/>
          <w:szCs w:val="21"/>
          <w:highlight w:val="none"/>
          <w:lang w:val="zh-CN"/>
        </w:rPr>
        <w:t xml:space="preserve"> 投标人认为需要的其他技术文件或说明；</w:t>
      </w:r>
    </w:p>
    <w:p>
      <w:pPr>
        <w:pStyle w:val="8"/>
        <w:tabs>
          <w:tab w:val="left" w:pos="0"/>
        </w:tabs>
        <w:spacing w:line="360" w:lineRule="auto"/>
        <w:rPr>
          <w:rFonts w:cs="宋体"/>
          <w:color w:val="auto"/>
          <w:sz w:val="21"/>
          <w:szCs w:val="21"/>
          <w:highlight w:val="none"/>
        </w:rPr>
      </w:pPr>
      <w:r>
        <w:rPr>
          <w:rFonts w:hint="eastAsia" w:ascii="Times New Roman" w:hAnsi="Times New Roman" w:cs="宋体"/>
          <w:color w:val="auto"/>
          <w:sz w:val="21"/>
          <w:szCs w:val="21"/>
          <w:highlight w:val="none"/>
          <w:lang w:eastAsia="zh-CN"/>
        </w:rPr>
        <w:t>14</w:t>
      </w:r>
      <w:r>
        <w:rPr>
          <w:rFonts w:hint="eastAsia" w:cs="宋体"/>
          <w:color w:val="auto"/>
          <w:sz w:val="21"/>
          <w:szCs w:val="21"/>
          <w:highlight w:val="none"/>
        </w:rPr>
        <w:t>、服务承诺及售后服务机构、人员的情况介绍</w:t>
      </w:r>
    </w:p>
    <w:p>
      <w:pPr>
        <w:tabs>
          <w:tab w:val="left" w:pos="1035"/>
        </w:tabs>
        <w:autoSpaceDE w:val="0"/>
        <w:autoSpaceDN w:val="0"/>
        <w:spacing w:line="360" w:lineRule="auto"/>
        <w:ind w:firstLine="420" w:firstLineChars="200"/>
        <w:rPr>
          <w:rFonts w:ascii="宋体" w:hAnsi="宋体" w:cs="宋体"/>
          <w:color w:val="auto"/>
          <w:szCs w:val="21"/>
          <w:highlight w:val="none"/>
          <w:lang w:val="zh-CN"/>
        </w:rPr>
      </w:pPr>
      <w:r>
        <w:rPr>
          <w:rFonts w:hint="eastAsia" w:ascii="Times New Roman" w:hAnsi="Times New Roman" w:cs="宋体"/>
          <w:color w:val="auto"/>
          <w:szCs w:val="21"/>
          <w:highlight w:val="none"/>
          <w:lang w:val="zh-CN"/>
        </w:rPr>
        <w:t>14</w:t>
      </w:r>
      <w:r>
        <w:rPr>
          <w:rFonts w:hint="eastAsia" w:ascii="宋体" w:hAnsi="宋体" w:cs="宋体"/>
          <w:color w:val="auto"/>
          <w:szCs w:val="21"/>
          <w:highlight w:val="none"/>
          <w:lang w:val="zh-CN"/>
        </w:rPr>
        <w:t>、</w:t>
      </w:r>
      <w:r>
        <w:rPr>
          <w:rFonts w:hint="eastAsia" w:ascii="Times New Roman" w:hAnsi="Times New Roman" w:cs="宋体"/>
          <w:color w:val="auto"/>
          <w:szCs w:val="21"/>
          <w:highlight w:val="none"/>
          <w:lang w:val="zh-CN"/>
        </w:rPr>
        <w:t>1</w:t>
      </w:r>
      <w:r>
        <w:rPr>
          <w:rFonts w:hint="eastAsia" w:ascii="宋体" w:hAnsi="宋体" w:cs="宋体"/>
          <w:color w:val="auto"/>
          <w:szCs w:val="21"/>
          <w:highlight w:val="none"/>
          <w:lang w:val="zh-CN"/>
        </w:rPr>
        <w:t>投标人的服务承诺应按不低于采购文件中商务要求的标准。</w:t>
      </w:r>
    </w:p>
    <w:p>
      <w:pPr>
        <w:spacing w:line="360" w:lineRule="auto"/>
        <w:ind w:firstLine="420" w:firstLineChars="200"/>
        <w:rPr>
          <w:rFonts w:ascii="宋体" w:hAnsi="宋体"/>
          <w:color w:val="auto"/>
          <w:szCs w:val="21"/>
          <w:highlight w:val="none"/>
        </w:rPr>
      </w:pPr>
      <w:r>
        <w:rPr>
          <w:rFonts w:hint="eastAsia" w:ascii="Times New Roman" w:hAnsi="Times New Roman"/>
          <w:bCs/>
          <w:color w:val="auto"/>
          <w:szCs w:val="21"/>
          <w:highlight w:val="none"/>
          <w:lang w:eastAsia="zh-CN"/>
        </w:rPr>
        <w:t>14</w:t>
      </w:r>
      <w:r>
        <w:rPr>
          <w:rFonts w:hint="eastAsia" w:ascii="宋体" w:hAnsi="宋体"/>
          <w:bCs/>
          <w:color w:val="auto"/>
          <w:szCs w:val="21"/>
          <w:highlight w:val="none"/>
        </w:rPr>
        <w:t>、</w:t>
      </w:r>
      <w:r>
        <w:rPr>
          <w:rFonts w:hint="eastAsia" w:ascii="Times New Roman" w:hAnsi="Times New Roman"/>
          <w:bCs/>
          <w:color w:val="auto"/>
          <w:szCs w:val="21"/>
          <w:highlight w:val="none"/>
          <w:lang w:eastAsia="zh-CN"/>
        </w:rPr>
        <w:t>2</w:t>
      </w:r>
      <w:r>
        <w:rPr>
          <w:rFonts w:hint="eastAsia" w:ascii="宋体" w:hAnsi="宋体"/>
          <w:color w:val="auto"/>
          <w:szCs w:val="21"/>
          <w:highlight w:val="none"/>
        </w:rPr>
        <w:t>提供投标人有关售后服务的管理制度、售后服务机构的分布情况、售后服务人员的数量、素质、技术水平及售后服务的反应能力。</w:t>
      </w:r>
    </w:p>
    <w:p>
      <w:pPr>
        <w:pStyle w:val="8"/>
        <w:tabs>
          <w:tab w:val="left" w:pos="0"/>
        </w:tabs>
        <w:spacing w:line="360" w:lineRule="auto"/>
        <w:rPr>
          <w:rFonts w:cs="宋体"/>
          <w:color w:val="auto"/>
          <w:sz w:val="21"/>
          <w:szCs w:val="21"/>
          <w:highlight w:val="none"/>
        </w:rPr>
      </w:pPr>
      <w:bookmarkStart w:id="85" w:name="_Toc49090510"/>
      <w:bookmarkStart w:id="86" w:name="_Toc14577359"/>
      <w:r>
        <w:rPr>
          <w:rFonts w:hint="eastAsia" w:ascii="Times New Roman" w:hAnsi="Times New Roman" w:cs="宋体"/>
          <w:color w:val="auto"/>
          <w:sz w:val="21"/>
          <w:szCs w:val="21"/>
          <w:highlight w:val="none"/>
          <w:lang w:eastAsia="zh-CN"/>
        </w:rPr>
        <w:t>15</w:t>
      </w:r>
      <w:r>
        <w:rPr>
          <w:rFonts w:hint="eastAsia" w:cs="宋体"/>
          <w:color w:val="auto"/>
          <w:sz w:val="21"/>
          <w:szCs w:val="21"/>
          <w:highlight w:val="none"/>
        </w:rPr>
        <w:t>、投标函和开标一览表</w:t>
      </w:r>
    </w:p>
    <w:p>
      <w:pPr>
        <w:spacing w:line="360" w:lineRule="auto"/>
        <w:ind w:firstLine="420" w:firstLineChars="200"/>
        <w:rPr>
          <w:rFonts w:ascii="宋体" w:hAnsi="宋体"/>
          <w:color w:val="auto"/>
          <w:szCs w:val="21"/>
          <w:highlight w:val="none"/>
        </w:rPr>
      </w:pPr>
      <w:r>
        <w:rPr>
          <w:rFonts w:hint="eastAsia" w:ascii="Times New Roman" w:hAnsi="Times New Roman"/>
          <w:bCs/>
          <w:color w:val="auto"/>
          <w:szCs w:val="21"/>
          <w:highlight w:val="none"/>
          <w:lang w:eastAsia="zh-CN"/>
        </w:rPr>
        <w:t>15</w:t>
      </w:r>
      <w:r>
        <w:rPr>
          <w:rFonts w:hint="eastAsia" w:ascii="宋体" w:hAnsi="宋体"/>
          <w:bCs/>
          <w:color w:val="auto"/>
          <w:szCs w:val="21"/>
          <w:highlight w:val="none"/>
        </w:rPr>
        <w:t>.</w:t>
      </w:r>
      <w:r>
        <w:rPr>
          <w:rFonts w:hint="eastAsia" w:ascii="Times New Roman" w:hAnsi="Times New Roman"/>
          <w:bCs/>
          <w:color w:val="auto"/>
          <w:szCs w:val="21"/>
          <w:highlight w:val="none"/>
          <w:lang w:eastAsia="zh-CN"/>
        </w:rPr>
        <w:t>1</w:t>
      </w:r>
      <w:r>
        <w:rPr>
          <w:rFonts w:hint="eastAsia" w:ascii="宋体" w:hAnsi="宋体"/>
          <w:color w:val="auto"/>
          <w:szCs w:val="21"/>
          <w:highlight w:val="none"/>
        </w:rPr>
        <w:t xml:space="preserve"> 投标人应按照采购文件中提供的格式完整、正确填写投标函、开标一览表。</w:t>
      </w:r>
    </w:p>
    <w:p>
      <w:pPr>
        <w:pStyle w:val="8"/>
        <w:tabs>
          <w:tab w:val="left" w:pos="0"/>
        </w:tabs>
        <w:spacing w:line="360" w:lineRule="auto"/>
        <w:rPr>
          <w:rFonts w:cs="宋体"/>
          <w:color w:val="auto"/>
          <w:sz w:val="21"/>
          <w:szCs w:val="21"/>
          <w:highlight w:val="none"/>
        </w:rPr>
      </w:pPr>
      <w:r>
        <w:rPr>
          <w:rFonts w:hint="eastAsia" w:ascii="Times New Roman" w:hAnsi="Times New Roman" w:cs="宋体"/>
          <w:color w:val="auto"/>
          <w:sz w:val="21"/>
          <w:szCs w:val="21"/>
          <w:highlight w:val="none"/>
          <w:lang w:eastAsia="zh-CN"/>
        </w:rPr>
        <w:t>16</w:t>
      </w:r>
      <w:r>
        <w:rPr>
          <w:rFonts w:hint="eastAsia" w:cs="宋体"/>
          <w:color w:val="auto"/>
          <w:sz w:val="21"/>
          <w:szCs w:val="21"/>
          <w:highlight w:val="none"/>
        </w:rPr>
        <w:t>、投标保证金</w:t>
      </w:r>
      <w:bookmarkEnd w:id="85"/>
      <w:bookmarkEnd w:id="86"/>
      <w:r>
        <w:rPr>
          <w:rFonts w:hint="eastAsia" w:cs="宋体"/>
          <w:color w:val="auto"/>
          <w:sz w:val="21"/>
          <w:szCs w:val="21"/>
          <w:highlight w:val="none"/>
        </w:rPr>
        <w:t>：</w:t>
      </w:r>
      <w:bookmarkStart w:id="87" w:name="_Toc49090511"/>
      <w:bookmarkStart w:id="88" w:name="_Toc14577360"/>
    </w:p>
    <w:p>
      <w:pPr>
        <w:spacing w:line="360" w:lineRule="auto"/>
        <w:ind w:firstLine="420" w:firstLineChars="200"/>
        <w:rPr>
          <w:rFonts w:hint="eastAsia" w:ascii="宋体" w:hAnsi="宋体"/>
          <w:color w:val="auto"/>
          <w:szCs w:val="21"/>
          <w:highlight w:val="none"/>
        </w:rPr>
      </w:pPr>
      <w:r>
        <w:rPr>
          <w:rFonts w:hint="eastAsia" w:ascii="Times New Roman" w:hAnsi="Times New Roman"/>
          <w:bCs/>
          <w:color w:val="auto"/>
          <w:szCs w:val="21"/>
          <w:highlight w:val="none"/>
          <w:lang w:eastAsia="zh-CN"/>
        </w:rPr>
        <w:t>16</w:t>
      </w:r>
      <w:r>
        <w:rPr>
          <w:rFonts w:hint="eastAsia" w:ascii="宋体" w:hAnsi="宋体"/>
          <w:bCs/>
          <w:color w:val="auto"/>
          <w:szCs w:val="21"/>
          <w:highlight w:val="none"/>
        </w:rPr>
        <w:t>.</w:t>
      </w:r>
      <w:r>
        <w:rPr>
          <w:rFonts w:hint="eastAsia" w:ascii="Times New Roman" w:hAnsi="Times New Roman"/>
          <w:bCs/>
          <w:color w:val="auto"/>
          <w:szCs w:val="21"/>
          <w:highlight w:val="none"/>
          <w:lang w:eastAsia="zh-CN"/>
        </w:rPr>
        <w:t>1</w:t>
      </w:r>
      <w:r>
        <w:rPr>
          <w:rFonts w:hint="eastAsia" w:ascii="宋体" w:hAnsi="宋体"/>
          <w:bCs/>
          <w:color w:val="auto"/>
          <w:szCs w:val="21"/>
          <w:highlight w:val="none"/>
        </w:rPr>
        <w:t xml:space="preserve"> </w:t>
      </w:r>
      <w:r>
        <w:rPr>
          <w:rFonts w:hint="eastAsia" w:ascii="宋体" w:hAnsi="宋体"/>
          <w:color w:val="auto"/>
          <w:szCs w:val="21"/>
          <w:highlight w:val="none"/>
        </w:rPr>
        <w:t>本次招标</w:t>
      </w:r>
      <w:r>
        <w:rPr>
          <w:rFonts w:hint="eastAsia" w:ascii="宋体" w:hAnsi="宋体"/>
          <w:color w:val="auto"/>
          <w:szCs w:val="21"/>
          <w:highlight w:val="none"/>
          <w:lang w:val="en-US" w:eastAsia="zh-CN"/>
        </w:rPr>
        <w:t>不</w:t>
      </w:r>
      <w:r>
        <w:rPr>
          <w:rFonts w:hint="eastAsia" w:ascii="宋体" w:hAnsi="宋体"/>
          <w:color w:val="auto"/>
          <w:szCs w:val="21"/>
          <w:highlight w:val="none"/>
        </w:rPr>
        <w:t>收取投标保证金。</w:t>
      </w:r>
    </w:p>
    <w:p>
      <w:pPr>
        <w:pStyle w:val="8"/>
        <w:tabs>
          <w:tab w:val="left" w:pos="0"/>
        </w:tabs>
        <w:spacing w:line="360" w:lineRule="auto"/>
        <w:rPr>
          <w:rFonts w:cs="宋体"/>
          <w:color w:val="auto"/>
          <w:sz w:val="21"/>
          <w:szCs w:val="21"/>
          <w:highlight w:val="none"/>
        </w:rPr>
      </w:pPr>
      <w:r>
        <w:rPr>
          <w:rFonts w:hint="eastAsia" w:ascii="Times New Roman" w:hAnsi="Times New Roman" w:cs="宋体"/>
          <w:color w:val="auto"/>
          <w:sz w:val="21"/>
          <w:szCs w:val="21"/>
          <w:highlight w:val="none"/>
          <w:lang w:eastAsia="zh-CN"/>
        </w:rPr>
        <w:t>17</w:t>
      </w:r>
      <w:r>
        <w:rPr>
          <w:rFonts w:hint="eastAsia" w:cs="宋体"/>
          <w:color w:val="auto"/>
          <w:sz w:val="21"/>
          <w:szCs w:val="21"/>
          <w:highlight w:val="none"/>
        </w:rPr>
        <w:t>、投标有效期</w:t>
      </w:r>
      <w:bookmarkEnd w:id="87"/>
      <w:bookmarkEnd w:id="88"/>
    </w:p>
    <w:p>
      <w:pPr>
        <w:spacing w:line="360" w:lineRule="auto"/>
        <w:ind w:firstLine="420" w:firstLineChars="200"/>
        <w:rPr>
          <w:rFonts w:ascii="宋体" w:hAnsi="宋体"/>
          <w:bCs/>
          <w:color w:val="auto"/>
          <w:szCs w:val="21"/>
          <w:highlight w:val="none"/>
        </w:rPr>
      </w:pPr>
      <w:r>
        <w:rPr>
          <w:rFonts w:hint="eastAsia" w:ascii="Times New Roman" w:hAnsi="Times New Roman"/>
          <w:color w:val="auto"/>
          <w:szCs w:val="21"/>
          <w:highlight w:val="none"/>
          <w:lang w:eastAsia="zh-CN"/>
        </w:rPr>
        <w:t>17</w:t>
      </w:r>
      <w:r>
        <w:rPr>
          <w:rFonts w:hint="eastAsia" w:ascii="宋体" w:hAnsi="宋体"/>
          <w:color w:val="auto"/>
          <w:szCs w:val="21"/>
          <w:highlight w:val="none"/>
        </w:rPr>
        <w:t>.</w:t>
      </w:r>
      <w:r>
        <w:rPr>
          <w:rFonts w:hint="eastAsia" w:ascii="Times New Roman" w:hAnsi="Times New Roman"/>
          <w:color w:val="auto"/>
          <w:szCs w:val="21"/>
          <w:highlight w:val="none"/>
          <w:lang w:eastAsia="zh-CN"/>
        </w:rPr>
        <w:t>1</w:t>
      </w:r>
      <w:r>
        <w:rPr>
          <w:rFonts w:hint="eastAsia" w:ascii="宋体" w:hAnsi="宋体"/>
          <w:bCs/>
          <w:color w:val="auto"/>
          <w:szCs w:val="21"/>
          <w:highlight w:val="none"/>
        </w:rPr>
        <w:t xml:space="preserve"> 投标有效期为代理机构规定的开标之日起</w:t>
      </w:r>
      <w:r>
        <w:rPr>
          <w:rFonts w:hint="eastAsia" w:ascii="宋体" w:hAnsi="宋体"/>
          <w:b/>
          <w:color w:val="auto"/>
          <w:szCs w:val="21"/>
          <w:highlight w:val="none"/>
          <w:u w:val="single"/>
        </w:rPr>
        <w:t>六十（</w:t>
      </w:r>
      <w:r>
        <w:rPr>
          <w:rFonts w:hint="eastAsia" w:ascii="Times New Roman" w:hAnsi="Times New Roman"/>
          <w:b/>
          <w:color w:val="auto"/>
          <w:szCs w:val="21"/>
          <w:highlight w:val="none"/>
          <w:u w:val="single"/>
          <w:lang w:eastAsia="zh-CN"/>
        </w:rPr>
        <w:t>60</w:t>
      </w:r>
      <w:r>
        <w:rPr>
          <w:rFonts w:hint="eastAsia" w:ascii="宋体" w:hAnsi="宋体"/>
          <w:b/>
          <w:color w:val="auto"/>
          <w:szCs w:val="21"/>
          <w:highlight w:val="none"/>
          <w:u w:val="single"/>
        </w:rPr>
        <w:t>）天</w:t>
      </w:r>
      <w:r>
        <w:rPr>
          <w:rFonts w:hint="eastAsia" w:ascii="宋体" w:hAnsi="宋体"/>
          <w:bCs/>
          <w:color w:val="auto"/>
          <w:szCs w:val="21"/>
          <w:highlight w:val="none"/>
        </w:rPr>
        <w:t>。投标有效期比规定短的将被视为非响应性投标而予以拒绝。</w:t>
      </w:r>
    </w:p>
    <w:p>
      <w:pPr>
        <w:spacing w:line="360" w:lineRule="auto"/>
        <w:ind w:firstLine="420" w:firstLineChars="200"/>
        <w:rPr>
          <w:rFonts w:ascii="宋体" w:hAnsi="宋体"/>
          <w:bCs/>
          <w:color w:val="auto"/>
          <w:szCs w:val="21"/>
          <w:highlight w:val="none"/>
        </w:rPr>
      </w:pPr>
      <w:r>
        <w:rPr>
          <w:rFonts w:hint="eastAsia" w:ascii="Times New Roman" w:hAnsi="Times New Roman"/>
          <w:color w:val="auto"/>
          <w:szCs w:val="21"/>
          <w:highlight w:val="none"/>
          <w:lang w:eastAsia="zh-CN"/>
        </w:rPr>
        <w:t>17</w:t>
      </w:r>
      <w:r>
        <w:rPr>
          <w:rFonts w:hint="eastAsia" w:ascii="宋体" w:hAnsi="宋体"/>
          <w:color w:val="auto"/>
          <w:szCs w:val="21"/>
          <w:highlight w:val="none"/>
        </w:rPr>
        <w:t>.</w:t>
      </w:r>
      <w:r>
        <w:rPr>
          <w:rFonts w:hint="eastAsia" w:ascii="Times New Roman" w:hAnsi="Times New Roman"/>
          <w:color w:val="auto"/>
          <w:szCs w:val="21"/>
          <w:highlight w:val="none"/>
          <w:lang w:eastAsia="zh-CN"/>
        </w:rPr>
        <w:t>2</w:t>
      </w:r>
      <w:r>
        <w:rPr>
          <w:rFonts w:hint="eastAsia" w:ascii="宋体" w:hAnsi="宋体"/>
          <w:bCs/>
          <w:color w:val="auto"/>
          <w:szCs w:val="21"/>
          <w:highlight w:val="none"/>
        </w:rPr>
        <w:t xml:space="preserve"> 在特殊情况下，代理机构于原投标有效期满之前，可向投标人提出延长投标有效期的要求。这种要求与答复均应采用书面形式。投标人可以拒绝代理机构的这一要求而放弃投标，</w:t>
      </w:r>
      <w:r>
        <w:rPr>
          <w:rFonts w:hint="eastAsia" w:ascii="宋体" w:hAnsi="宋体"/>
          <w:color w:val="auto"/>
          <w:szCs w:val="21"/>
          <w:highlight w:val="none"/>
        </w:rPr>
        <w:t>代理机构在接到投标人书面答复后，将在原投标有效期满后五日内</w:t>
      </w:r>
      <w:r>
        <w:rPr>
          <w:rFonts w:hint="eastAsia" w:ascii="宋体" w:hAnsi="宋体"/>
          <w:b/>
          <w:bCs/>
          <w:color w:val="auto"/>
          <w:szCs w:val="21"/>
          <w:highlight w:val="none"/>
        </w:rPr>
        <w:t>无息退还其投标保证金</w:t>
      </w:r>
      <w:r>
        <w:rPr>
          <w:rFonts w:hint="eastAsia" w:ascii="宋体" w:hAnsi="宋体"/>
          <w:color w:val="auto"/>
          <w:szCs w:val="21"/>
          <w:highlight w:val="none"/>
        </w:rPr>
        <w:t>；</w:t>
      </w:r>
      <w:r>
        <w:rPr>
          <w:rFonts w:hint="eastAsia" w:ascii="宋体" w:hAnsi="宋体"/>
          <w:bCs/>
          <w:color w:val="auto"/>
          <w:szCs w:val="21"/>
          <w:highlight w:val="none"/>
        </w:rPr>
        <w:t>同意延长投标有效期的投标人既不能要求也不允许修改其投标文件。本采购文件第</w:t>
      </w:r>
      <w:r>
        <w:rPr>
          <w:rFonts w:hint="eastAsia" w:ascii="Times New Roman" w:hAnsi="Times New Roman"/>
          <w:bCs/>
          <w:color w:val="auto"/>
          <w:szCs w:val="21"/>
          <w:highlight w:val="none"/>
          <w:lang w:eastAsia="zh-CN"/>
        </w:rPr>
        <w:t>16</w:t>
      </w:r>
      <w:r>
        <w:rPr>
          <w:rFonts w:hint="eastAsia" w:ascii="宋体" w:hAnsi="宋体"/>
          <w:bCs/>
          <w:color w:val="auto"/>
          <w:szCs w:val="21"/>
          <w:highlight w:val="none"/>
        </w:rPr>
        <w:t>条有关投标保证金的规定在延长期内继续有效</w:t>
      </w:r>
      <w:r>
        <w:rPr>
          <w:rFonts w:hint="eastAsia" w:ascii="宋体" w:hAnsi="宋体"/>
          <w:color w:val="auto"/>
          <w:szCs w:val="21"/>
          <w:highlight w:val="none"/>
        </w:rPr>
        <w:t>，同时受投标有效期约束的所有权利与义务均延长至新的有效期</w:t>
      </w:r>
      <w:r>
        <w:rPr>
          <w:rFonts w:hint="eastAsia" w:ascii="宋体" w:hAnsi="宋体"/>
          <w:bCs/>
          <w:color w:val="auto"/>
          <w:szCs w:val="21"/>
          <w:highlight w:val="none"/>
        </w:rPr>
        <w:t>。</w:t>
      </w:r>
    </w:p>
    <w:p>
      <w:pPr>
        <w:pStyle w:val="8"/>
        <w:tabs>
          <w:tab w:val="left" w:pos="0"/>
        </w:tabs>
        <w:spacing w:line="360" w:lineRule="auto"/>
        <w:rPr>
          <w:rFonts w:cs="宋体"/>
          <w:color w:val="auto"/>
          <w:sz w:val="21"/>
          <w:szCs w:val="21"/>
          <w:highlight w:val="none"/>
        </w:rPr>
      </w:pPr>
      <w:bookmarkStart w:id="89" w:name="_Toc14577361"/>
      <w:bookmarkStart w:id="90" w:name="_Toc49090512"/>
      <w:r>
        <w:rPr>
          <w:rFonts w:hint="eastAsia" w:ascii="Times New Roman" w:hAnsi="Times New Roman" w:cs="宋体"/>
          <w:color w:val="auto"/>
          <w:sz w:val="21"/>
          <w:szCs w:val="21"/>
          <w:highlight w:val="none"/>
          <w:lang w:eastAsia="zh-CN"/>
        </w:rPr>
        <w:t>18</w:t>
      </w:r>
      <w:r>
        <w:rPr>
          <w:rFonts w:hint="eastAsia" w:cs="宋体"/>
          <w:color w:val="auto"/>
          <w:sz w:val="21"/>
          <w:szCs w:val="21"/>
          <w:highlight w:val="none"/>
        </w:rPr>
        <w:t>、投标文件份数和签署</w:t>
      </w:r>
      <w:bookmarkEnd w:id="89"/>
      <w:bookmarkEnd w:id="90"/>
    </w:p>
    <w:p>
      <w:pPr>
        <w:spacing w:line="360" w:lineRule="auto"/>
        <w:ind w:firstLine="420" w:firstLineChars="200"/>
        <w:rPr>
          <w:rFonts w:ascii="宋体" w:hAnsi="宋体"/>
          <w:bCs/>
          <w:color w:val="auto"/>
          <w:szCs w:val="21"/>
          <w:highlight w:val="none"/>
        </w:rPr>
      </w:pPr>
      <w:r>
        <w:rPr>
          <w:rFonts w:hint="eastAsia" w:ascii="Times New Roman" w:hAnsi="Times New Roman"/>
          <w:color w:val="auto"/>
          <w:szCs w:val="21"/>
          <w:highlight w:val="none"/>
          <w:lang w:eastAsia="zh-CN"/>
        </w:rPr>
        <w:t>18</w:t>
      </w:r>
      <w:r>
        <w:rPr>
          <w:rFonts w:hint="eastAsia" w:ascii="宋体" w:hAnsi="宋体"/>
          <w:color w:val="auto"/>
          <w:szCs w:val="21"/>
          <w:highlight w:val="none"/>
        </w:rPr>
        <w:t>.</w:t>
      </w:r>
      <w:r>
        <w:rPr>
          <w:rFonts w:hint="eastAsia" w:ascii="Times New Roman" w:hAnsi="Times New Roman"/>
          <w:color w:val="auto"/>
          <w:szCs w:val="21"/>
          <w:highlight w:val="none"/>
          <w:lang w:eastAsia="zh-CN"/>
        </w:rPr>
        <w:t>1</w:t>
      </w:r>
      <w:r>
        <w:rPr>
          <w:rFonts w:hint="eastAsia" w:ascii="宋体" w:hAnsi="宋体"/>
          <w:bCs/>
          <w:color w:val="auto"/>
          <w:szCs w:val="21"/>
          <w:highlight w:val="none"/>
        </w:rPr>
        <w:t>投标人应严格按照采购公告和采购文件要求的份数准备投标文件，每份投标文件须清楚地标明“正本”或“副本”字样。一旦正本和副本不符，以正本为准。</w:t>
      </w:r>
    </w:p>
    <w:p>
      <w:pPr>
        <w:spacing w:line="360" w:lineRule="auto"/>
        <w:ind w:firstLine="420" w:firstLineChars="200"/>
        <w:rPr>
          <w:rFonts w:ascii="宋体" w:hAnsi="宋体"/>
          <w:bCs/>
          <w:color w:val="auto"/>
          <w:szCs w:val="21"/>
          <w:highlight w:val="none"/>
        </w:rPr>
      </w:pPr>
      <w:r>
        <w:rPr>
          <w:rFonts w:hint="eastAsia" w:ascii="Times New Roman" w:hAnsi="Times New Roman"/>
          <w:color w:val="auto"/>
          <w:szCs w:val="21"/>
          <w:highlight w:val="none"/>
          <w:lang w:eastAsia="zh-CN"/>
        </w:rPr>
        <w:t>18</w:t>
      </w:r>
      <w:r>
        <w:rPr>
          <w:rFonts w:hint="eastAsia" w:ascii="宋体" w:hAnsi="宋体"/>
          <w:color w:val="auto"/>
          <w:szCs w:val="21"/>
          <w:highlight w:val="none"/>
        </w:rPr>
        <w:t>.</w:t>
      </w:r>
      <w:r>
        <w:rPr>
          <w:rFonts w:hint="eastAsia" w:ascii="Times New Roman" w:hAnsi="Times New Roman"/>
          <w:color w:val="auto"/>
          <w:szCs w:val="21"/>
          <w:highlight w:val="none"/>
          <w:lang w:eastAsia="zh-CN"/>
        </w:rPr>
        <w:t>2</w:t>
      </w:r>
      <w:r>
        <w:rPr>
          <w:rFonts w:hint="eastAsia" w:ascii="宋体" w:hAnsi="宋体"/>
          <w:color w:val="auto"/>
          <w:szCs w:val="21"/>
          <w:highlight w:val="none"/>
        </w:rPr>
        <w:t>投标文件正本中，除采购文件规定的可提交复印件外，其他文件均须提交原件。文字材料需打印或用不褪色墨水书写。投标文件的正本须经法定代表人或授权代表签署和加盖投标人公章。 本采购文件所表述（指定）的公章是指法定名称章，不包括合同专用章、业务专用章等印章。</w:t>
      </w:r>
    </w:p>
    <w:p>
      <w:pPr>
        <w:spacing w:line="360" w:lineRule="auto"/>
        <w:ind w:firstLine="420" w:firstLineChars="200"/>
        <w:rPr>
          <w:rFonts w:ascii="宋体" w:hAnsi="宋体"/>
          <w:color w:val="auto"/>
          <w:szCs w:val="21"/>
          <w:highlight w:val="none"/>
        </w:rPr>
      </w:pPr>
      <w:r>
        <w:rPr>
          <w:rFonts w:hint="eastAsia" w:ascii="Times New Roman" w:hAnsi="Times New Roman"/>
          <w:color w:val="auto"/>
          <w:szCs w:val="21"/>
          <w:highlight w:val="none"/>
          <w:lang w:eastAsia="zh-CN"/>
        </w:rPr>
        <w:t>18</w:t>
      </w:r>
      <w:r>
        <w:rPr>
          <w:rFonts w:hint="eastAsia" w:ascii="宋体" w:hAnsi="宋体"/>
          <w:color w:val="auto"/>
          <w:szCs w:val="21"/>
          <w:highlight w:val="none"/>
        </w:rPr>
        <w:t>.</w:t>
      </w:r>
      <w:r>
        <w:rPr>
          <w:rFonts w:hint="eastAsia" w:ascii="Times New Roman" w:hAnsi="Times New Roman"/>
          <w:color w:val="auto"/>
          <w:szCs w:val="21"/>
          <w:highlight w:val="none"/>
          <w:lang w:eastAsia="zh-CN"/>
        </w:rPr>
        <w:t>3</w:t>
      </w:r>
      <w:r>
        <w:rPr>
          <w:rFonts w:hint="eastAsia" w:ascii="宋体" w:hAnsi="宋体"/>
          <w:bCs/>
          <w:color w:val="auto"/>
          <w:szCs w:val="21"/>
          <w:highlight w:val="none"/>
        </w:rPr>
        <w:t xml:space="preserve"> 除投标人对错处做必要修改外，投标文件不得行间插字、涂改或增删。如有修改错漏处，必须由法定代表人或授权代表签字或盖章。</w:t>
      </w:r>
    </w:p>
    <w:p>
      <w:pPr>
        <w:pStyle w:val="8"/>
        <w:tabs>
          <w:tab w:val="left" w:pos="0"/>
        </w:tabs>
        <w:spacing w:line="360" w:lineRule="auto"/>
        <w:rPr>
          <w:rFonts w:cs="宋体"/>
          <w:color w:val="auto"/>
          <w:sz w:val="21"/>
          <w:szCs w:val="21"/>
          <w:highlight w:val="none"/>
        </w:rPr>
      </w:pPr>
      <w:bookmarkStart w:id="91" w:name="_Toc513029225"/>
      <w:bookmarkStart w:id="92" w:name="_Toc16938541"/>
      <w:bookmarkStart w:id="93" w:name="_Toc462564084"/>
      <w:bookmarkStart w:id="94" w:name="_Toc20823297"/>
      <w:r>
        <w:rPr>
          <w:rFonts w:hint="eastAsia" w:ascii="Times New Roman" w:hAnsi="Times New Roman" w:cs="宋体"/>
          <w:color w:val="auto"/>
          <w:sz w:val="21"/>
          <w:szCs w:val="21"/>
          <w:highlight w:val="none"/>
          <w:lang w:eastAsia="zh-CN"/>
        </w:rPr>
        <w:t>19</w:t>
      </w:r>
      <w:r>
        <w:rPr>
          <w:rFonts w:hint="eastAsia" w:cs="宋体"/>
          <w:color w:val="auto"/>
          <w:sz w:val="21"/>
          <w:szCs w:val="21"/>
          <w:highlight w:val="none"/>
        </w:rPr>
        <w:t>、投标文件的密封和标记</w:t>
      </w:r>
      <w:bookmarkEnd w:id="91"/>
      <w:bookmarkEnd w:id="92"/>
      <w:bookmarkEnd w:id="93"/>
      <w:bookmarkEnd w:id="94"/>
    </w:p>
    <w:p>
      <w:pPr>
        <w:spacing w:line="360" w:lineRule="auto"/>
        <w:ind w:firstLine="420" w:firstLineChars="200"/>
        <w:rPr>
          <w:rFonts w:ascii="宋体" w:hAnsi="宋体"/>
          <w:bCs/>
          <w:color w:val="auto"/>
          <w:szCs w:val="21"/>
          <w:highlight w:val="none"/>
        </w:rPr>
      </w:pPr>
      <w:r>
        <w:rPr>
          <w:rFonts w:hint="eastAsia" w:ascii="Times New Roman" w:hAnsi="Times New Roman"/>
          <w:color w:val="auto"/>
          <w:szCs w:val="21"/>
          <w:highlight w:val="none"/>
          <w:lang w:eastAsia="zh-CN"/>
        </w:rPr>
        <w:t>19</w:t>
      </w:r>
      <w:r>
        <w:rPr>
          <w:rFonts w:hint="eastAsia" w:ascii="宋体" w:hAnsi="宋体"/>
          <w:color w:val="auto"/>
          <w:szCs w:val="21"/>
          <w:highlight w:val="none"/>
        </w:rPr>
        <w:t>.</w:t>
      </w:r>
      <w:r>
        <w:rPr>
          <w:rFonts w:hint="eastAsia" w:ascii="Times New Roman" w:hAnsi="Times New Roman"/>
          <w:color w:val="auto"/>
          <w:szCs w:val="21"/>
          <w:highlight w:val="none"/>
          <w:lang w:eastAsia="zh-CN"/>
        </w:rPr>
        <w:t>1</w:t>
      </w:r>
      <w:r>
        <w:rPr>
          <w:rFonts w:hint="eastAsia" w:ascii="宋体" w:hAnsi="宋体"/>
          <w:bCs/>
          <w:color w:val="auto"/>
          <w:szCs w:val="21"/>
          <w:highlight w:val="none"/>
        </w:rPr>
        <w:t>投标人应将投标文件正本和所有副本密封，不论投标人中标与否，投标文件均不退回。</w:t>
      </w:r>
    </w:p>
    <w:p>
      <w:pPr>
        <w:spacing w:line="360" w:lineRule="auto"/>
        <w:ind w:firstLine="420" w:firstLineChars="200"/>
        <w:rPr>
          <w:rFonts w:ascii="宋体" w:hAnsi="宋体"/>
          <w:bCs/>
          <w:color w:val="auto"/>
          <w:szCs w:val="21"/>
          <w:highlight w:val="none"/>
        </w:rPr>
      </w:pPr>
      <w:r>
        <w:rPr>
          <w:rFonts w:hint="eastAsia" w:ascii="Times New Roman" w:hAnsi="Times New Roman"/>
          <w:color w:val="auto"/>
          <w:szCs w:val="21"/>
          <w:highlight w:val="none"/>
          <w:lang w:eastAsia="zh-CN"/>
        </w:rPr>
        <w:t>19</w:t>
      </w:r>
      <w:r>
        <w:rPr>
          <w:rFonts w:hint="eastAsia" w:ascii="宋体" w:hAnsi="宋体"/>
          <w:color w:val="auto"/>
          <w:szCs w:val="21"/>
          <w:highlight w:val="none"/>
        </w:rPr>
        <w:t>.</w:t>
      </w:r>
      <w:r>
        <w:rPr>
          <w:rFonts w:hint="eastAsia" w:ascii="Times New Roman" w:hAnsi="Times New Roman"/>
          <w:color w:val="auto"/>
          <w:szCs w:val="21"/>
          <w:highlight w:val="none"/>
          <w:lang w:eastAsia="zh-CN"/>
        </w:rPr>
        <w:t>2</w:t>
      </w:r>
      <w:r>
        <w:rPr>
          <w:rFonts w:hint="eastAsia" w:ascii="宋体" w:hAnsi="宋体"/>
          <w:bCs/>
          <w:color w:val="auto"/>
          <w:szCs w:val="21"/>
          <w:highlight w:val="none"/>
        </w:rPr>
        <w:t xml:space="preserve"> 密封的投标文件应：</w:t>
      </w:r>
    </w:p>
    <w:p>
      <w:pPr>
        <w:spacing w:line="360" w:lineRule="auto"/>
        <w:ind w:firstLine="420" w:firstLineChars="200"/>
        <w:rPr>
          <w:rFonts w:ascii="宋体" w:hAnsi="宋体"/>
          <w:bCs/>
          <w:color w:val="auto"/>
          <w:szCs w:val="21"/>
          <w:highlight w:val="none"/>
        </w:rPr>
      </w:pPr>
      <w:r>
        <w:rPr>
          <w:rFonts w:hint="eastAsia" w:ascii="Times New Roman" w:hAnsi="Times New Roman"/>
          <w:bCs/>
          <w:color w:val="auto"/>
          <w:szCs w:val="21"/>
          <w:highlight w:val="none"/>
          <w:lang w:eastAsia="zh-CN"/>
        </w:rPr>
        <w:t>19</w:t>
      </w:r>
      <w:r>
        <w:rPr>
          <w:rFonts w:hint="eastAsia" w:ascii="宋体" w:hAnsi="宋体"/>
          <w:bCs/>
          <w:color w:val="auto"/>
          <w:szCs w:val="21"/>
          <w:highlight w:val="none"/>
        </w:rPr>
        <w:t>.</w:t>
      </w:r>
      <w:r>
        <w:rPr>
          <w:rFonts w:hint="eastAsia" w:ascii="Times New Roman" w:hAnsi="Times New Roman"/>
          <w:bCs/>
          <w:color w:val="auto"/>
          <w:szCs w:val="21"/>
          <w:highlight w:val="none"/>
          <w:lang w:eastAsia="zh-CN"/>
        </w:rPr>
        <w:t>2</w:t>
      </w:r>
      <w:r>
        <w:rPr>
          <w:rFonts w:hint="eastAsia" w:ascii="宋体" w:hAnsi="宋体"/>
          <w:bCs/>
          <w:color w:val="auto"/>
          <w:szCs w:val="21"/>
          <w:highlight w:val="none"/>
        </w:rPr>
        <w:t>.</w:t>
      </w:r>
      <w:r>
        <w:rPr>
          <w:rFonts w:hint="eastAsia" w:ascii="Times New Roman" w:hAnsi="Times New Roman"/>
          <w:bCs/>
          <w:color w:val="auto"/>
          <w:szCs w:val="21"/>
          <w:highlight w:val="none"/>
          <w:lang w:eastAsia="zh-CN"/>
        </w:rPr>
        <w:t>1</w:t>
      </w:r>
      <w:r>
        <w:rPr>
          <w:rFonts w:hint="eastAsia" w:ascii="宋体" w:hAnsi="宋体"/>
          <w:bCs/>
          <w:color w:val="auto"/>
          <w:szCs w:val="21"/>
          <w:highlight w:val="none"/>
        </w:rPr>
        <w:t xml:space="preserve"> 注明投标人名称，如因标注不清而产生的后果由投标人自负。按采购公告中注明的地址送达；</w:t>
      </w:r>
    </w:p>
    <w:p>
      <w:pPr>
        <w:spacing w:line="360" w:lineRule="auto"/>
        <w:ind w:firstLine="420" w:firstLineChars="200"/>
        <w:rPr>
          <w:rFonts w:ascii="宋体" w:hAnsi="宋体"/>
          <w:bCs/>
          <w:color w:val="auto"/>
          <w:szCs w:val="21"/>
          <w:highlight w:val="none"/>
        </w:rPr>
      </w:pPr>
      <w:r>
        <w:rPr>
          <w:rFonts w:hint="eastAsia" w:ascii="Times New Roman" w:hAnsi="Times New Roman"/>
          <w:bCs/>
          <w:color w:val="auto"/>
          <w:szCs w:val="21"/>
          <w:highlight w:val="none"/>
          <w:lang w:eastAsia="zh-CN"/>
        </w:rPr>
        <w:t>19</w:t>
      </w:r>
      <w:r>
        <w:rPr>
          <w:rFonts w:hint="eastAsia" w:ascii="宋体" w:hAnsi="宋体"/>
          <w:bCs/>
          <w:color w:val="auto"/>
          <w:szCs w:val="21"/>
          <w:highlight w:val="none"/>
        </w:rPr>
        <w:t>.</w:t>
      </w:r>
      <w:r>
        <w:rPr>
          <w:rFonts w:hint="eastAsia" w:ascii="Times New Roman" w:hAnsi="Times New Roman"/>
          <w:bCs/>
          <w:color w:val="auto"/>
          <w:szCs w:val="21"/>
          <w:highlight w:val="none"/>
          <w:lang w:eastAsia="zh-CN"/>
        </w:rPr>
        <w:t>2</w:t>
      </w:r>
      <w:r>
        <w:rPr>
          <w:rFonts w:hint="eastAsia" w:ascii="宋体" w:hAnsi="宋体"/>
          <w:bCs/>
          <w:color w:val="auto"/>
          <w:szCs w:val="21"/>
          <w:highlight w:val="none"/>
        </w:rPr>
        <w:t>.</w:t>
      </w:r>
      <w:r>
        <w:rPr>
          <w:rFonts w:hint="eastAsia" w:ascii="Times New Roman" w:hAnsi="Times New Roman"/>
          <w:bCs/>
          <w:color w:val="auto"/>
          <w:szCs w:val="21"/>
          <w:highlight w:val="none"/>
          <w:lang w:eastAsia="zh-CN"/>
        </w:rPr>
        <w:t>2</w:t>
      </w:r>
      <w:r>
        <w:rPr>
          <w:rFonts w:hint="eastAsia" w:ascii="宋体" w:hAnsi="宋体"/>
          <w:bCs/>
          <w:color w:val="auto"/>
          <w:szCs w:val="21"/>
          <w:highlight w:val="none"/>
        </w:rPr>
        <w:t>注明投标项目名称、标书编号及包号。</w:t>
      </w:r>
    </w:p>
    <w:p>
      <w:pPr>
        <w:spacing w:line="360" w:lineRule="auto"/>
        <w:ind w:firstLine="420" w:firstLineChars="200"/>
        <w:rPr>
          <w:rFonts w:ascii="宋体" w:hAnsi="宋体"/>
          <w:bCs/>
          <w:color w:val="auto"/>
          <w:szCs w:val="21"/>
          <w:highlight w:val="none"/>
        </w:rPr>
      </w:pPr>
      <w:r>
        <w:rPr>
          <w:rFonts w:hint="eastAsia" w:ascii="Times New Roman" w:hAnsi="Times New Roman"/>
          <w:color w:val="auto"/>
          <w:szCs w:val="21"/>
          <w:highlight w:val="none"/>
          <w:lang w:eastAsia="zh-CN"/>
        </w:rPr>
        <w:t>19</w:t>
      </w:r>
      <w:r>
        <w:rPr>
          <w:rFonts w:hint="eastAsia" w:ascii="宋体" w:hAnsi="宋体"/>
          <w:color w:val="auto"/>
          <w:szCs w:val="21"/>
          <w:highlight w:val="none"/>
        </w:rPr>
        <w:t>.</w:t>
      </w:r>
      <w:r>
        <w:rPr>
          <w:rFonts w:hint="eastAsia" w:ascii="Times New Roman" w:hAnsi="Times New Roman"/>
          <w:color w:val="auto"/>
          <w:szCs w:val="21"/>
          <w:highlight w:val="none"/>
          <w:lang w:eastAsia="zh-CN"/>
        </w:rPr>
        <w:t>2</w:t>
      </w:r>
      <w:r>
        <w:rPr>
          <w:rFonts w:hint="eastAsia" w:ascii="宋体" w:hAnsi="宋体"/>
          <w:color w:val="auto"/>
          <w:szCs w:val="21"/>
          <w:highlight w:val="none"/>
        </w:rPr>
        <w:t>.</w:t>
      </w:r>
      <w:r>
        <w:rPr>
          <w:rFonts w:hint="eastAsia" w:ascii="Times New Roman" w:hAnsi="Times New Roman"/>
          <w:color w:val="auto"/>
          <w:szCs w:val="21"/>
          <w:highlight w:val="none"/>
          <w:lang w:eastAsia="zh-CN"/>
        </w:rPr>
        <w:t>3</w:t>
      </w:r>
      <w:r>
        <w:rPr>
          <w:rFonts w:hint="eastAsia" w:ascii="宋体" w:hAnsi="宋体"/>
          <w:bCs/>
          <w:color w:val="auto"/>
          <w:szCs w:val="21"/>
          <w:highlight w:val="none"/>
        </w:rPr>
        <w:t>未按要求密封和加写标记，代理机构对误投或过早启封概不负责。对由此造成提前开封的投标文件，代理机构将予以拒绝，作无效投标处理。</w:t>
      </w:r>
    </w:p>
    <w:p>
      <w:pPr>
        <w:pStyle w:val="8"/>
        <w:tabs>
          <w:tab w:val="left" w:pos="0"/>
        </w:tabs>
        <w:spacing w:line="360" w:lineRule="auto"/>
        <w:rPr>
          <w:rFonts w:cs="宋体"/>
          <w:color w:val="auto"/>
          <w:sz w:val="21"/>
          <w:szCs w:val="21"/>
          <w:highlight w:val="none"/>
        </w:rPr>
      </w:pPr>
      <w:bookmarkStart w:id="95" w:name="_Toc20823298"/>
      <w:bookmarkStart w:id="96" w:name="_Toc16938542"/>
      <w:bookmarkStart w:id="97" w:name="_Toc513029226"/>
      <w:r>
        <w:rPr>
          <w:rFonts w:hint="eastAsia" w:ascii="Times New Roman" w:hAnsi="Times New Roman" w:cs="宋体"/>
          <w:color w:val="auto"/>
          <w:sz w:val="21"/>
          <w:szCs w:val="21"/>
          <w:highlight w:val="none"/>
          <w:lang w:eastAsia="zh-CN"/>
        </w:rPr>
        <w:t>20</w:t>
      </w:r>
      <w:r>
        <w:rPr>
          <w:rFonts w:hint="eastAsia" w:cs="宋体"/>
          <w:color w:val="auto"/>
          <w:sz w:val="21"/>
          <w:szCs w:val="21"/>
          <w:highlight w:val="none"/>
        </w:rPr>
        <w:t>、投标截止日期</w:t>
      </w:r>
      <w:bookmarkEnd w:id="95"/>
      <w:bookmarkEnd w:id="96"/>
      <w:bookmarkEnd w:id="97"/>
    </w:p>
    <w:p>
      <w:pPr>
        <w:spacing w:line="360" w:lineRule="auto"/>
        <w:ind w:firstLine="420" w:firstLineChars="200"/>
        <w:rPr>
          <w:rFonts w:ascii="宋体" w:hAnsi="宋体"/>
          <w:bCs/>
          <w:color w:val="auto"/>
          <w:szCs w:val="21"/>
          <w:highlight w:val="none"/>
        </w:rPr>
      </w:pPr>
      <w:r>
        <w:rPr>
          <w:rFonts w:hint="eastAsia" w:ascii="Times New Roman" w:hAnsi="Times New Roman"/>
          <w:color w:val="auto"/>
          <w:szCs w:val="21"/>
          <w:highlight w:val="none"/>
          <w:lang w:eastAsia="zh-CN"/>
        </w:rPr>
        <w:t>20</w:t>
      </w:r>
      <w:r>
        <w:rPr>
          <w:rFonts w:hint="eastAsia" w:ascii="宋体" w:hAnsi="宋体"/>
          <w:color w:val="auto"/>
          <w:szCs w:val="21"/>
          <w:highlight w:val="none"/>
        </w:rPr>
        <w:t>.</w:t>
      </w:r>
      <w:r>
        <w:rPr>
          <w:rFonts w:hint="eastAsia" w:ascii="Times New Roman" w:hAnsi="Times New Roman"/>
          <w:color w:val="auto"/>
          <w:szCs w:val="21"/>
          <w:highlight w:val="none"/>
          <w:lang w:eastAsia="zh-CN"/>
        </w:rPr>
        <w:t>1</w:t>
      </w:r>
      <w:r>
        <w:rPr>
          <w:rFonts w:hint="eastAsia" w:ascii="宋体" w:hAnsi="宋体"/>
          <w:bCs/>
          <w:color w:val="auto"/>
          <w:szCs w:val="21"/>
          <w:highlight w:val="none"/>
        </w:rPr>
        <w:t xml:space="preserve"> 代理机构收到投标文件的时间不得迟于采购公告中规定的截止时间。</w:t>
      </w:r>
    </w:p>
    <w:p>
      <w:pPr>
        <w:spacing w:line="360" w:lineRule="auto"/>
        <w:ind w:firstLine="420" w:firstLineChars="200"/>
        <w:rPr>
          <w:rFonts w:ascii="宋体" w:hAnsi="宋体"/>
          <w:bCs/>
          <w:color w:val="auto"/>
          <w:szCs w:val="21"/>
          <w:highlight w:val="none"/>
        </w:rPr>
      </w:pPr>
      <w:r>
        <w:rPr>
          <w:rFonts w:hint="eastAsia" w:ascii="Times New Roman" w:hAnsi="Times New Roman"/>
          <w:color w:val="auto"/>
          <w:szCs w:val="21"/>
          <w:highlight w:val="none"/>
          <w:lang w:eastAsia="zh-CN"/>
        </w:rPr>
        <w:t>20</w:t>
      </w:r>
      <w:r>
        <w:rPr>
          <w:rFonts w:hint="eastAsia" w:ascii="宋体" w:hAnsi="宋体"/>
          <w:color w:val="auto"/>
          <w:szCs w:val="21"/>
          <w:highlight w:val="none"/>
        </w:rPr>
        <w:t>.</w:t>
      </w:r>
      <w:r>
        <w:rPr>
          <w:rFonts w:hint="eastAsia" w:ascii="Times New Roman" w:hAnsi="Times New Roman"/>
          <w:color w:val="auto"/>
          <w:szCs w:val="21"/>
          <w:highlight w:val="none"/>
          <w:lang w:eastAsia="zh-CN"/>
        </w:rPr>
        <w:t>2</w:t>
      </w:r>
      <w:r>
        <w:rPr>
          <w:rFonts w:hint="eastAsia" w:ascii="宋体" w:hAnsi="宋体"/>
          <w:bCs/>
          <w:color w:val="auto"/>
          <w:szCs w:val="21"/>
          <w:highlight w:val="none"/>
        </w:rPr>
        <w:t xml:space="preserve"> 代理机构可以通过修改采购文件酌情延长投标截止日期，在此情况下，投标人的所有权利和义务以及投标人受制的截止日期均应以延长后新的截止日期为准。</w:t>
      </w:r>
    </w:p>
    <w:p>
      <w:pPr>
        <w:pStyle w:val="8"/>
        <w:tabs>
          <w:tab w:val="left" w:pos="0"/>
        </w:tabs>
        <w:spacing w:line="360" w:lineRule="auto"/>
        <w:rPr>
          <w:rFonts w:cs="宋体"/>
          <w:color w:val="auto"/>
          <w:sz w:val="21"/>
          <w:szCs w:val="21"/>
          <w:highlight w:val="none"/>
        </w:rPr>
      </w:pPr>
      <w:bookmarkStart w:id="98" w:name="_Toc16938543"/>
      <w:bookmarkStart w:id="99" w:name="_Toc513029227"/>
      <w:bookmarkStart w:id="100" w:name="_Toc20823299"/>
      <w:r>
        <w:rPr>
          <w:rFonts w:hint="eastAsia" w:ascii="Times New Roman" w:hAnsi="Times New Roman" w:cs="宋体"/>
          <w:color w:val="auto"/>
          <w:sz w:val="21"/>
          <w:szCs w:val="21"/>
          <w:highlight w:val="none"/>
          <w:lang w:eastAsia="zh-CN"/>
        </w:rPr>
        <w:t>21</w:t>
      </w:r>
      <w:r>
        <w:rPr>
          <w:rFonts w:hint="eastAsia" w:cs="宋体"/>
          <w:color w:val="auto"/>
          <w:sz w:val="21"/>
          <w:szCs w:val="21"/>
          <w:highlight w:val="none"/>
        </w:rPr>
        <w:t>、迟交的投标文件</w:t>
      </w:r>
      <w:bookmarkEnd w:id="98"/>
      <w:bookmarkEnd w:id="99"/>
      <w:bookmarkEnd w:id="100"/>
    </w:p>
    <w:p>
      <w:pPr>
        <w:spacing w:line="360" w:lineRule="auto"/>
        <w:ind w:firstLine="420" w:firstLineChars="200"/>
        <w:rPr>
          <w:rFonts w:ascii="宋体" w:hAnsi="宋体"/>
          <w:bCs/>
          <w:color w:val="auto"/>
          <w:szCs w:val="21"/>
          <w:highlight w:val="none"/>
        </w:rPr>
      </w:pPr>
      <w:r>
        <w:rPr>
          <w:rFonts w:hint="eastAsia" w:ascii="Times New Roman" w:hAnsi="Times New Roman"/>
          <w:color w:val="auto"/>
          <w:szCs w:val="21"/>
          <w:highlight w:val="none"/>
          <w:lang w:eastAsia="zh-CN"/>
        </w:rPr>
        <w:t>21</w:t>
      </w:r>
      <w:r>
        <w:rPr>
          <w:rFonts w:hint="eastAsia" w:ascii="宋体" w:hAnsi="宋体"/>
          <w:color w:val="auto"/>
          <w:szCs w:val="21"/>
          <w:highlight w:val="none"/>
        </w:rPr>
        <w:t>.</w:t>
      </w:r>
      <w:r>
        <w:rPr>
          <w:rFonts w:hint="eastAsia" w:ascii="Times New Roman" w:hAnsi="Times New Roman"/>
          <w:color w:val="auto"/>
          <w:szCs w:val="21"/>
          <w:highlight w:val="none"/>
          <w:lang w:eastAsia="zh-CN"/>
        </w:rPr>
        <w:t>1</w:t>
      </w:r>
      <w:r>
        <w:rPr>
          <w:rFonts w:hint="eastAsia" w:ascii="宋体" w:hAnsi="宋体"/>
          <w:bCs/>
          <w:color w:val="auto"/>
          <w:szCs w:val="21"/>
          <w:highlight w:val="none"/>
        </w:rPr>
        <w:t xml:space="preserve"> 代理机构拒绝接收在其规定的投标截止时间后递交的任何投标文件。</w:t>
      </w:r>
    </w:p>
    <w:p>
      <w:pPr>
        <w:pStyle w:val="8"/>
        <w:tabs>
          <w:tab w:val="left" w:pos="0"/>
        </w:tabs>
        <w:spacing w:line="360" w:lineRule="auto"/>
        <w:rPr>
          <w:rFonts w:cs="宋体"/>
          <w:color w:val="auto"/>
          <w:sz w:val="21"/>
          <w:szCs w:val="21"/>
          <w:highlight w:val="none"/>
        </w:rPr>
      </w:pPr>
      <w:bookmarkStart w:id="101" w:name="_Toc20823300"/>
      <w:bookmarkStart w:id="102" w:name="_Toc513029228"/>
      <w:bookmarkStart w:id="103" w:name="_Toc16938544"/>
      <w:r>
        <w:rPr>
          <w:rFonts w:hint="eastAsia" w:ascii="Times New Roman" w:hAnsi="Times New Roman" w:cs="宋体"/>
          <w:color w:val="auto"/>
          <w:sz w:val="21"/>
          <w:szCs w:val="21"/>
          <w:highlight w:val="none"/>
          <w:lang w:eastAsia="zh-CN"/>
        </w:rPr>
        <w:t>22</w:t>
      </w:r>
      <w:r>
        <w:rPr>
          <w:rFonts w:hint="eastAsia" w:cs="宋体"/>
          <w:color w:val="auto"/>
          <w:sz w:val="21"/>
          <w:szCs w:val="21"/>
          <w:highlight w:val="none"/>
        </w:rPr>
        <w:t>、投标文件的修改和撤回</w:t>
      </w:r>
      <w:bookmarkEnd w:id="101"/>
      <w:bookmarkEnd w:id="102"/>
      <w:bookmarkEnd w:id="103"/>
    </w:p>
    <w:p>
      <w:pPr>
        <w:spacing w:line="360" w:lineRule="auto"/>
        <w:ind w:firstLine="420" w:firstLineChars="200"/>
        <w:rPr>
          <w:rFonts w:ascii="宋体" w:hAnsi="宋体"/>
          <w:color w:val="auto"/>
          <w:szCs w:val="21"/>
          <w:highlight w:val="none"/>
        </w:rPr>
      </w:pPr>
      <w:r>
        <w:rPr>
          <w:rFonts w:hint="eastAsia" w:ascii="Times New Roman" w:hAnsi="Times New Roman"/>
          <w:color w:val="auto"/>
          <w:szCs w:val="21"/>
          <w:highlight w:val="none"/>
          <w:lang w:eastAsia="zh-CN"/>
        </w:rPr>
        <w:t>22</w:t>
      </w:r>
      <w:r>
        <w:rPr>
          <w:rFonts w:hint="eastAsia" w:ascii="宋体" w:hAnsi="宋体"/>
          <w:color w:val="auto"/>
          <w:szCs w:val="21"/>
          <w:highlight w:val="none"/>
        </w:rPr>
        <w:t>.</w:t>
      </w:r>
      <w:r>
        <w:rPr>
          <w:rFonts w:hint="eastAsia" w:ascii="Times New Roman" w:hAnsi="Times New Roman"/>
          <w:color w:val="auto"/>
          <w:szCs w:val="21"/>
          <w:highlight w:val="none"/>
          <w:lang w:eastAsia="zh-CN"/>
        </w:rPr>
        <w:t>1</w:t>
      </w:r>
      <w:r>
        <w:rPr>
          <w:rFonts w:hint="eastAsia" w:ascii="宋体" w:hAnsi="宋体"/>
          <w:bCs/>
          <w:color w:val="auto"/>
          <w:szCs w:val="21"/>
          <w:highlight w:val="none"/>
        </w:rPr>
        <w:t xml:space="preserve"> 投标人在递交投标文件后，可以修改或撤回其投标文件，但这种修改和撤回，必须在规定的投标截止时间前，以书面形式</w:t>
      </w:r>
      <w:r>
        <w:rPr>
          <w:rFonts w:hint="eastAsia" w:ascii="宋体" w:hAnsi="宋体"/>
          <w:color w:val="auto"/>
          <w:szCs w:val="21"/>
          <w:highlight w:val="none"/>
        </w:rPr>
        <w:t>通知代理机构，否则，代理机构将拒绝。</w:t>
      </w:r>
    </w:p>
    <w:p>
      <w:pPr>
        <w:spacing w:line="360" w:lineRule="auto"/>
        <w:ind w:firstLine="420" w:firstLineChars="200"/>
        <w:rPr>
          <w:rFonts w:ascii="宋体" w:hAnsi="宋体"/>
          <w:color w:val="auto"/>
          <w:szCs w:val="21"/>
          <w:highlight w:val="none"/>
        </w:rPr>
      </w:pPr>
      <w:r>
        <w:rPr>
          <w:rFonts w:hint="eastAsia" w:ascii="Times New Roman" w:hAnsi="Times New Roman"/>
          <w:color w:val="auto"/>
          <w:szCs w:val="21"/>
          <w:highlight w:val="none"/>
          <w:lang w:eastAsia="zh-CN"/>
        </w:rPr>
        <w:t>22</w:t>
      </w:r>
      <w:r>
        <w:rPr>
          <w:rFonts w:hint="eastAsia" w:ascii="宋体" w:hAnsi="宋体"/>
          <w:color w:val="auto"/>
          <w:szCs w:val="21"/>
          <w:highlight w:val="none"/>
        </w:rPr>
        <w:t>.</w:t>
      </w:r>
      <w:r>
        <w:rPr>
          <w:rFonts w:hint="eastAsia" w:ascii="Times New Roman" w:hAnsi="Times New Roman"/>
          <w:color w:val="auto"/>
          <w:szCs w:val="21"/>
          <w:highlight w:val="none"/>
          <w:lang w:eastAsia="zh-CN"/>
        </w:rPr>
        <w:t>2</w:t>
      </w:r>
      <w:r>
        <w:rPr>
          <w:rFonts w:hint="eastAsia" w:ascii="宋体" w:hAnsi="宋体"/>
          <w:bCs/>
          <w:color w:val="auto"/>
          <w:szCs w:val="21"/>
          <w:highlight w:val="none"/>
        </w:rPr>
        <w:t xml:space="preserve"> 投标人的修改或撤回文件应按规定进行编制、密封、标记和发送，并应在封套上加注“修改”或“撤回”字样。</w:t>
      </w:r>
      <w:r>
        <w:rPr>
          <w:rFonts w:hint="eastAsia" w:ascii="宋体" w:hAnsi="宋体"/>
          <w:color w:val="auto"/>
          <w:szCs w:val="21"/>
          <w:highlight w:val="none"/>
        </w:rPr>
        <w:t>上述补充或修改若涉及投标报价，必须注明“最后唯一报价”字样，否则将视为有选择的报价。修改文件必须在投标截止时间前送达代理机构。</w:t>
      </w:r>
    </w:p>
    <w:p>
      <w:pPr>
        <w:spacing w:line="360" w:lineRule="auto"/>
        <w:ind w:firstLine="420" w:firstLineChars="200"/>
        <w:rPr>
          <w:rFonts w:ascii="宋体" w:hAnsi="宋体"/>
          <w:bCs/>
          <w:color w:val="auto"/>
          <w:szCs w:val="21"/>
          <w:highlight w:val="none"/>
        </w:rPr>
      </w:pPr>
      <w:r>
        <w:rPr>
          <w:rFonts w:hint="eastAsia" w:ascii="Times New Roman" w:hAnsi="Times New Roman"/>
          <w:color w:val="auto"/>
          <w:szCs w:val="21"/>
          <w:highlight w:val="none"/>
          <w:lang w:eastAsia="zh-CN"/>
        </w:rPr>
        <w:t>22</w:t>
      </w:r>
      <w:r>
        <w:rPr>
          <w:rFonts w:hint="eastAsia" w:ascii="宋体" w:hAnsi="宋体"/>
          <w:color w:val="auto"/>
          <w:szCs w:val="21"/>
          <w:highlight w:val="none"/>
        </w:rPr>
        <w:t>.</w:t>
      </w:r>
      <w:r>
        <w:rPr>
          <w:rFonts w:hint="eastAsia" w:ascii="Times New Roman" w:hAnsi="Times New Roman"/>
          <w:color w:val="auto"/>
          <w:szCs w:val="21"/>
          <w:highlight w:val="none"/>
          <w:lang w:eastAsia="zh-CN"/>
        </w:rPr>
        <w:t>3</w:t>
      </w:r>
      <w:r>
        <w:rPr>
          <w:rFonts w:hint="eastAsia" w:ascii="宋体" w:hAnsi="宋体"/>
          <w:bCs/>
          <w:color w:val="auto"/>
          <w:szCs w:val="21"/>
          <w:highlight w:val="none"/>
        </w:rPr>
        <w:t xml:space="preserve"> 在投标截止时间之后，投标人不得对其投标文件作任何修改。</w:t>
      </w:r>
    </w:p>
    <w:p>
      <w:pPr>
        <w:spacing w:line="360" w:lineRule="auto"/>
        <w:ind w:firstLine="420" w:firstLineChars="200"/>
        <w:rPr>
          <w:rFonts w:ascii="宋体" w:hAnsi="宋体"/>
          <w:color w:val="auto"/>
          <w:szCs w:val="21"/>
          <w:highlight w:val="none"/>
        </w:rPr>
      </w:pPr>
      <w:r>
        <w:rPr>
          <w:rFonts w:hint="eastAsia" w:ascii="Times New Roman" w:hAnsi="Times New Roman"/>
          <w:color w:val="auto"/>
          <w:szCs w:val="21"/>
          <w:highlight w:val="none"/>
          <w:lang w:eastAsia="zh-CN"/>
        </w:rPr>
        <w:t>22</w:t>
      </w:r>
      <w:r>
        <w:rPr>
          <w:rFonts w:hint="eastAsia" w:ascii="宋体" w:hAnsi="宋体"/>
          <w:color w:val="auto"/>
          <w:szCs w:val="21"/>
          <w:highlight w:val="none"/>
        </w:rPr>
        <w:t>.</w:t>
      </w:r>
      <w:r>
        <w:rPr>
          <w:rFonts w:hint="eastAsia" w:ascii="Times New Roman" w:hAnsi="Times New Roman"/>
          <w:color w:val="auto"/>
          <w:szCs w:val="21"/>
          <w:highlight w:val="none"/>
          <w:lang w:eastAsia="zh-CN"/>
        </w:rPr>
        <w:t>4</w:t>
      </w:r>
      <w:r>
        <w:rPr>
          <w:rFonts w:hint="eastAsia" w:ascii="宋体" w:hAnsi="宋体"/>
          <w:bCs/>
          <w:color w:val="auto"/>
          <w:szCs w:val="21"/>
          <w:highlight w:val="none"/>
        </w:rPr>
        <w:t xml:space="preserve"> 在投标截止时间至采购文件中规定的投标有效期满之间的这段时间内，投标人不得撤回其投标，否则其投标保证金将不予退还。</w:t>
      </w:r>
    </w:p>
    <w:p>
      <w:pPr>
        <w:pStyle w:val="8"/>
        <w:tabs>
          <w:tab w:val="left" w:pos="0"/>
        </w:tabs>
        <w:spacing w:line="360" w:lineRule="auto"/>
        <w:rPr>
          <w:rFonts w:cs="宋体"/>
          <w:color w:val="auto"/>
          <w:sz w:val="21"/>
          <w:szCs w:val="21"/>
          <w:highlight w:val="none"/>
        </w:rPr>
      </w:pPr>
      <w:bookmarkStart w:id="104" w:name="_Toc20823302"/>
      <w:bookmarkStart w:id="105" w:name="_Toc16938546"/>
      <w:bookmarkStart w:id="106" w:name="_Toc513029230"/>
      <w:r>
        <w:rPr>
          <w:rFonts w:hint="eastAsia" w:ascii="Times New Roman" w:hAnsi="Times New Roman" w:cs="宋体"/>
          <w:color w:val="auto"/>
          <w:sz w:val="21"/>
          <w:szCs w:val="21"/>
          <w:highlight w:val="none"/>
          <w:lang w:eastAsia="zh-CN"/>
        </w:rPr>
        <w:t>23</w:t>
      </w:r>
      <w:r>
        <w:rPr>
          <w:rFonts w:hint="eastAsia" w:cs="宋体"/>
          <w:color w:val="auto"/>
          <w:sz w:val="21"/>
          <w:szCs w:val="21"/>
          <w:highlight w:val="none"/>
        </w:rPr>
        <w:t>、开标</w:t>
      </w:r>
      <w:bookmarkEnd w:id="104"/>
      <w:bookmarkEnd w:id="105"/>
      <w:bookmarkEnd w:id="106"/>
    </w:p>
    <w:p>
      <w:pPr>
        <w:spacing w:line="360" w:lineRule="auto"/>
        <w:ind w:firstLine="420" w:firstLineChars="200"/>
        <w:rPr>
          <w:rFonts w:ascii="宋体" w:hAnsi="宋体"/>
          <w:color w:val="auto"/>
          <w:szCs w:val="21"/>
          <w:highlight w:val="none"/>
        </w:rPr>
      </w:pPr>
      <w:r>
        <w:rPr>
          <w:rFonts w:hint="eastAsia" w:ascii="Times New Roman" w:hAnsi="Times New Roman"/>
          <w:color w:val="auto"/>
          <w:szCs w:val="21"/>
          <w:highlight w:val="none"/>
          <w:lang w:eastAsia="zh-CN"/>
        </w:rPr>
        <w:t>23</w:t>
      </w:r>
      <w:r>
        <w:rPr>
          <w:rFonts w:hint="eastAsia" w:ascii="宋体" w:hAnsi="宋体"/>
          <w:color w:val="auto"/>
          <w:szCs w:val="21"/>
          <w:highlight w:val="none"/>
        </w:rPr>
        <w:t>.</w:t>
      </w:r>
      <w:r>
        <w:rPr>
          <w:rFonts w:hint="eastAsia" w:ascii="Times New Roman" w:hAnsi="Times New Roman"/>
          <w:color w:val="auto"/>
          <w:szCs w:val="21"/>
          <w:highlight w:val="none"/>
          <w:lang w:eastAsia="zh-CN"/>
        </w:rPr>
        <w:t>1</w:t>
      </w:r>
      <w:r>
        <w:rPr>
          <w:rFonts w:hint="eastAsia" w:ascii="宋体" w:hAnsi="宋体"/>
          <w:bCs/>
          <w:color w:val="auto"/>
          <w:szCs w:val="21"/>
          <w:highlight w:val="none"/>
        </w:rPr>
        <w:t xml:space="preserve"> 代理机构将在采购公告中规定的时间和地点组织公开开标</w:t>
      </w:r>
      <w:r>
        <w:rPr>
          <w:rFonts w:hint="eastAsia" w:ascii="宋体" w:hAnsi="宋体"/>
          <w:color w:val="auto"/>
          <w:szCs w:val="21"/>
          <w:highlight w:val="none"/>
        </w:rPr>
        <w:t>。投标人应委派携带有效证件的代表准时参加，参加开标的代表需签名以证明其出席。投标人未参加开标的，视同认可开标结果。</w:t>
      </w:r>
    </w:p>
    <w:p>
      <w:pPr>
        <w:spacing w:line="360" w:lineRule="auto"/>
        <w:rPr>
          <w:rFonts w:ascii="宋体" w:hAnsi="宋体"/>
          <w:color w:val="auto"/>
          <w:szCs w:val="21"/>
          <w:highlight w:val="none"/>
        </w:rPr>
      </w:pPr>
      <w:r>
        <w:rPr>
          <w:rFonts w:hint="eastAsia" w:ascii="Times New Roman" w:hAnsi="Times New Roman"/>
          <w:bCs/>
          <w:color w:val="auto"/>
          <w:szCs w:val="21"/>
          <w:highlight w:val="none"/>
          <w:lang w:eastAsia="zh-CN"/>
        </w:rPr>
        <w:t>23</w:t>
      </w:r>
      <w:r>
        <w:rPr>
          <w:rFonts w:hint="eastAsia" w:ascii="宋体" w:hAnsi="宋体"/>
          <w:bCs/>
          <w:color w:val="auto"/>
          <w:szCs w:val="21"/>
          <w:highlight w:val="none"/>
        </w:rPr>
        <w:t>.</w:t>
      </w:r>
      <w:r>
        <w:rPr>
          <w:rFonts w:hint="eastAsia" w:ascii="Times New Roman" w:hAnsi="Times New Roman"/>
          <w:bCs/>
          <w:color w:val="auto"/>
          <w:szCs w:val="21"/>
          <w:highlight w:val="none"/>
          <w:lang w:eastAsia="zh-CN"/>
        </w:rPr>
        <w:t>2</w:t>
      </w:r>
      <w:r>
        <w:rPr>
          <w:rFonts w:hint="eastAsia" w:ascii="宋体" w:hAnsi="宋体"/>
          <w:color w:val="auto"/>
          <w:szCs w:val="21"/>
          <w:highlight w:val="none"/>
        </w:rPr>
        <w:t>开标仪式由代理机构组织，采购人代表、公证员、监委、投标人代表等参加。</w:t>
      </w:r>
    </w:p>
    <w:p>
      <w:pPr>
        <w:spacing w:line="360" w:lineRule="auto"/>
        <w:ind w:firstLine="420" w:firstLineChars="200"/>
        <w:rPr>
          <w:rFonts w:ascii="宋体" w:hAnsi="宋体"/>
          <w:bCs/>
          <w:color w:val="auto"/>
          <w:szCs w:val="21"/>
          <w:highlight w:val="none"/>
        </w:rPr>
      </w:pPr>
      <w:r>
        <w:rPr>
          <w:rFonts w:hint="eastAsia" w:ascii="Times New Roman" w:hAnsi="Times New Roman"/>
          <w:color w:val="auto"/>
          <w:szCs w:val="21"/>
          <w:highlight w:val="none"/>
          <w:lang w:eastAsia="zh-CN"/>
        </w:rPr>
        <w:t>23</w:t>
      </w:r>
      <w:r>
        <w:rPr>
          <w:rFonts w:hint="eastAsia" w:ascii="宋体" w:hAnsi="宋体"/>
          <w:color w:val="auto"/>
          <w:szCs w:val="21"/>
          <w:highlight w:val="none"/>
        </w:rPr>
        <w:t>.</w:t>
      </w:r>
      <w:r>
        <w:rPr>
          <w:rFonts w:hint="eastAsia" w:ascii="Times New Roman" w:hAnsi="Times New Roman"/>
          <w:color w:val="auto"/>
          <w:szCs w:val="21"/>
          <w:highlight w:val="none"/>
          <w:lang w:eastAsia="zh-CN"/>
        </w:rPr>
        <w:t>3</w:t>
      </w:r>
      <w:r>
        <w:rPr>
          <w:rFonts w:hint="eastAsia" w:ascii="宋体" w:hAnsi="宋体"/>
          <w:bCs/>
          <w:color w:val="auto"/>
          <w:szCs w:val="21"/>
          <w:highlight w:val="none"/>
        </w:rPr>
        <w:t>按照规定同意撤回的投标文件将不予开封。</w:t>
      </w:r>
    </w:p>
    <w:p>
      <w:pPr>
        <w:spacing w:line="360" w:lineRule="auto"/>
        <w:ind w:firstLine="420" w:firstLineChars="200"/>
        <w:rPr>
          <w:rFonts w:ascii="宋体" w:hAnsi="宋体"/>
          <w:color w:val="auto"/>
          <w:szCs w:val="21"/>
          <w:highlight w:val="none"/>
        </w:rPr>
      </w:pPr>
      <w:r>
        <w:rPr>
          <w:rFonts w:hint="eastAsia" w:ascii="Times New Roman" w:hAnsi="Times New Roman"/>
          <w:color w:val="auto"/>
          <w:szCs w:val="21"/>
          <w:highlight w:val="none"/>
          <w:lang w:eastAsia="zh-CN"/>
        </w:rPr>
        <w:t>23</w:t>
      </w:r>
      <w:r>
        <w:rPr>
          <w:rFonts w:hint="eastAsia" w:ascii="宋体" w:hAnsi="宋体"/>
          <w:color w:val="auto"/>
          <w:szCs w:val="21"/>
          <w:highlight w:val="none"/>
        </w:rPr>
        <w:t>.</w:t>
      </w:r>
      <w:r>
        <w:rPr>
          <w:rFonts w:hint="eastAsia" w:ascii="Times New Roman" w:hAnsi="Times New Roman"/>
          <w:color w:val="auto"/>
          <w:szCs w:val="21"/>
          <w:highlight w:val="none"/>
          <w:lang w:eastAsia="zh-CN"/>
        </w:rPr>
        <w:t>4</w:t>
      </w:r>
      <w:r>
        <w:rPr>
          <w:rFonts w:hint="eastAsia" w:ascii="宋体" w:hAnsi="宋体"/>
          <w:color w:val="auto"/>
          <w:szCs w:val="21"/>
          <w:highlight w:val="none"/>
        </w:rPr>
        <w:t xml:space="preserve"> 开标时请投标人推选的代表查验投标文件密封情况，投标登记薄上作纪录无误后，代理机构当众拆封宣读每份投标文件中“开标一览表”的内容，未列入开标一览表的内容一律不在开标时宣读。开标时未宣读的投标报价信息，不得在评标时采用。</w:t>
      </w:r>
    </w:p>
    <w:p>
      <w:pPr>
        <w:spacing w:line="360" w:lineRule="auto"/>
        <w:rPr>
          <w:rFonts w:ascii="宋体" w:hAnsi="宋体"/>
          <w:color w:val="auto"/>
          <w:szCs w:val="21"/>
          <w:highlight w:val="none"/>
        </w:rPr>
      </w:pPr>
      <w:r>
        <w:rPr>
          <w:rFonts w:hint="eastAsia" w:ascii="宋体" w:hAnsi="宋体"/>
          <w:color w:val="auto"/>
          <w:szCs w:val="21"/>
          <w:highlight w:val="none"/>
        </w:rPr>
        <w:t xml:space="preserve">    </w:t>
      </w:r>
      <w:r>
        <w:rPr>
          <w:rFonts w:hint="eastAsia" w:ascii="Times New Roman" w:hAnsi="Times New Roman"/>
          <w:color w:val="auto"/>
          <w:szCs w:val="21"/>
          <w:highlight w:val="none"/>
          <w:lang w:eastAsia="zh-CN"/>
        </w:rPr>
        <w:t>23</w:t>
      </w:r>
      <w:r>
        <w:rPr>
          <w:rFonts w:hint="eastAsia" w:ascii="宋体" w:hAnsi="宋体"/>
          <w:color w:val="auto"/>
          <w:szCs w:val="21"/>
          <w:highlight w:val="none"/>
        </w:rPr>
        <w:t>.</w:t>
      </w:r>
      <w:r>
        <w:rPr>
          <w:rFonts w:hint="eastAsia" w:ascii="Times New Roman" w:hAnsi="Times New Roman"/>
          <w:color w:val="auto"/>
          <w:szCs w:val="21"/>
          <w:highlight w:val="none"/>
          <w:lang w:eastAsia="zh-CN"/>
        </w:rPr>
        <w:t>5</w:t>
      </w:r>
      <w:r>
        <w:rPr>
          <w:rFonts w:hint="eastAsia" w:ascii="宋体" w:hAnsi="宋体"/>
          <w:color w:val="auto"/>
          <w:szCs w:val="21"/>
          <w:highlight w:val="none"/>
        </w:rPr>
        <w:t xml:space="preserve"> 代理机构将指定专人负责开标记录并存档备查，各投标人需仔细核对开标纪录相关内容并签字确认。</w:t>
      </w:r>
    </w:p>
    <w:p>
      <w:pPr>
        <w:spacing w:line="360" w:lineRule="auto"/>
        <w:ind w:firstLine="420" w:firstLineChars="200"/>
        <w:rPr>
          <w:rFonts w:ascii="宋体" w:hAnsi="宋体"/>
          <w:color w:val="auto"/>
          <w:szCs w:val="21"/>
          <w:highlight w:val="none"/>
        </w:rPr>
      </w:pPr>
      <w:r>
        <w:rPr>
          <w:rFonts w:hint="eastAsia" w:ascii="Times New Roman" w:hAnsi="Times New Roman"/>
          <w:color w:val="auto"/>
          <w:szCs w:val="21"/>
          <w:highlight w:val="none"/>
          <w:lang w:eastAsia="zh-CN"/>
        </w:rPr>
        <w:t>23</w:t>
      </w:r>
      <w:r>
        <w:rPr>
          <w:rFonts w:hint="eastAsia" w:ascii="宋体" w:hAnsi="宋体"/>
          <w:color w:val="auto"/>
          <w:szCs w:val="21"/>
          <w:highlight w:val="none"/>
        </w:rPr>
        <w:t>.</w:t>
      </w:r>
      <w:r>
        <w:rPr>
          <w:rFonts w:hint="eastAsia" w:ascii="Times New Roman" w:hAnsi="Times New Roman"/>
          <w:color w:val="auto"/>
          <w:szCs w:val="21"/>
          <w:highlight w:val="none"/>
          <w:lang w:eastAsia="zh-CN"/>
        </w:rPr>
        <w:t>6</w:t>
      </w:r>
      <w:r>
        <w:rPr>
          <w:rFonts w:hint="eastAsia" w:ascii="宋体" w:hAnsi="宋体"/>
          <w:color w:val="auto"/>
          <w:szCs w:val="21"/>
          <w:highlight w:val="none"/>
        </w:rPr>
        <w:t xml:space="preserve"> 投标人在报价时不允许采用选择性报价，否则将被视为无效投标。</w:t>
      </w:r>
    </w:p>
    <w:p>
      <w:pPr>
        <w:pStyle w:val="8"/>
        <w:tabs>
          <w:tab w:val="left" w:pos="0"/>
        </w:tabs>
        <w:spacing w:line="360" w:lineRule="auto"/>
        <w:rPr>
          <w:rFonts w:cs="宋体"/>
          <w:color w:val="auto"/>
          <w:sz w:val="21"/>
          <w:szCs w:val="21"/>
          <w:highlight w:val="none"/>
        </w:rPr>
      </w:pPr>
      <w:bookmarkStart w:id="107" w:name="_Toc20823303"/>
      <w:bookmarkStart w:id="108" w:name="_Toc513029231"/>
      <w:bookmarkStart w:id="109" w:name="_Toc16938547"/>
      <w:r>
        <w:rPr>
          <w:rFonts w:hint="eastAsia" w:ascii="Times New Roman" w:hAnsi="Times New Roman" w:cs="宋体"/>
          <w:color w:val="auto"/>
          <w:sz w:val="21"/>
          <w:szCs w:val="21"/>
          <w:highlight w:val="none"/>
          <w:lang w:eastAsia="zh-CN"/>
        </w:rPr>
        <w:t>24</w:t>
      </w:r>
      <w:r>
        <w:rPr>
          <w:rFonts w:hint="eastAsia" w:cs="宋体"/>
          <w:color w:val="auto"/>
          <w:sz w:val="21"/>
          <w:szCs w:val="21"/>
          <w:highlight w:val="none"/>
        </w:rPr>
        <w:t>、评标委员会</w:t>
      </w:r>
    </w:p>
    <w:p>
      <w:pPr>
        <w:spacing w:line="360" w:lineRule="auto"/>
        <w:rPr>
          <w:rFonts w:ascii="宋体" w:hAnsi="宋体"/>
          <w:color w:val="auto"/>
          <w:szCs w:val="21"/>
          <w:highlight w:val="none"/>
        </w:rPr>
      </w:pPr>
      <w:r>
        <w:rPr>
          <w:rFonts w:hint="eastAsia" w:ascii="宋体" w:hAnsi="宋体"/>
          <w:color w:val="auto"/>
          <w:szCs w:val="21"/>
          <w:highlight w:val="none"/>
        </w:rPr>
        <w:t xml:space="preserve">    </w:t>
      </w:r>
      <w:r>
        <w:rPr>
          <w:rFonts w:hint="eastAsia" w:ascii="Times New Roman" w:hAnsi="Times New Roman"/>
          <w:color w:val="auto"/>
          <w:szCs w:val="21"/>
          <w:highlight w:val="none"/>
          <w:lang w:eastAsia="zh-CN"/>
        </w:rPr>
        <w:t>24</w:t>
      </w:r>
      <w:r>
        <w:rPr>
          <w:rFonts w:hint="eastAsia" w:ascii="宋体" w:hAnsi="宋体"/>
          <w:color w:val="auto"/>
          <w:szCs w:val="21"/>
          <w:highlight w:val="none"/>
        </w:rPr>
        <w:t>.</w:t>
      </w:r>
      <w:r>
        <w:rPr>
          <w:rFonts w:hint="eastAsia" w:ascii="Times New Roman" w:hAnsi="Times New Roman"/>
          <w:color w:val="auto"/>
          <w:szCs w:val="21"/>
          <w:highlight w:val="none"/>
          <w:lang w:eastAsia="zh-CN"/>
        </w:rPr>
        <w:t>1</w:t>
      </w:r>
      <w:r>
        <w:rPr>
          <w:rFonts w:hint="eastAsia" w:ascii="宋体" w:hAnsi="宋体"/>
          <w:color w:val="auto"/>
          <w:szCs w:val="21"/>
          <w:highlight w:val="none"/>
        </w:rPr>
        <w:t>开标后，代理机构将立即组织评标委员会（以下简称评委会）进行评标。</w:t>
      </w:r>
    </w:p>
    <w:p>
      <w:pPr>
        <w:spacing w:line="360" w:lineRule="auto"/>
        <w:rPr>
          <w:rFonts w:ascii="宋体" w:hAnsi="宋体"/>
          <w:color w:val="auto"/>
          <w:szCs w:val="21"/>
          <w:highlight w:val="none"/>
        </w:rPr>
      </w:pPr>
      <w:r>
        <w:rPr>
          <w:rFonts w:hint="eastAsia" w:ascii="宋体" w:hAnsi="宋体"/>
          <w:color w:val="auto"/>
          <w:szCs w:val="21"/>
          <w:highlight w:val="none"/>
        </w:rPr>
        <w:t xml:space="preserve">    </w:t>
      </w:r>
      <w:r>
        <w:rPr>
          <w:rFonts w:hint="eastAsia" w:ascii="Times New Roman" w:hAnsi="Times New Roman"/>
          <w:color w:val="auto"/>
          <w:szCs w:val="21"/>
          <w:highlight w:val="none"/>
          <w:lang w:eastAsia="zh-CN"/>
        </w:rPr>
        <w:t>24</w:t>
      </w:r>
      <w:r>
        <w:rPr>
          <w:rFonts w:hint="eastAsia" w:ascii="宋体" w:hAnsi="宋体"/>
          <w:color w:val="auto"/>
          <w:szCs w:val="21"/>
          <w:highlight w:val="none"/>
        </w:rPr>
        <w:t>.</w:t>
      </w:r>
      <w:r>
        <w:rPr>
          <w:rFonts w:hint="eastAsia" w:ascii="Times New Roman" w:hAnsi="Times New Roman"/>
          <w:color w:val="auto"/>
          <w:szCs w:val="21"/>
          <w:highlight w:val="none"/>
          <w:lang w:eastAsia="zh-CN"/>
        </w:rPr>
        <w:t>2</w:t>
      </w:r>
      <w:r>
        <w:rPr>
          <w:rFonts w:hint="eastAsia" w:ascii="宋体" w:hAnsi="宋体"/>
          <w:color w:val="auto"/>
          <w:szCs w:val="21"/>
          <w:highlight w:val="none"/>
        </w:rPr>
        <w:t xml:space="preserve"> 评委会由采购人代表和有关技术、经济等方面的专家组成，且人员构成符合政府采购有关规定。</w:t>
      </w:r>
    </w:p>
    <w:p>
      <w:pPr>
        <w:spacing w:line="360" w:lineRule="auto"/>
        <w:rPr>
          <w:rFonts w:ascii="宋体" w:hAnsi="宋体"/>
          <w:color w:val="auto"/>
          <w:szCs w:val="21"/>
          <w:highlight w:val="none"/>
        </w:rPr>
      </w:pPr>
      <w:r>
        <w:rPr>
          <w:rFonts w:hint="eastAsia" w:ascii="宋体" w:hAnsi="宋体"/>
          <w:color w:val="auto"/>
          <w:szCs w:val="21"/>
          <w:highlight w:val="none"/>
        </w:rPr>
        <w:t xml:space="preserve">    </w:t>
      </w:r>
      <w:r>
        <w:rPr>
          <w:rFonts w:hint="eastAsia" w:ascii="Times New Roman" w:hAnsi="Times New Roman"/>
          <w:color w:val="auto"/>
          <w:szCs w:val="21"/>
          <w:highlight w:val="none"/>
          <w:lang w:eastAsia="zh-CN"/>
        </w:rPr>
        <w:t>24</w:t>
      </w:r>
      <w:r>
        <w:rPr>
          <w:rFonts w:hint="eastAsia" w:ascii="宋体" w:hAnsi="宋体"/>
          <w:color w:val="auto"/>
          <w:szCs w:val="21"/>
          <w:highlight w:val="none"/>
        </w:rPr>
        <w:t>.</w:t>
      </w:r>
      <w:r>
        <w:rPr>
          <w:rFonts w:hint="eastAsia" w:ascii="Times New Roman" w:hAnsi="Times New Roman"/>
          <w:color w:val="auto"/>
          <w:szCs w:val="21"/>
          <w:highlight w:val="none"/>
          <w:lang w:eastAsia="zh-CN"/>
        </w:rPr>
        <w:t>3</w:t>
      </w:r>
      <w:r>
        <w:rPr>
          <w:rFonts w:hint="eastAsia" w:ascii="宋体" w:hAnsi="宋体"/>
          <w:color w:val="auto"/>
          <w:szCs w:val="21"/>
          <w:highlight w:val="none"/>
        </w:rPr>
        <w:t>评委会独立工作，负责评审所有投标文件并确定中标候选人。</w:t>
      </w:r>
    </w:p>
    <w:p>
      <w:pPr>
        <w:pStyle w:val="8"/>
        <w:tabs>
          <w:tab w:val="left" w:pos="0"/>
        </w:tabs>
        <w:spacing w:line="360" w:lineRule="auto"/>
        <w:rPr>
          <w:rFonts w:cs="宋体"/>
          <w:color w:val="auto"/>
          <w:sz w:val="21"/>
          <w:szCs w:val="21"/>
          <w:highlight w:val="none"/>
        </w:rPr>
      </w:pPr>
      <w:r>
        <w:rPr>
          <w:rFonts w:hint="eastAsia" w:ascii="Times New Roman" w:hAnsi="Times New Roman" w:cs="宋体"/>
          <w:color w:val="auto"/>
          <w:sz w:val="21"/>
          <w:szCs w:val="21"/>
          <w:highlight w:val="none"/>
          <w:lang w:eastAsia="zh-CN"/>
        </w:rPr>
        <w:t>25</w:t>
      </w:r>
      <w:r>
        <w:rPr>
          <w:rFonts w:hint="eastAsia" w:cs="宋体"/>
          <w:color w:val="auto"/>
          <w:sz w:val="21"/>
          <w:szCs w:val="21"/>
          <w:highlight w:val="none"/>
        </w:rPr>
        <w:t>、评标过程的保密与公正</w:t>
      </w:r>
    </w:p>
    <w:bookmarkEnd w:id="107"/>
    <w:bookmarkEnd w:id="108"/>
    <w:bookmarkEnd w:id="109"/>
    <w:p>
      <w:pPr>
        <w:spacing w:line="360" w:lineRule="auto"/>
        <w:ind w:firstLine="420" w:firstLineChars="200"/>
        <w:rPr>
          <w:rFonts w:ascii="宋体" w:hAnsi="宋体"/>
          <w:bCs/>
          <w:color w:val="auto"/>
          <w:szCs w:val="21"/>
          <w:highlight w:val="none"/>
        </w:rPr>
      </w:pPr>
      <w:r>
        <w:rPr>
          <w:rFonts w:hint="eastAsia" w:ascii="Times New Roman" w:hAnsi="Times New Roman"/>
          <w:color w:val="auto"/>
          <w:szCs w:val="21"/>
          <w:highlight w:val="none"/>
          <w:lang w:eastAsia="zh-CN"/>
        </w:rPr>
        <w:t>25</w:t>
      </w:r>
      <w:r>
        <w:rPr>
          <w:rFonts w:hint="eastAsia" w:ascii="宋体" w:hAnsi="宋体"/>
          <w:color w:val="auto"/>
          <w:szCs w:val="21"/>
          <w:highlight w:val="none"/>
        </w:rPr>
        <w:t>.</w:t>
      </w:r>
      <w:r>
        <w:rPr>
          <w:rFonts w:hint="eastAsia" w:ascii="Times New Roman" w:hAnsi="Times New Roman"/>
          <w:color w:val="auto"/>
          <w:szCs w:val="21"/>
          <w:highlight w:val="none"/>
          <w:lang w:eastAsia="zh-CN"/>
        </w:rPr>
        <w:t>1</w:t>
      </w:r>
      <w:r>
        <w:rPr>
          <w:rFonts w:hint="eastAsia" w:ascii="宋体" w:hAnsi="宋体"/>
          <w:bCs/>
          <w:color w:val="auto"/>
          <w:szCs w:val="21"/>
          <w:highlight w:val="none"/>
        </w:rPr>
        <w:t>公开开标后，直至签订合同之日止，凡是与审查、澄清、评价和比较投标的有关资料以及授标建议等，采购人、评委、代理机构工作人员均不得向投标人或与评标无关的其他人员透露。</w:t>
      </w:r>
    </w:p>
    <w:p>
      <w:pPr>
        <w:spacing w:line="360" w:lineRule="auto"/>
        <w:ind w:firstLine="420" w:firstLineChars="200"/>
        <w:rPr>
          <w:rFonts w:ascii="宋体" w:hAnsi="宋体"/>
          <w:color w:val="auto"/>
          <w:szCs w:val="21"/>
          <w:highlight w:val="none"/>
        </w:rPr>
      </w:pPr>
      <w:r>
        <w:rPr>
          <w:rFonts w:hint="eastAsia" w:ascii="Times New Roman" w:hAnsi="Times New Roman"/>
          <w:color w:val="auto"/>
          <w:szCs w:val="21"/>
          <w:highlight w:val="none"/>
          <w:lang w:eastAsia="zh-CN"/>
        </w:rPr>
        <w:t>25</w:t>
      </w:r>
      <w:r>
        <w:rPr>
          <w:rFonts w:hint="eastAsia" w:ascii="宋体" w:hAnsi="宋体"/>
          <w:color w:val="auto"/>
          <w:szCs w:val="21"/>
          <w:highlight w:val="none"/>
        </w:rPr>
        <w:t>.</w:t>
      </w:r>
      <w:r>
        <w:rPr>
          <w:rFonts w:hint="eastAsia" w:ascii="Times New Roman" w:hAnsi="Times New Roman"/>
          <w:color w:val="auto"/>
          <w:szCs w:val="21"/>
          <w:highlight w:val="none"/>
          <w:lang w:eastAsia="zh-CN"/>
        </w:rPr>
        <w:t>2</w:t>
      </w:r>
      <w:r>
        <w:rPr>
          <w:rFonts w:hint="eastAsia" w:ascii="宋体" w:hAnsi="宋体"/>
          <w:color w:val="auto"/>
          <w:szCs w:val="21"/>
          <w:highlight w:val="none"/>
        </w:rPr>
        <w:t>在评标过程中，投标人不得以任何行为影响评标过程，否则其投标文件将被作为无效投标文件。</w:t>
      </w:r>
    </w:p>
    <w:p>
      <w:pPr>
        <w:spacing w:line="360" w:lineRule="auto"/>
        <w:ind w:firstLine="420" w:firstLineChars="200"/>
        <w:rPr>
          <w:rFonts w:ascii="宋体" w:hAnsi="宋体"/>
          <w:color w:val="auto"/>
          <w:szCs w:val="21"/>
          <w:highlight w:val="none"/>
        </w:rPr>
      </w:pPr>
      <w:r>
        <w:rPr>
          <w:rFonts w:hint="eastAsia" w:ascii="Times New Roman" w:hAnsi="Times New Roman"/>
          <w:color w:val="auto"/>
          <w:szCs w:val="21"/>
          <w:highlight w:val="none"/>
          <w:lang w:eastAsia="zh-CN"/>
        </w:rPr>
        <w:t>25</w:t>
      </w:r>
      <w:r>
        <w:rPr>
          <w:rFonts w:hint="eastAsia" w:ascii="宋体" w:hAnsi="宋体"/>
          <w:color w:val="auto"/>
          <w:szCs w:val="21"/>
          <w:highlight w:val="none"/>
        </w:rPr>
        <w:t>.</w:t>
      </w:r>
      <w:r>
        <w:rPr>
          <w:rFonts w:hint="eastAsia" w:ascii="Times New Roman" w:hAnsi="Times New Roman"/>
          <w:color w:val="auto"/>
          <w:szCs w:val="21"/>
          <w:highlight w:val="none"/>
          <w:lang w:eastAsia="zh-CN"/>
        </w:rPr>
        <w:t>3</w:t>
      </w:r>
      <w:r>
        <w:rPr>
          <w:rFonts w:hint="eastAsia" w:ascii="宋体" w:hAnsi="宋体"/>
          <w:color w:val="auto"/>
          <w:szCs w:val="21"/>
          <w:highlight w:val="none"/>
        </w:rPr>
        <w:t xml:space="preserve"> 在评标期间，代理机构将设专门工作人员与投标人联系。</w:t>
      </w:r>
    </w:p>
    <w:p>
      <w:pPr>
        <w:spacing w:line="360" w:lineRule="auto"/>
        <w:ind w:firstLine="420" w:firstLineChars="200"/>
        <w:rPr>
          <w:rFonts w:ascii="宋体" w:hAnsi="宋体"/>
          <w:color w:val="auto"/>
          <w:szCs w:val="21"/>
          <w:highlight w:val="none"/>
        </w:rPr>
      </w:pPr>
      <w:r>
        <w:rPr>
          <w:rFonts w:hint="eastAsia" w:ascii="Times New Roman" w:hAnsi="Times New Roman"/>
          <w:color w:val="auto"/>
          <w:szCs w:val="21"/>
          <w:highlight w:val="none"/>
          <w:lang w:eastAsia="zh-CN"/>
        </w:rPr>
        <w:t>25</w:t>
      </w:r>
      <w:r>
        <w:rPr>
          <w:rFonts w:hint="eastAsia" w:ascii="宋体" w:hAnsi="宋体"/>
          <w:color w:val="auto"/>
          <w:szCs w:val="21"/>
          <w:highlight w:val="none"/>
        </w:rPr>
        <w:t>.</w:t>
      </w:r>
      <w:r>
        <w:rPr>
          <w:rFonts w:hint="eastAsia" w:ascii="Times New Roman" w:hAnsi="Times New Roman"/>
          <w:color w:val="auto"/>
          <w:szCs w:val="21"/>
          <w:highlight w:val="none"/>
          <w:lang w:eastAsia="zh-CN"/>
        </w:rPr>
        <w:t>4</w:t>
      </w:r>
      <w:r>
        <w:rPr>
          <w:rFonts w:hint="eastAsia" w:ascii="宋体" w:hAnsi="宋体"/>
          <w:color w:val="auto"/>
          <w:szCs w:val="21"/>
          <w:highlight w:val="none"/>
        </w:rPr>
        <w:t xml:space="preserve"> 代理机构和评委会不公布评标过程中的相关细节。</w:t>
      </w:r>
    </w:p>
    <w:p>
      <w:pPr>
        <w:spacing w:line="360" w:lineRule="auto"/>
        <w:ind w:firstLine="420" w:firstLineChars="200"/>
        <w:rPr>
          <w:rFonts w:ascii="宋体" w:hAnsi="宋体"/>
          <w:color w:val="auto"/>
          <w:szCs w:val="21"/>
          <w:highlight w:val="none"/>
        </w:rPr>
      </w:pPr>
      <w:r>
        <w:rPr>
          <w:rFonts w:hint="eastAsia" w:ascii="Times New Roman" w:hAnsi="Times New Roman"/>
          <w:color w:val="auto"/>
          <w:szCs w:val="21"/>
          <w:highlight w:val="none"/>
          <w:lang w:eastAsia="zh-CN"/>
        </w:rPr>
        <w:t>25</w:t>
      </w:r>
      <w:r>
        <w:rPr>
          <w:rFonts w:hint="eastAsia" w:ascii="宋体" w:hAnsi="宋体"/>
          <w:color w:val="auto"/>
          <w:szCs w:val="21"/>
          <w:highlight w:val="none"/>
        </w:rPr>
        <w:t>.</w:t>
      </w:r>
      <w:r>
        <w:rPr>
          <w:rFonts w:hint="eastAsia" w:ascii="Times New Roman" w:hAnsi="Times New Roman"/>
          <w:color w:val="auto"/>
          <w:szCs w:val="21"/>
          <w:highlight w:val="none"/>
          <w:lang w:eastAsia="zh-CN"/>
        </w:rPr>
        <w:t>5</w:t>
      </w:r>
      <w:r>
        <w:rPr>
          <w:rFonts w:hint="eastAsia" w:ascii="宋体" w:hAnsi="宋体"/>
          <w:color w:val="auto"/>
          <w:szCs w:val="21"/>
          <w:highlight w:val="none"/>
        </w:rPr>
        <w:t xml:space="preserve"> 采用综合评分法的项目，未中标的投标人如需了解自己的评审得分及排序情况，可于中标结果公告期限届满之日起</w:t>
      </w:r>
      <w:r>
        <w:rPr>
          <w:rFonts w:hint="eastAsia" w:ascii="Times New Roman" w:hAnsi="Times New Roman"/>
          <w:color w:val="auto"/>
          <w:szCs w:val="21"/>
          <w:highlight w:val="none"/>
          <w:lang w:eastAsia="zh-CN"/>
        </w:rPr>
        <w:t>7</w:t>
      </w:r>
      <w:r>
        <w:rPr>
          <w:rFonts w:hint="eastAsia" w:ascii="宋体" w:hAnsi="宋体"/>
          <w:color w:val="auto"/>
          <w:szCs w:val="21"/>
          <w:highlight w:val="none"/>
        </w:rPr>
        <w:t>个工作日内，由其法定代表人或授权代表携带本人有效身份证件到代理机构进行查询，逾期将不予受理。</w:t>
      </w:r>
    </w:p>
    <w:p>
      <w:pPr>
        <w:pStyle w:val="8"/>
        <w:tabs>
          <w:tab w:val="left" w:pos="0"/>
        </w:tabs>
        <w:spacing w:line="360" w:lineRule="auto"/>
        <w:rPr>
          <w:rFonts w:cs="宋体"/>
          <w:color w:val="auto"/>
          <w:sz w:val="21"/>
          <w:szCs w:val="21"/>
          <w:highlight w:val="none"/>
        </w:rPr>
      </w:pPr>
      <w:bookmarkStart w:id="110" w:name="_Toc20823304"/>
      <w:bookmarkStart w:id="111" w:name="_Toc16938548"/>
      <w:bookmarkStart w:id="112" w:name="_Toc513029232"/>
      <w:r>
        <w:rPr>
          <w:rFonts w:hint="eastAsia" w:ascii="Times New Roman" w:hAnsi="Times New Roman" w:cs="宋体"/>
          <w:color w:val="auto"/>
          <w:sz w:val="21"/>
          <w:szCs w:val="21"/>
          <w:highlight w:val="none"/>
          <w:lang w:eastAsia="zh-CN"/>
        </w:rPr>
        <w:t>26</w:t>
      </w:r>
      <w:r>
        <w:rPr>
          <w:rFonts w:hint="eastAsia" w:cs="宋体"/>
          <w:color w:val="auto"/>
          <w:sz w:val="21"/>
          <w:szCs w:val="21"/>
          <w:highlight w:val="none"/>
        </w:rPr>
        <w:t>、投标的澄清</w:t>
      </w:r>
      <w:bookmarkEnd w:id="110"/>
      <w:bookmarkEnd w:id="111"/>
      <w:bookmarkEnd w:id="112"/>
    </w:p>
    <w:p>
      <w:pPr>
        <w:spacing w:line="360" w:lineRule="auto"/>
        <w:ind w:firstLine="420" w:firstLineChars="200"/>
        <w:rPr>
          <w:rFonts w:ascii="宋体" w:hAnsi="宋体"/>
          <w:color w:val="auto"/>
          <w:szCs w:val="21"/>
          <w:highlight w:val="none"/>
        </w:rPr>
      </w:pPr>
      <w:r>
        <w:rPr>
          <w:rFonts w:hint="eastAsia" w:ascii="Times New Roman" w:hAnsi="Times New Roman"/>
          <w:color w:val="auto"/>
          <w:szCs w:val="21"/>
          <w:highlight w:val="none"/>
          <w:lang w:eastAsia="zh-CN"/>
        </w:rPr>
        <w:t>26</w:t>
      </w:r>
      <w:r>
        <w:rPr>
          <w:rFonts w:hint="eastAsia" w:ascii="宋体" w:hAnsi="宋体"/>
          <w:color w:val="auto"/>
          <w:szCs w:val="21"/>
          <w:highlight w:val="none"/>
        </w:rPr>
        <w:t>.</w:t>
      </w:r>
      <w:r>
        <w:rPr>
          <w:rFonts w:hint="eastAsia" w:ascii="Times New Roman" w:hAnsi="Times New Roman"/>
          <w:color w:val="auto"/>
          <w:szCs w:val="21"/>
          <w:highlight w:val="none"/>
          <w:lang w:eastAsia="zh-CN"/>
        </w:rPr>
        <w:t>1</w:t>
      </w:r>
      <w:r>
        <w:rPr>
          <w:rFonts w:hint="eastAsia" w:ascii="宋体" w:hAnsi="宋体"/>
          <w:color w:val="auto"/>
          <w:szCs w:val="21"/>
          <w:highlight w:val="none"/>
        </w:rPr>
        <w:t>评标期间，为有助于对投标文件的审查、评价和比较，评委会有权以书面形式要求投标人对其投标文件进行澄清，但并非对每个投标人都作澄清要求。</w:t>
      </w:r>
    </w:p>
    <w:p>
      <w:pPr>
        <w:spacing w:line="360" w:lineRule="auto"/>
        <w:rPr>
          <w:rFonts w:ascii="宋体" w:hAnsi="宋体"/>
          <w:color w:val="auto"/>
          <w:szCs w:val="21"/>
          <w:highlight w:val="none"/>
        </w:rPr>
      </w:pPr>
      <w:r>
        <w:rPr>
          <w:rFonts w:hint="eastAsia" w:ascii="宋体" w:hAnsi="宋体"/>
          <w:color w:val="auto"/>
          <w:szCs w:val="21"/>
          <w:highlight w:val="none"/>
        </w:rPr>
        <w:t xml:space="preserve">    </w:t>
      </w:r>
      <w:r>
        <w:rPr>
          <w:rFonts w:hint="eastAsia" w:ascii="Times New Roman" w:hAnsi="Times New Roman"/>
          <w:color w:val="auto"/>
          <w:szCs w:val="21"/>
          <w:highlight w:val="none"/>
          <w:lang w:eastAsia="zh-CN"/>
        </w:rPr>
        <w:t>26</w:t>
      </w:r>
      <w:r>
        <w:rPr>
          <w:rFonts w:hint="eastAsia" w:ascii="宋体" w:hAnsi="宋体"/>
          <w:color w:val="auto"/>
          <w:szCs w:val="21"/>
          <w:highlight w:val="none"/>
        </w:rPr>
        <w:t>.</w:t>
      </w:r>
      <w:r>
        <w:rPr>
          <w:rFonts w:hint="eastAsia" w:ascii="Times New Roman" w:hAnsi="Times New Roman"/>
          <w:color w:val="auto"/>
          <w:szCs w:val="21"/>
          <w:highlight w:val="none"/>
          <w:lang w:eastAsia="zh-CN"/>
        </w:rPr>
        <w:t>2</w:t>
      </w:r>
      <w:r>
        <w:rPr>
          <w:rFonts w:hint="eastAsia" w:ascii="宋体" w:hAnsi="宋体"/>
          <w:color w:val="auto"/>
          <w:szCs w:val="21"/>
          <w:highlight w:val="none"/>
        </w:rPr>
        <w:t>接到评委会澄清要求的投标人应派人按评委会通知的时间和地点做出书面澄清，书面澄清的内容须由投标人法定代表人或授权代表签署，并作为投标文件的补充部分，但投标的价格和实质性的内容不得做任何更改。</w:t>
      </w:r>
    </w:p>
    <w:p>
      <w:pPr>
        <w:spacing w:line="360" w:lineRule="auto"/>
        <w:rPr>
          <w:rFonts w:ascii="宋体" w:hAnsi="宋体"/>
          <w:color w:val="auto"/>
          <w:szCs w:val="21"/>
          <w:highlight w:val="none"/>
        </w:rPr>
      </w:pPr>
      <w:r>
        <w:rPr>
          <w:rFonts w:hint="eastAsia" w:ascii="宋体" w:hAnsi="宋体"/>
          <w:color w:val="auto"/>
          <w:szCs w:val="21"/>
          <w:highlight w:val="none"/>
        </w:rPr>
        <w:t xml:space="preserve">    </w:t>
      </w:r>
      <w:r>
        <w:rPr>
          <w:rFonts w:hint="eastAsia" w:ascii="Times New Roman" w:hAnsi="Times New Roman"/>
          <w:color w:val="auto"/>
          <w:szCs w:val="21"/>
          <w:highlight w:val="none"/>
          <w:lang w:eastAsia="zh-CN"/>
        </w:rPr>
        <w:t>26</w:t>
      </w:r>
      <w:r>
        <w:rPr>
          <w:rFonts w:hint="eastAsia" w:ascii="宋体" w:hAnsi="宋体"/>
          <w:color w:val="auto"/>
          <w:szCs w:val="21"/>
          <w:highlight w:val="none"/>
        </w:rPr>
        <w:t>.</w:t>
      </w:r>
      <w:r>
        <w:rPr>
          <w:rFonts w:hint="eastAsia" w:ascii="Times New Roman" w:hAnsi="Times New Roman"/>
          <w:color w:val="auto"/>
          <w:szCs w:val="21"/>
          <w:highlight w:val="none"/>
          <w:lang w:eastAsia="zh-CN"/>
        </w:rPr>
        <w:t>3</w:t>
      </w:r>
      <w:r>
        <w:rPr>
          <w:rFonts w:hint="eastAsia" w:ascii="宋体" w:hAnsi="宋体"/>
          <w:color w:val="auto"/>
          <w:szCs w:val="21"/>
          <w:highlight w:val="none"/>
        </w:rPr>
        <w:t xml:space="preserve"> 接到评委会澄清要求的投标人如未按规定做出澄清，其风险由投标人自行承担。</w:t>
      </w:r>
    </w:p>
    <w:p>
      <w:pPr>
        <w:pStyle w:val="8"/>
        <w:tabs>
          <w:tab w:val="left" w:pos="0"/>
        </w:tabs>
        <w:spacing w:line="360" w:lineRule="auto"/>
        <w:rPr>
          <w:rFonts w:cs="宋体"/>
          <w:color w:val="auto"/>
          <w:sz w:val="21"/>
          <w:szCs w:val="21"/>
          <w:highlight w:val="none"/>
        </w:rPr>
      </w:pPr>
      <w:bookmarkStart w:id="113" w:name="_Toc513029233"/>
      <w:bookmarkStart w:id="114" w:name="_Toc20823305"/>
      <w:bookmarkStart w:id="115" w:name="_Toc16938549"/>
      <w:r>
        <w:rPr>
          <w:rFonts w:hint="eastAsia" w:ascii="Times New Roman" w:hAnsi="Times New Roman" w:cs="宋体"/>
          <w:color w:val="auto"/>
          <w:sz w:val="21"/>
          <w:szCs w:val="21"/>
          <w:highlight w:val="none"/>
          <w:lang w:eastAsia="zh-CN"/>
        </w:rPr>
        <w:t>27</w:t>
      </w:r>
      <w:r>
        <w:rPr>
          <w:rFonts w:hint="eastAsia" w:cs="宋体"/>
          <w:color w:val="auto"/>
          <w:sz w:val="21"/>
          <w:szCs w:val="21"/>
          <w:highlight w:val="none"/>
        </w:rPr>
        <w:t>、对投标文件的初审</w:t>
      </w:r>
      <w:bookmarkEnd w:id="113"/>
      <w:bookmarkEnd w:id="114"/>
      <w:bookmarkEnd w:id="115"/>
    </w:p>
    <w:p>
      <w:pPr>
        <w:spacing w:line="360" w:lineRule="auto"/>
        <w:ind w:firstLine="420" w:firstLineChars="200"/>
        <w:rPr>
          <w:rFonts w:ascii="宋体" w:hAnsi="宋体"/>
          <w:bCs/>
          <w:color w:val="auto"/>
          <w:szCs w:val="21"/>
          <w:highlight w:val="none"/>
        </w:rPr>
      </w:pPr>
      <w:r>
        <w:rPr>
          <w:rFonts w:hint="eastAsia" w:ascii="Times New Roman" w:hAnsi="Times New Roman"/>
          <w:color w:val="auto"/>
          <w:szCs w:val="21"/>
          <w:highlight w:val="none"/>
          <w:lang w:eastAsia="zh-CN"/>
        </w:rPr>
        <w:t>27</w:t>
      </w:r>
      <w:r>
        <w:rPr>
          <w:rFonts w:hint="eastAsia" w:ascii="宋体" w:hAnsi="宋体"/>
          <w:color w:val="auto"/>
          <w:szCs w:val="21"/>
          <w:highlight w:val="none"/>
        </w:rPr>
        <w:t>.</w:t>
      </w:r>
      <w:r>
        <w:rPr>
          <w:rFonts w:hint="eastAsia" w:ascii="Times New Roman" w:hAnsi="Times New Roman"/>
          <w:color w:val="auto"/>
          <w:szCs w:val="21"/>
          <w:highlight w:val="none"/>
          <w:lang w:eastAsia="zh-CN"/>
        </w:rPr>
        <w:t>1</w:t>
      </w:r>
      <w:r>
        <w:rPr>
          <w:rFonts w:hint="eastAsia" w:ascii="宋体" w:hAnsi="宋体"/>
          <w:bCs/>
          <w:color w:val="auto"/>
          <w:szCs w:val="21"/>
          <w:highlight w:val="none"/>
        </w:rPr>
        <w:t>投标文件初审分为资格检查和符合性检查。</w:t>
      </w:r>
    </w:p>
    <w:p>
      <w:pPr>
        <w:spacing w:line="360" w:lineRule="auto"/>
        <w:ind w:firstLine="420" w:firstLineChars="200"/>
        <w:jc w:val="left"/>
        <w:rPr>
          <w:rFonts w:ascii="宋体" w:hAnsi="宋体"/>
          <w:bCs/>
          <w:color w:val="auto"/>
          <w:szCs w:val="21"/>
          <w:highlight w:val="none"/>
        </w:rPr>
      </w:pPr>
      <w:r>
        <w:rPr>
          <w:rFonts w:hint="eastAsia" w:ascii="Times New Roman" w:hAnsi="Times New Roman"/>
          <w:color w:val="auto"/>
          <w:szCs w:val="21"/>
          <w:highlight w:val="none"/>
          <w:lang w:eastAsia="zh-CN"/>
        </w:rPr>
        <w:t>27</w:t>
      </w:r>
      <w:r>
        <w:rPr>
          <w:rFonts w:hint="eastAsia" w:ascii="宋体" w:hAnsi="宋体"/>
          <w:color w:val="auto"/>
          <w:szCs w:val="21"/>
          <w:highlight w:val="none"/>
        </w:rPr>
        <w:t>.</w:t>
      </w:r>
      <w:r>
        <w:rPr>
          <w:rFonts w:hint="eastAsia" w:ascii="Times New Roman" w:hAnsi="Times New Roman"/>
          <w:color w:val="auto"/>
          <w:szCs w:val="21"/>
          <w:highlight w:val="none"/>
          <w:lang w:eastAsia="zh-CN"/>
        </w:rPr>
        <w:t>1</w:t>
      </w:r>
      <w:r>
        <w:rPr>
          <w:rFonts w:hint="eastAsia" w:ascii="宋体" w:hAnsi="宋体"/>
          <w:color w:val="auto"/>
          <w:szCs w:val="21"/>
          <w:highlight w:val="none"/>
        </w:rPr>
        <w:t>.</w:t>
      </w:r>
      <w:r>
        <w:rPr>
          <w:rFonts w:hint="eastAsia" w:ascii="Times New Roman" w:hAnsi="Times New Roman"/>
          <w:color w:val="auto"/>
          <w:szCs w:val="21"/>
          <w:highlight w:val="none"/>
          <w:lang w:eastAsia="zh-CN"/>
        </w:rPr>
        <w:t>1</w:t>
      </w:r>
      <w:r>
        <w:rPr>
          <w:rFonts w:hint="eastAsia" w:ascii="宋体" w:hAnsi="宋体"/>
          <w:bCs/>
          <w:color w:val="auto"/>
          <w:szCs w:val="21"/>
          <w:highlight w:val="none"/>
        </w:rPr>
        <w:t>资格审查：依据法律法规和采购文件的规定，由采购人对投标文件中的资格证明文件进行审查。并将审查结论以书面形式向评委会反馈。</w:t>
      </w:r>
    </w:p>
    <w:p>
      <w:pPr>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采购人在进行资格性审查的同时，将在“信用中国”网站（</w:t>
      </w:r>
      <w:r>
        <w:rPr>
          <w:rFonts w:hint="eastAsia" w:ascii="Times New Roman" w:hAnsi="Times New Roman"/>
          <w:bCs/>
          <w:color w:val="auto"/>
          <w:szCs w:val="21"/>
          <w:highlight w:val="none"/>
          <w:lang w:eastAsia="zh-CN"/>
        </w:rPr>
        <w:t>www</w:t>
      </w:r>
      <w:r>
        <w:rPr>
          <w:rFonts w:hint="eastAsia" w:ascii="宋体" w:hAnsi="宋体"/>
          <w:bCs/>
          <w:color w:val="auto"/>
          <w:szCs w:val="21"/>
          <w:highlight w:val="none"/>
        </w:rPr>
        <w:t>.</w:t>
      </w:r>
      <w:r>
        <w:rPr>
          <w:rFonts w:hint="eastAsia" w:ascii="Times New Roman" w:hAnsi="Times New Roman"/>
          <w:bCs/>
          <w:color w:val="auto"/>
          <w:szCs w:val="21"/>
          <w:highlight w:val="none"/>
          <w:lang w:eastAsia="zh-CN"/>
        </w:rPr>
        <w:t>creditchina</w:t>
      </w:r>
      <w:r>
        <w:rPr>
          <w:rFonts w:hint="eastAsia" w:ascii="宋体" w:hAnsi="宋体"/>
          <w:bCs/>
          <w:color w:val="auto"/>
          <w:szCs w:val="21"/>
          <w:highlight w:val="none"/>
        </w:rPr>
        <w:t>.</w:t>
      </w:r>
      <w:r>
        <w:rPr>
          <w:rFonts w:hint="eastAsia" w:ascii="Times New Roman" w:hAnsi="Times New Roman"/>
          <w:bCs/>
          <w:color w:val="auto"/>
          <w:szCs w:val="21"/>
          <w:highlight w:val="none"/>
          <w:lang w:eastAsia="zh-CN"/>
        </w:rPr>
        <w:t>gov</w:t>
      </w:r>
      <w:r>
        <w:rPr>
          <w:rFonts w:hint="eastAsia" w:ascii="宋体" w:hAnsi="宋体"/>
          <w:bCs/>
          <w:color w:val="auto"/>
          <w:szCs w:val="21"/>
          <w:highlight w:val="none"/>
        </w:rPr>
        <w:t>.</w:t>
      </w:r>
      <w:r>
        <w:rPr>
          <w:rFonts w:hint="eastAsia" w:ascii="Times New Roman" w:hAnsi="Times New Roman"/>
          <w:bCs/>
          <w:color w:val="auto"/>
          <w:szCs w:val="21"/>
          <w:highlight w:val="none"/>
          <w:lang w:eastAsia="zh-CN"/>
        </w:rPr>
        <w:t>cn</w:t>
      </w:r>
      <w:r>
        <w:rPr>
          <w:rFonts w:hint="eastAsia" w:ascii="宋体" w:hAnsi="宋体"/>
          <w:bCs/>
          <w:color w:val="auto"/>
          <w:szCs w:val="21"/>
          <w:highlight w:val="none"/>
        </w:rPr>
        <w:t>）、“中国政府采购网"(</w:t>
      </w:r>
      <w:r>
        <w:rPr>
          <w:rFonts w:hint="eastAsia" w:ascii="Times New Roman" w:hAnsi="Times New Roman"/>
          <w:bCs/>
          <w:color w:val="auto"/>
          <w:szCs w:val="21"/>
          <w:highlight w:val="none"/>
          <w:lang w:eastAsia="zh-CN"/>
        </w:rPr>
        <w:t>www</w:t>
      </w:r>
      <w:r>
        <w:rPr>
          <w:rFonts w:hint="eastAsia" w:ascii="宋体" w:hAnsi="宋体"/>
          <w:bCs/>
          <w:color w:val="auto"/>
          <w:szCs w:val="21"/>
          <w:highlight w:val="none"/>
        </w:rPr>
        <w:t>.</w:t>
      </w:r>
      <w:r>
        <w:rPr>
          <w:rFonts w:hint="eastAsia" w:ascii="Times New Roman" w:hAnsi="Times New Roman"/>
          <w:bCs/>
          <w:color w:val="auto"/>
          <w:szCs w:val="21"/>
          <w:highlight w:val="none"/>
          <w:lang w:eastAsia="zh-CN"/>
        </w:rPr>
        <w:t>ccgp</w:t>
      </w:r>
      <w:r>
        <w:rPr>
          <w:rFonts w:hint="eastAsia" w:ascii="宋体" w:hAnsi="宋体"/>
          <w:bCs/>
          <w:color w:val="auto"/>
          <w:szCs w:val="21"/>
          <w:highlight w:val="none"/>
        </w:rPr>
        <w:t>.</w:t>
      </w:r>
      <w:r>
        <w:rPr>
          <w:rFonts w:hint="eastAsia" w:ascii="Times New Roman" w:hAnsi="Times New Roman"/>
          <w:bCs/>
          <w:color w:val="auto"/>
          <w:szCs w:val="21"/>
          <w:highlight w:val="none"/>
          <w:lang w:eastAsia="zh-CN"/>
        </w:rPr>
        <w:t>gov</w:t>
      </w:r>
      <w:r>
        <w:rPr>
          <w:rFonts w:hint="eastAsia" w:ascii="宋体" w:hAnsi="宋体"/>
          <w:bCs/>
          <w:color w:val="auto"/>
          <w:szCs w:val="21"/>
          <w:highlight w:val="none"/>
        </w:rPr>
        <w:t>.</w:t>
      </w:r>
      <w:r>
        <w:rPr>
          <w:rFonts w:hint="eastAsia" w:ascii="Times New Roman" w:hAnsi="Times New Roman"/>
          <w:bCs/>
          <w:color w:val="auto"/>
          <w:szCs w:val="21"/>
          <w:highlight w:val="none"/>
          <w:lang w:eastAsia="zh-CN"/>
        </w:rPr>
        <w:t>cn</w:t>
      </w:r>
      <w:r>
        <w:rPr>
          <w:rFonts w:hint="eastAsia" w:ascii="宋体" w:hAnsi="宋体"/>
          <w:bCs/>
          <w:color w:val="auto"/>
          <w:szCs w:val="21"/>
          <w:highlight w:val="none"/>
        </w:rPr>
        <w:t>)对投标人是否被列入失信被执行人、重大税收违法案件当事人名单、政府采购严重失信行为记录名单情况进行查询，以确定投标人是否具备投标资格。查询结果将以网页打印的形式留存并归档。</w:t>
      </w:r>
    </w:p>
    <w:p>
      <w:pPr>
        <w:spacing w:line="360" w:lineRule="auto"/>
        <w:ind w:firstLine="420" w:firstLineChars="200"/>
        <w:jc w:val="left"/>
        <w:rPr>
          <w:rFonts w:ascii="宋体" w:hAnsi="宋体"/>
          <w:bCs/>
          <w:color w:val="auto"/>
          <w:sz w:val="24"/>
          <w:highlight w:val="none"/>
        </w:rPr>
      </w:pPr>
      <w:r>
        <w:rPr>
          <w:rFonts w:hint="eastAsia" w:ascii="宋体" w:hAnsi="宋体"/>
          <w:bCs/>
          <w:color w:val="auto"/>
          <w:szCs w:val="21"/>
          <w:highlight w:val="none"/>
        </w:rPr>
        <w:t>若接受联合体投标的项目，两个以上的自然人、法人或者其他组织组成一个联合体，以一个投标人的身份共同参加政府采购活动的,联合体成员存在不良信用记录的，视同联合体存在不良应用记录。</w:t>
      </w:r>
    </w:p>
    <w:p>
      <w:pPr>
        <w:spacing w:line="360" w:lineRule="auto"/>
        <w:ind w:firstLine="420" w:firstLineChars="200"/>
        <w:rPr>
          <w:rFonts w:ascii="宋体" w:hAnsi="宋体"/>
          <w:bCs/>
          <w:color w:val="auto"/>
          <w:szCs w:val="21"/>
          <w:highlight w:val="none"/>
        </w:rPr>
      </w:pPr>
      <w:r>
        <w:rPr>
          <w:rFonts w:hint="eastAsia" w:ascii="Times New Roman" w:hAnsi="Times New Roman"/>
          <w:color w:val="auto"/>
          <w:szCs w:val="21"/>
          <w:highlight w:val="none"/>
          <w:lang w:eastAsia="zh-CN"/>
        </w:rPr>
        <w:t>27</w:t>
      </w:r>
      <w:r>
        <w:rPr>
          <w:rFonts w:hint="eastAsia" w:ascii="宋体" w:hAnsi="宋体"/>
          <w:color w:val="auto"/>
          <w:szCs w:val="21"/>
          <w:highlight w:val="none"/>
        </w:rPr>
        <w:t>.</w:t>
      </w:r>
      <w:r>
        <w:rPr>
          <w:rFonts w:hint="eastAsia" w:ascii="Times New Roman" w:hAnsi="Times New Roman"/>
          <w:color w:val="auto"/>
          <w:szCs w:val="21"/>
          <w:highlight w:val="none"/>
          <w:lang w:eastAsia="zh-CN"/>
        </w:rPr>
        <w:t>1</w:t>
      </w:r>
      <w:r>
        <w:rPr>
          <w:rFonts w:hint="eastAsia" w:ascii="宋体" w:hAnsi="宋体"/>
          <w:color w:val="auto"/>
          <w:szCs w:val="21"/>
          <w:highlight w:val="none"/>
        </w:rPr>
        <w:t>.</w:t>
      </w:r>
      <w:r>
        <w:rPr>
          <w:rFonts w:hint="eastAsia" w:ascii="Times New Roman" w:hAnsi="Times New Roman"/>
          <w:color w:val="auto"/>
          <w:szCs w:val="21"/>
          <w:highlight w:val="none"/>
          <w:lang w:eastAsia="zh-CN"/>
        </w:rPr>
        <w:t>2</w:t>
      </w:r>
      <w:r>
        <w:rPr>
          <w:rFonts w:hint="eastAsia" w:ascii="宋体" w:hAnsi="宋体"/>
          <w:bCs/>
          <w:color w:val="auto"/>
          <w:szCs w:val="21"/>
          <w:highlight w:val="none"/>
        </w:rPr>
        <w:t>符合性检查：依据采购文件的规定，由评委会从投标文件的有效性、完整性和对采购文件的响应程度进行审查，以确定是否对采购文件的实质性要求作出响应。</w:t>
      </w:r>
    </w:p>
    <w:p>
      <w:pPr>
        <w:spacing w:line="360" w:lineRule="auto"/>
        <w:ind w:firstLine="420" w:firstLineChars="200"/>
        <w:rPr>
          <w:rFonts w:ascii="宋体" w:hAnsi="宋体"/>
          <w:color w:val="auto"/>
          <w:szCs w:val="21"/>
          <w:highlight w:val="none"/>
        </w:rPr>
      </w:pPr>
      <w:r>
        <w:rPr>
          <w:rFonts w:hint="eastAsia" w:ascii="Times New Roman" w:hAnsi="Times New Roman"/>
          <w:color w:val="auto"/>
          <w:szCs w:val="21"/>
          <w:highlight w:val="none"/>
          <w:lang w:eastAsia="zh-CN"/>
        </w:rPr>
        <w:t>27</w:t>
      </w:r>
      <w:r>
        <w:rPr>
          <w:rFonts w:hint="eastAsia" w:ascii="宋体" w:hAnsi="宋体"/>
          <w:color w:val="auto"/>
          <w:szCs w:val="21"/>
          <w:highlight w:val="none"/>
        </w:rPr>
        <w:t>.</w:t>
      </w:r>
      <w:r>
        <w:rPr>
          <w:rFonts w:hint="eastAsia" w:ascii="Times New Roman" w:hAnsi="Times New Roman"/>
          <w:color w:val="auto"/>
          <w:szCs w:val="21"/>
          <w:highlight w:val="none"/>
          <w:lang w:eastAsia="zh-CN"/>
        </w:rPr>
        <w:t>2</w:t>
      </w:r>
      <w:r>
        <w:rPr>
          <w:rFonts w:hint="eastAsia" w:ascii="宋体" w:hAnsi="宋体"/>
          <w:color w:val="auto"/>
          <w:szCs w:val="21"/>
          <w:highlight w:val="none"/>
        </w:rPr>
        <w:t>在详细评标之前，评委会将首先审查每份投标文件是否实质性响应了采购文件的要求。实质性响应的投标应该是与采购文件要求的全部条款、条件和规格相符，没有重大偏离或保留的投标。</w:t>
      </w:r>
    </w:p>
    <w:p>
      <w:pPr>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所谓重大偏离或保留是指与采购文件规定的实质性要求存在负偏离，或者在实质上与采购文件不一致，而且限制了合同中买方（采购人）和见证方（代理机构）的权利或投标人的义务，纠正这些偏离或保留将会对其他实质性响应要求的投标人的竞争地位产生不公正的影响。是否属于重大偏离由评委会按照少数服从多数的原则作出结论。</w:t>
      </w:r>
      <w:r>
        <w:rPr>
          <w:rFonts w:hint="eastAsia" w:ascii="宋体" w:hAnsi="宋体"/>
          <w:bCs/>
          <w:color w:val="auto"/>
          <w:szCs w:val="21"/>
          <w:highlight w:val="none"/>
        </w:rPr>
        <w:t>评委决定投标文件的响应性只根据投标文件本身的内容，而不寻求外部的证据。</w:t>
      </w:r>
    </w:p>
    <w:p>
      <w:pPr>
        <w:spacing w:line="360" w:lineRule="auto"/>
        <w:ind w:firstLine="420" w:firstLineChars="200"/>
        <w:rPr>
          <w:rFonts w:ascii="宋体" w:hAnsi="宋体"/>
          <w:bCs/>
          <w:color w:val="auto"/>
          <w:szCs w:val="21"/>
          <w:highlight w:val="none"/>
        </w:rPr>
      </w:pPr>
      <w:r>
        <w:rPr>
          <w:rFonts w:hint="eastAsia" w:ascii="Times New Roman" w:hAnsi="Times New Roman"/>
          <w:color w:val="auto"/>
          <w:szCs w:val="21"/>
          <w:highlight w:val="none"/>
          <w:lang w:eastAsia="zh-CN"/>
        </w:rPr>
        <w:t>27</w:t>
      </w:r>
      <w:r>
        <w:rPr>
          <w:rFonts w:hint="eastAsia" w:ascii="宋体" w:hAnsi="宋体"/>
          <w:color w:val="auto"/>
          <w:szCs w:val="21"/>
          <w:highlight w:val="none"/>
        </w:rPr>
        <w:t>.</w:t>
      </w:r>
      <w:r>
        <w:rPr>
          <w:rFonts w:hint="eastAsia" w:ascii="Times New Roman" w:hAnsi="Times New Roman"/>
          <w:color w:val="auto"/>
          <w:szCs w:val="21"/>
          <w:highlight w:val="none"/>
          <w:lang w:eastAsia="zh-CN"/>
        </w:rPr>
        <w:t>3</w:t>
      </w:r>
      <w:r>
        <w:rPr>
          <w:rFonts w:hint="eastAsia" w:ascii="宋体" w:hAnsi="宋体"/>
          <w:bCs/>
          <w:color w:val="auto"/>
          <w:szCs w:val="21"/>
          <w:highlight w:val="none"/>
        </w:rPr>
        <w:t>如果投标文件实质上没有响应采购文件的要求，评委会将予以拒绝，投标人不得通过修改或撤销不合要求的偏离或保留而使其投标成为实质性响应的投标。</w:t>
      </w:r>
    </w:p>
    <w:p>
      <w:pPr>
        <w:spacing w:line="360" w:lineRule="auto"/>
        <w:ind w:firstLine="420" w:firstLineChars="200"/>
        <w:jc w:val="left"/>
        <w:rPr>
          <w:rFonts w:ascii="宋体" w:hAnsi="宋体"/>
          <w:bCs/>
          <w:color w:val="auto"/>
          <w:szCs w:val="21"/>
          <w:highlight w:val="none"/>
        </w:rPr>
      </w:pPr>
      <w:r>
        <w:rPr>
          <w:rFonts w:hint="eastAsia" w:ascii="Times New Roman" w:hAnsi="Times New Roman"/>
          <w:color w:val="auto"/>
          <w:szCs w:val="21"/>
          <w:highlight w:val="none"/>
          <w:lang w:eastAsia="zh-CN"/>
        </w:rPr>
        <w:t>27</w:t>
      </w:r>
      <w:r>
        <w:rPr>
          <w:rFonts w:hint="eastAsia" w:ascii="宋体" w:hAnsi="宋体"/>
          <w:color w:val="auto"/>
          <w:szCs w:val="21"/>
          <w:highlight w:val="none"/>
        </w:rPr>
        <w:t>.</w:t>
      </w:r>
      <w:r>
        <w:rPr>
          <w:rFonts w:hint="eastAsia" w:ascii="Times New Roman" w:hAnsi="Times New Roman"/>
          <w:color w:val="auto"/>
          <w:szCs w:val="21"/>
          <w:highlight w:val="none"/>
          <w:lang w:eastAsia="zh-CN"/>
        </w:rPr>
        <w:t>4</w:t>
      </w:r>
      <w:r>
        <w:rPr>
          <w:rFonts w:hint="eastAsia" w:ascii="宋体" w:hAnsi="宋体"/>
          <w:bCs/>
          <w:color w:val="auto"/>
          <w:szCs w:val="21"/>
          <w:highlight w:val="none"/>
        </w:rPr>
        <w:t>评委会将对确定为实质性响应的投标进行进一步审核，看其是否有计算上或累加上的算术错误，对开标一览表内容修正错误的原则如下：</w:t>
      </w:r>
    </w:p>
    <w:p>
      <w:pPr>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w:t>
      </w:r>
      <w:r>
        <w:rPr>
          <w:rFonts w:hint="eastAsia" w:ascii="Times New Roman" w:hAnsi="Times New Roman"/>
          <w:bCs/>
          <w:color w:val="auto"/>
          <w:szCs w:val="21"/>
          <w:highlight w:val="none"/>
          <w:lang w:eastAsia="zh-CN"/>
        </w:rPr>
        <w:t>1</w:t>
      </w:r>
      <w:r>
        <w:rPr>
          <w:rFonts w:hint="eastAsia" w:ascii="宋体" w:hAnsi="宋体"/>
          <w:bCs/>
          <w:color w:val="auto"/>
          <w:szCs w:val="21"/>
          <w:highlight w:val="none"/>
        </w:rPr>
        <w:t>）投标文件中开标一览表内容与投标文件中相应内容不一致的，以开标一览表为准。</w:t>
      </w:r>
    </w:p>
    <w:p>
      <w:pPr>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w:t>
      </w:r>
      <w:r>
        <w:rPr>
          <w:rFonts w:hint="eastAsia" w:ascii="Times New Roman" w:hAnsi="Times New Roman"/>
          <w:bCs/>
          <w:color w:val="auto"/>
          <w:szCs w:val="21"/>
          <w:highlight w:val="none"/>
          <w:lang w:eastAsia="zh-CN"/>
        </w:rPr>
        <w:t>2</w:t>
      </w:r>
      <w:r>
        <w:rPr>
          <w:rFonts w:hint="eastAsia" w:ascii="宋体" w:hAnsi="宋体"/>
          <w:bCs/>
          <w:color w:val="auto"/>
          <w:szCs w:val="21"/>
          <w:highlight w:val="none"/>
        </w:rPr>
        <w:t>）投标文件、“开标一览表”中报价的大写金额与小写金额不一致的，以大写金额为准。</w:t>
      </w:r>
    </w:p>
    <w:p>
      <w:pPr>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w:t>
      </w:r>
      <w:r>
        <w:rPr>
          <w:rFonts w:hint="eastAsia" w:ascii="Times New Roman" w:hAnsi="Times New Roman"/>
          <w:bCs/>
          <w:color w:val="auto"/>
          <w:szCs w:val="21"/>
          <w:highlight w:val="none"/>
          <w:lang w:eastAsia="zh-CN"/>
        </w:rPr>
        <w:t>3</w:t>
      </w:r>
      <w:r>
        <w:rPr>
          <w:rFonts w:hint="eastAsia" w:ascii="宋体" w:hAnsi="宋体"/>
          <w:bCs/>
          <w:color w:val="auto"/>
          <w:szCs w:val="21"/>
          <w:highlight w:val="none"/>
        </w:rPr>
        <w:t>）单价金额小数点或者百分比有明显错位的，以开标一览表的总价为准，并修改单价。</w:t>
      </w:r>
    </w:p>
    <w:p>
      <w:pPr>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w:t>
      </w:r>
      <w:r>
        <w:rPr>
          <w:rFonts w:hint="eastAsia" w:ascii="Times New Roman" w:hAnsi="Times New Roman"/>
          <w:bCs/>
          <w:color w:val="auto"/>
          <w:szCs w:val="21"/>
          <w:highlight w:val="none"/>
          <w:lang w:eastAsia="zh-CN"/>
        </w:rPr>
        <w:t>4</w:t>
      </w:r>
      <w:r>
        <w:rPr>
          <w:rFonts w:hint="eastAsia" w:ascii="宋体" w:hAnsi="宋体"/>
          <w:bCs/>
          <w:color w:val="auto"/>
          <w:szCs w:val="21"/>
          <w:highlight w:val="none"/>
        </w:rPr>
        <w:t>）总价金额与按单价汇总金额不一致的，以单价金额计算结果为准。</w:t>
      </w:r>
    </w:p>
    <w:p>
      <w:pPr>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同时出现两种以上错误的，按照前款规定的顺序修正。对不同文字文本投标文件的解释发生异议的，以中文文本为准。</w:t>
      </w:r>
    </w:p>
    <w:p>
      <w:pPr>
        <w:spacing w:line="360" w:lineRule="auto"/>
        <w:ind w:firstLine="420" w:firstLineChars="200"/>
        <w:jc w:val="left"/>
        <w:rPr>
          <w:rFonts w:ascii="宋体" w:hAnsi="宋体"/>
          <w:bCs/>
          <w:color w:val="auto"/>
          <w:szCs w:val="21"/>
          <w:highlight w:val="none"/>
        </w:rPr>
      </w:pPr>
      <w:r>
        <w:rPr>
          <w:rFonts w:hint="eastAsia" w:ascii="Times New Roman" w:hAnsi="Times New Roman"/>
          <w:color w:val="auto"/>
          <w:szCs w:val="21"/>
          <w:highlight w:val="none"/>
          <w:lang w:eastAsia="zh-CN"/>
        </w:rPr>
        <w:t>27</w:t>
      </w:r>
      <w:r>
        <w:rPr>
          <w:rFonts w:hint="eastAsia" w:ascii="宋体" w:hAnsi="宋体"/>
          <w:color w:val="auto"/>
          <w:szCs w:val="21"/>
          <w:highlight w:val="none"/>
        </w:rPr>
        <w:t>.</w:t>
      </w:r>
      <w:r>
        <w:rPr>
          <w:rFonts w:hint="eastAsia" w:ascii="Times New Roman" w:hAnsi="Times New Roman"/>
          <w:color w:val="auto"/>
          <w:szCs w:val="21"/>
          <w:highlight w:val="none"/>
          <w:lang w:eastAsia="zh-CN"/>
        </w:rPr>
        <w:t>5</w:t>
      </w:r>
      <w:r>
        <w:rPr>
          <w:rFonts w:hint="eastAsia" w:ascii="宋体" w:hAnsi="宋体"/>
          <w:bCs/>
          <w:color w:val="auto"/>
          <w:szCs w:val="21"/>
          <w:highlight w:val="none"/>
        </w:rPr>
        <w:t>评委会将按上述修正错误的方法调整投标文件中的投标报价，调整后的价格应对投标人具有约束力。如果投标人不接受修正后的价格，则其投标将被拒绝，其投标保证金不予退还。</w:t>
      </w:r>
    </w:p>
    <w:p>
      <w:pPr>
        <w:spacing w:line="360" w:lineRule="auto"/>
        <w:ind w:firstLine="420" w:firstLineChars="200"/>
        <w:jc w:val="left"/>
        <w:rPr>
          <w:rFonts w:ascii="宋体" w:hAnsi="宋体"/>
          <w:bCs/>
          <w:color w:val="auto"/>
          <w:szCs w:val="21"/>
          <w:highlight w:val="none"/>
        </w:rPr>
      </w:pPr>
      <w:r>
        <w:rPr>
          <w:rFonts w:hint="eastAsia" w:ascii="Times New Roman" w:hAnsi="Times New Roman"/>
          <w:color w:val="auto"/>
          <w:szCs w:val="21"/>
          <w:highlight w:val="none"/>
          <w:lang w:eastAsia="zh-CN"/>
        </w:rPr>
        <w:t>27</w:t>
      </w:r>
      <w:r>
        <w:rPr>
          <w:rFonts w:hint="eastAsia" w:ascii="宋体" w:hAnsi="宋体"/>
          <w:color w:val="auto"/>
          <w:szCs w:val="21"/>
          <w:highlight w:val="none"/>
        </w:rPr>
        <w:t>.</w:t>
      </w:r>
      <w:r>
        <w:rPr>
          <w:rFonts w:hint="eastAsia" w:ascii="Times New Roman" w:hAnsi="Times New Roman"/>
          <w:color w:val="auto"/>
          <w:szCs w:val="21"/>
          <w:highlight w:val="none"/>
          <w:lang w:eastAsia="zh-CN"/>
        </w:rPr>
        <w:t>6</w:t>
      </w:r>
      <w:r>
        <w:rPr>
          <w:rFonts w:hint="eastAsia" w:ascii="宋体" w:hAnsi="宋体"/>
          <w:bCs/>
          <w:color w:val="auto"/>
          <w:szCs w:val="21"/>
          <w:highlight w:val="none"/>
        </w:rPr>
        <w:t>评委会将允许修正投标文件中不构成重大偏离的、微小的、非正规的、不一致的或不规则的地方，但这些修改不能影响任何投标人相应的名次排列，否则不允许修正。</w:t>
      </w:r>
    </w:p>
    <w:p>
      <w:pPr>
        <w:spacing w:line="360" w:lineRule="auto"/>
        <w:ind w:firstLine="420" w:firstLineChars="200"/>
        <w:jc w:val="left"/>
        <w:rPr>
          <w:rFonts w:ascii="宋体" w:hAnsi="宋体"/>
          <w:color w:val="auto"/>
          <w:szCs w:val="21"/>
          <w:highlight w:val="none"/>
        </w:rPr>
      </w:pPr>
      <w:r>
        <w:rPr>
          <w:rFonts w:hint="eastAsia" w:ascii="Times New Roman" w:hAnsi="Times New Roman"/>
          <w:color w:val="auto"/>
          <w:szCs w:val="21"/>
          <w:highlight w:val="none"/>
          <w:lang w:eastAsia="zh-CN"/>
        </w:rPr>
        <w:t>27</w:t>
      </w:r>
      <w:r>
        <w:rPr>
          <w:rFonts w:hint="eastAsia" w:ascii="宋体" w:hAnsi="宋体"/>
          <w:color w:val="auto"/>
          <w:szCs w:val="21"/>
          <w:highlight w:val="none"/>
        </w:rPr>
        <w:t>.</w:t>
      </w:r>
      <w:r>
        <w:rPr>
          <w:rFonts w:hint="eastAsia" w:ascii="Times New Roman" w:hAnsi="Times New Roman"/>
          <w:color w:val="auto"/>
          <w:szCs w:val="21"/>
          <w:highlight w:val="none"/>
          <w:lang w:eastAsia="zh-CN"/>
        </w:rPr>
        <w:t>7</w:t>
      </w:r>
      <w:r>
        <w:rPr>
          <w:rFonts w:ascii="宋体" w:hAnsi="宋体"/>
          <w:color w:val="auto"/>
          <w:szCs w:val="21"/>
          <w:highlight w:val="none"/>
        </w:rPr>
        <w:t>采用最低评标价法的</w:t>
      </w:r>
      <w:r>
        <w:rPr>
          <w:rFonts w:hint="eastAsia" w:ascii="宋体" w:hAnsi="宋体"/>
          <w:color w:val="auto"/>
          <w:szCs w:val="21"/>
          <w:highlight w:val="none"/>
        </w:rPr>
        <w:t>采购</w:t>
      </w:r>
      <w:r>
        <w:rPr>
          <w:rFonts w:ascii="宋体" w:hAnsi="宋体"/>
          <w:color w:val="auto"/>
          <w:szCs w:val="21"/>
          <w:highlight w:val="none"/>
        </w:rPr>
        <w:t>项目，提供相同品牌产品的不同投标人参加同一合同项下投标的，以其中通过资格审查、符合性审查且报价最低的参加评标；报价相同的，由评标委员会</w:t>
      </w:r>
      <w:r>
        <w:rPr>
          <w:rFonts w:hint="eastAsia" w:ascii="宋体" w:hAnsi="宋体"/>
          <w:color w:val="auto"/>
          <w:szCs w:val="21"/>
          <w:highlight w:val="none"/>
        </w:rPr>
        <w:t>按照采购文件规定的方式确定采购文件未规定的通过</w:t>
      </w:r>
      <w:r>
        <w:rPr>
          <w:rFonts w:ascii="宋体" w:hAnsi="宋体"/>
          <w:color w:val="auto"/>
          <w:szCs w:val="21"/>
          <w:highlight w:val="none"/>
        </w:rPr>
        <w:t>随机抽取</w:t>
      </w:r>
      <w:r>
        <w:rPr>
          <w:rFonts w:hint="eastAsia" w:ascii="宋体" w:hAnsi="宋体"/>
          <w:color w:val="auto"/>
          <w:szCs w:val="21"/>
          <w:highlight w:val="none"/>
        </w:rPr>
        <w:t>的</w:t>
      </w:r>
      <w:r>
        <w:rPr>
          <w:rFonts w:ascii="宋体" w:hAnsi="宋体"/>
          <w:color w:val="auto"/>
          <w:szCs w:val="21"/>
          <w:highlight w:val="none"/>
        </w:rPr>
        <w:t>方式确定一个参加评标的投标人，其他投标无效。</w:t>
      </w:r>
    </w:p>
    <w:p>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使用综合评分法的</w:t>
      </w:r>
      <w:r>
        <w:rPr>
          <w:rFonts w:hint="eastAsia" w:ascii="宋体" w:hAnsi="宋体"/>
          <w:color w:val="auto"/>
          <w:szCs w:val="21"/>
          <w:highlight w:val="none"/>
        </w:rPr>
        <w:t>采购</w:t>
      </w:r>
      <w:r>
        <w:rPr>
          <w:rFonts w:ascii="宋体" w:hAnsi="宋体"/>
          <w:color w:val="auto"/>
          <w:szCs w:val="21"/>
          <w:highlight w:val="none"/>
        </w:rPr>
        <w:t>项目，提供相同品牌产品且通过资格审查、符合性审查的不同投标人参加同一合同项下投标的，按一家投标人计算，评审后得分最高的同品牌投标人获得中标人推荐资格；评审得分相同的，由评标委员会</w:t>
      </w:r>
      <w:r>
        <w:rPr>
          <w:rFonts w:hint="eastAsia" w:ascii="宋体" w:hAnsi="宋体"/>
          <w:color w:val="auto"/>
          <w:szCs w:val="21"/>
          <w:highlight w:val="none"/>
        </w:rPr>
        <w:t>根据采购文件规定的方式确定，采购文件未规定的采取随机抽取的方式</w:t>
      </w:r>
      <w:r>
        <w:rPr>
          <w:rFonts w:ascii="宋体" w:hAnsi="宋体"/>
          <w:color w:val="auto"/>
          <w:szCs w:val="21"/>
          <w:highlight w:val="none"/>
        </w:rPr>
        <w:t>确定</w:t>
      </w:r>
      <w:r>
        <w:rPr>
          <w:rFonts w:hint="eastAsia" w:ascii="宋体" w:hAnsi="宋体"/>
          <w:color w:val="auto"/>
          <w:szCs w:val="21"/>
          <w:highlight w:val="none"/>
        </w:rPr>
        <w:t>一个中标候选人</w:t>
      </w:r>
      <w:r>
        <w:rPr>
          <w:rFonts w:ascii="宋体" w:hAnsi="宋体"/>
          <w:color w:val="auto"/>
          <w:szCs w:val="21"/>
          <w:highlight w:val="none"/>
        </w:rPr>
        <w:t>，其他同品牌投标人不作为中标候选人。</w:t>
      </w:r>
    </w:p>
    <w:p>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非单一产品</w:t>
      </w:r>
      <w:r>
        <w:rPr>
          <w:rFonts w:hint="eastAsia" w:ascii="宋体" w:hAnsi="宋体"/>
          <w:color w:val="auto"/>
          <w:szCs w:val="21"/>
          <w:highlight w:val="none"/>
        </w:rPr>
        <w:t>采购</w:t>
      </w:r>
      <w:r>
        <w:rPr>
          <w:rFonts w:ascii="宋体" w:hAnsi="宋体"/>
          <w:color w:val="auto"/>
          <w:szCs w:val="21"/>
          <w:highlight w:val="none"/>
        </w:rPr>
        <w:t>项目，</w:t>
      </w:r>
      <w:r>
        <w:rPr>
          <w:rFonts w:hint="eastAsia" w:ascii="宋体" w:hAnsi="宋体"/>
          <w:color w:val="auto"/>
          <w:szCs w:val="21"/>
          <w:highlight w:val="none"/>
        </w:rPr>
        <w:t>采购</w:t>
      </w:r>
      <w:r>
        <w:rPr>
          <w:rFonts w:ascii="宋体" w:hAnsi="宋体"/>
          <w:color w:val="auto"/>
          <w:szCs w:val="21"/>
          <w:highlight w:val="none"/>
        </w:rPr>
        <w:t>文件中</w:t>
      </w:r>
      <w:r>
        <w:rPr>
          <w:rFonts w:hint="eastAsia" w:ascii="宋体" w:hAnsi="宋体"/>
          <w:color w:val="auto"/>
          <w:szCs w:val="21"/>
          <w:highlight w:val="none"/>
        </w:rPr>
        <w:t>将载明其中的核心产品</w:t>
      </w:r>
      <w:r>
        <w:rPr>
          <w:rFonts w:ascii="宋体" w:hAnsi="宋体"/>
          <w:color w:val="auto"/>
          <w:szCs w:val="21"/>
          <w:highlight w:val="none"/>
        </w:rPr>
        <w:t>。多家投标人提供的核心产品品牌相同的，按前两款规定处理。</w:t>
      </w:r>
    </w:p>
    <w:p>
      <w:pPr>
        <w:pStyle w:val="8"/>
        <w:tabs>
          <w:tab w:val="left" w:pos="0"/>
        </w:tabs>
        <w:spacing w:line="360" w:lineRule="auto"/>
        <w:rPr>
          <w:rFonts w:cs="宋体"/>
          <w:color w:val="auto"/>
          <w:sz w:val="21"/>
          <w:szCs w:val="21"/>
          <w:highlight w:val="none"/>
        </w:rPr>
      </w:pPr>
      <w:bookmarkStart w:id="116" w:name="_Toc513029234"/>
      <w:bookmarkStart w:id="117" w:name="_Toc20823306"/>
      <w:bookmarkStart w:id="118" w:name="_Toc16938550"/>
      <w:r>
        <w:rPr>
          <w:rFonts w:hint="eastAsia" w:ascii="Times New Roman" w:hAnsi="Times New Roman" w:cs="宋体"/>
          <w:color w:val="auto"/>
          <w:sz w:val="21"/>
          <w:szCs w:val="21"/>
          <w:highlight w:val="none"/>
          <w:lang w:eastAsia="zh-CN"/>
        </w:rPr>
        <w:t>28</w:t>
      </w:r>
      <w:r>
        <w:rPr>
          <w:rFonts w:hint="eastAsia" w:cs="宋体"/>
          <w:color w:val="auto"/>
          <w:sz w:val="21"/>
          <w:szCs w:val="21"/>
          <w:highlight w:val="none"/>
        </w:rPr>
        <w:t>、</w:t>
      </w:r>
      <w:bookmarkEnd w:id="116"/>
      <w:bookmarkEnd w:id="117"/>
      <w:bookmarkEnd w:id="118"/>
      <w:r>
        <w:rPr>
          <w:rFonts w:hint="eastAsia" w:cs="宋体"/>
          <w:color w:val="auto"/>
          <w:sz w:val="21"/>
          <w:szCs w:val="21"/>
          <w:highlight w:val="none"/>
        </w:rPr>
        <w:t>无效投标、废标及投标人不足三家的处理</w:t>
      </w:r>
    </w:p>
    <w:p>
      <w:pPr>
        <w:spacing w:line="360" w:lineRule="auto"/>
        <w:ind w:firstLine="420" w:firstLineChars="200"/>
        <w:jc w:val="left"/>
        <w:rPr>
          <w:rFonts w:ascii="宋体" w:hAnsi="宋体"/>
          <w:bCs/>
          <w:color w:val="auto"/>
          <w:szCs w:val="21"/>
          <w:highlight w:val="none"/>
        </w:rPr>
      </w:pPr>
      <w:bookmarkStart w:id="119" w:name="_Toc513029235"/>
      <w:bookmarkStart w:id="120" w:name="_Toc20823307"/>
      <w:bookmarkStart w:id="121" w:name="_Toc16938551"/>
      <w:r>
        <w:rPr>
          <w:rFonts w:hint="eastAsia" w:ascii="Times New Roman" w:hAnsi="Times New Roman"/>
          <w:bCs/>
          <w:color w:val="auto"/>
          <w:szCs w:val="21"/>
          <w:highlight w:val="none"/>
          <w:lang w:eastAsia="zh-CN"/>
        </w:rPr>
        <w:t>28</w:t>
      </w:r>
      <w:r>
        <w:rPr>
          <w:rFonts w:hint="eastAsia" w:ascii="宋体" w:hAnsi="宋体"/>
          <w:bCs/>
          <w:color w:val="auto"/>
          <w:szCs w:val="21"/>
          <w:highlight w:val="none"/>
        </w:rPr>
        <w:t>.</w:t>
      </w:r>
      <w:r>
        <w:rPr>
          <w:rFonts w:hint="eastAsia" w:ascii="Times New Roman" w:hAnsi="Times New Roman"/>
          <w:bCs/>
          <w:color w:val="auto"/>
          <w:szCs w:val="21"/>
          <w:highlight w:val="none"/>
          <w:lang w:eastAsia="zh-CN"/>
        </w:rPr>
        <w:t>1</w:t>
      </w:r>
      <w:r>
        <w:rPr>
          <w:rFonts w:hint="eastAsia" w:ascii="宋体" w:hAnsi="宋体"/>
          <w:bCs/>
          <w:color w:val="auto"/>
          <w:szCs w:val="21"/>
          <w:highlight w:val="none"/>
        </w:rPr>
        <w:t>无效投标条款</w:t>
      </w:r>
    </w:p>
    <w:p>
      <w:pPr>
        <w:spacing w:line="360" w:lineRule="auto"/>
        <w:ind w:firstLine="420" w:firstLineChars="200"/>
        <w:jc w:val="left"/>
        <w:rPr>
          <w:rFonts w:ascii="宋体" w:hAnsi="宋体"/>
          <w:bCs/>
          <w:color w:val="auto"/>
          <w:szCs w:val="21"/>
          <w:highlight w:val="none"/>
        </w:rPr>
      </w:pPr>
      <w:r>
        <w:rPr>
          <w:rFonts w:hint="eastAsia" w:ascii="Times New Roman" w:hAnsi="Times New Roman"/>
          <w:bCs/>
          <w:color w:val="auto"/>
          <w:szCs w:val="21"/>
          <w:highlight w:val="none"/>
          <w:lang w:eastAsia="zh-CN"/>
        </w:rPr>
        <w:t>28</w:t>
      </w:r>
      <w:r>
        <w:rPr>
          <w:rFonts w:hint="eastAsia" w:ascii="宋体" w:hAnsi="宋体"/>
          <w:bCs/>
          <w:color w:val="auto"/>
          <w:szCs w:val="21"/>
          <w:highlight w:val="none"/>
        </w:rPr>
        <w:t>.</w:t>
      </w:r>
      <w:r>
        <w:rPr>
          <w:rFonts w:hint="eastAsia" w:ascii="Times New Roman" w:hAnsi="Times New Roman"/>
          <w:bCs/>
          <w:color w:val="auto"/>
          <w:szCs w:val="21"/>
          <w:highlight w:val="none"/>
          <w:lang w:eastAsia="zh-CN"/>
        </w:rPr>
        <w:t>1</w:t>
      </w:r>
      <w:r>
        <w:rPr>
          <w:rFonts w:hint="eastAsia" w:ascii="宋体" w:hAnsi="宋体"/>
          <w:bCs/>
          <w:color w:val="auto"/>
          <w:szCs w:val="21"/>
          <w:highlight w:val="none"/>
        </w:rPr>
        <w:t>.</w:t>
      </w:r>
      <w:r>
        <w:rPr>
          <w:rFonts w:hint="eastAsia" w:ascii="Times New Roman" w:hAnsi="Times New Roman"/>
          <w:bCs/>
          <w:color w:val="auto"/>
          <w:szCs w:val="21"/>
          <w:highlight w:val="none"/>
          <w:lang w:eastAsia="zh-CN"/>
        </w:rPr>
        <w:t>1</w:t>
      </w:r>
      <w:r>
        <w:rPr>
          <w:rFonts w:hint="eastAsia" w:ascii="宋体" w:hAnsi="宋体"/>
          <w:bCs/>
          <w:color w:val="auto"/>
          <w:szCs w:val="21"/>
          <w:highlight w:val="none"/>
        </w:rPr>
        <w:t>未按要求交纳投标保证金的；</w:t>
      </w:r>
    </w:p>
    <w:p>
      <w:pPr>
        <w:spacing w:line="360" w:lineRule="auto"/>
        <w:ind w:firstLine="420" w:firstLineChars="200"/>
        <w:jc w:val="left"/>
        <w:rPr>
          <w:rFonts w:ascii="宋体" w:hAnsi="宋体"/>
          <w:bCs/>
          <w:color w:val="auto"/>
          <w:szCs w:val="21"/>
          <w:highlight w:val="none"/>
        </w:rPr>
      </w:pPr>
      <w:r>
        <w:rPr>
          <w:rFonts w:hint="eastAsia" w:ascii="Times New Roman" w:hAnsi="Times New Roman"/>
          <w:bCs/>
          <w:color w:val="auto"/>
          <w:szCs w:val="21"/>
          <w:highlight w:val="none"/>
          <w:lang w:eastAsia="zh-CN"/>
        </w:rPr>
        <w:t>28</w:t>
      </w:r>
      <w:r>
        <w:rPr>
          <w:rFonts w:hint="eastAsia" w:ascii="宋体" w:hAnsi="宋体"/>
          <w:bCs/>
          <w:color w:val="auto"/>
          <w:szCs w:val="21"/>
          <w:highlight w:val="none"/>
        </w:rPr>
        <w:t>.</w:t>
      </w:r>
      <w:r>
        <w:rPr>
          <w:rFonts w:hint="eastAsia" w:ascii="Times New Roman" w:hAnsi="Times New Roman"/>
          <w:bCs/>
          <w:color w:val="auto"/>
          <w:szCs w:val="21"/>
          <w:highlight w:val="none"/>
          <w:lang w:eastAsia="zh-CN"/>
        </w:rPr>
        <w:t>1</w:t>
      </w:r>
      <w:r>
        <w:rPr>
          <w:rFonts w:hint="eastAsia" w:ascii="宋体" w:hAnsi="宋体"/>
          <w:bCs/>
          <w:color w:val="auto"/>
          <w:szCs w:val="21"/>
          <w:highlight w:val="none"/>
        </w:rPr>
        <w:t>.</w:t>
      </w:r>
      <w:r>
        <w:rPr>
          <w:rFonts w:hint="eastAsia" w:ascii="Times New Roman" w:hAnsi="Times New Roman"/>
          <w:bCs/>
          <w:color w:val="auto"/>
          <w:szCs w:val="21"/>
          <w:highlight w:val="none"/>
          <w:lang w:eastAsia="zh-CN"/>
        </w:rPr>
        <w:t>2</w:t>
      </w:r>
      <w:r>
        <w:rPr>
          <w:rFonts w:hint="eastAsia" w:ascii="宋体" w:hAnsi="宋体"/>
          <w:bCs/>
          <w:color w:val="auto"/>
          <w:szCs w:val="21"/>
          <w:highlight w:val="none"/>
        </w:rPr>
        <w:t>未按照采购文件规定要求密封、签署、盖章的；</w:t>
      </w:r>
    </w:p>
    <w:p>
      <w:pPr>
        <w:spacing w:line="360" w:lineRule="auto"/>
        <w:ind w:firstLine="420" w:firstLineChars="200"/>
        <w:jc w:val="left"/>
        <w:rPr>
          <w:rFonts w:ascii="宋体" w:hAnsi="宋体"/>
          <w:bCs/>
          <w:color w:val="auto"/>
          <w:szCs w:val="21"/>
          <w:highlight w:val="none"/>
        </w:rPr>
      </w:pPr>
      <w:r>
        <w:rPr>
          <w:rFonts w:hint="eastAsia" w:ascii="Times New Roman" w:hAnsi="Times New Roman"/>
          <w:bCs/>
          <w:color w:val="auto"/>
          <w:szCs w:val="21"/>
          <w:highlight w:val="none"/>
          <w:lang w:eastAsia="zh-CN"/>
        </w:rPr>
        <w:t>28</w:t>
      </w:r>
      <w:r>
        <w:rPr>
          <w:rFonts w:hint="eastAsia" w:ascii="宋体" w:hAnsi="宋体"/>
          <w:bCs/>
          <w:color w:val="auto"/>
          <w:szCs w:val="21"/>
          <w:highlight w:val="none"/>
        </w:rPr>
        <w:t>.</w:t>
      </w:r>
      <w:r>
        <w:rPr>
          <w:rFonts w:hint="eastAsia" w:ascii="Times New Roman" w:hAnsi="Times New Roman"/>
          <w:bCs/>
          <w:color w:val="auto"/>
          <w:szCs w:val="21"/>
          <w:highlight w:val="none"/>
          <w:lang w:eastAsia="zh-CN"/>
        </w:rPr>
        <w:t>1</w:t>
      </w:r>
      <w:r>
        <w:rPr>
          <w:rFonts w:hint="eastAsia" w:ascii="宋体" w:hAnsi="宋体"/>
          <w:bCs/>
          <w:color w:val="auto"/>
          <w:szCs w:val="21"/>
          <w:highlight w:val="none"/>
        </w:rPr>
        <w:t>.</w:t>
      </w:r>
      <w:r>
        <w:rPr>
          <w:rFonts w:hint="eastAsia" w:ascii="Times New Roman" w:hAnsi="Times New Roman"/>
          <w:bCs/>
          <w:color w:val="auto"/>
          <w:szCs w:val="21"/>
          <w:highlight w:val="none"/>
          <w:lang w:eastAsia="zh-CN"/>
        </w:rPr>
        <w:t>3</w:t>
      </w:r>
      <w:r>
        <w:rPr>
          <w:rFonts w:hint="eastAsia" w:ascii="宋体" w:hAnsi="宋体"/>
          <w:bCs/>
          <w:color w:val="auto"/>
          <w:szCs w:val="21"/>
          <w:highlight w:val="none"/>
        </w:rPr>
        <w:t>投标人在报价时采用选择性报价；</w:t>
      </w:r>
    </w:p>
    <w:p>
      <w:pPr>
        <w:spacing w:line="360" w:lineRule="auto"/>
        <w:ind w:firstLine="420" w:firstLineChars="200"/>
        <w:jc w:val="left"/>
        <w:rPr>
          <w:rFonts w:ascii="宋体" w:hAnsi="宋体"/>
          <w:bCs/>
          <w:color w:val="auto"/>
          <w:szCs w:val="21"/>
          <w:highlight w:val="none"/>
        </w:rPr>
      </w:pPr>
      <w:r>
        <w:rPr>
          <w:rFonts w:hint="eastAsia" w:ascii="Times New Roman" w:hAnsi="Times New Roman"/>
          <w:bCs/>
          <w:color w:val="auto"/>
          <w:szCs w:val="21"/>
          <w:highlight w:val="none"/>
          <w:lang w:eastAsia="zh-CN"/>
        </w:rPr>
        <w:t>28</w:t>
      </w:r>
      <w:r>
        <w:rPr>
          <w:rFonts w:hint="eastAsia" w:ascii="宋体" w:hAnsi="宋体"/>
          <w:bCs/>
          <w:color w:val="auto"/>
          <w:szCs w:val="21"/>
          <w:highlight w:val="none"/>
        </w:rPr>
        <w:t>.</w:t>
      </w:r>
      <w:r>
        <w:rPr>
          <w:rFonts w:hint="eastAsia" w:ascii="Times New Roman" w:hAnsi="Times New Roman"/>
          <w:bCs/>
          <w:color w:val="auto"/>
          <w:szCs w:val="21"/>
          <w:highlight w:val="none"/>
          <w:lang w:eastAsia="zh-CN"/>
        </w:rPr>
        <w:t>1</w:t>
      </w:r>
      <w:r>
        <w:rPr>
          <w:rFonts w:hint="eastAsia" w:ascii="宋体" w:hAnsi="宋体"/>
          <w:bCs/>
          <w:color w:val="auto"/>
          <w:szCs w:val="21"/>
          <w:highlight w:val="none"/>
        </w:rPr>
        <w:t>.</w:t>
      </w:r>
      <w:r>
        <w:rPr>
          <w:rFonts w:hint="eastAsia" w:ascii="Times New Roman" w:hAnsi="Times New Roman"/>
          <w:bCs/>
          <w:color w:val="auto"/>
          <w:szCs w:val="21"/>
          <w:highlight w:val="none"/>
          <w:lang w:eastAsia="zh-CN"/>
        </w:rPr>
        <w:t>4</w:t>
      </w:r>
      <w:r>
        <w:rPr>
          <w:rFonts w:hint="eastAsia" w:ascii="宋体" w:hAnsi="宋体"/>
          <w:bCs/>
          <w:color w:val="auto"/>
          <w:szCs w:val="21"/>
          <w:highlight w:val="none"/>
        </w:rPr>
        <w:t>投标人不具备采购文件中规定资格要求的；</w:t>
      </w:r>
    </w:p>
    <w:p>
      <w:pPr>
        <w:spacing w:line="360" w:lineRule="auto"/>
        <w:ind w:firstLine="420" w:firstLineChars="200"/>
        <w:jc w:val="left"/>
        <w:rPr>
          <w:rFonts w:ascii="宋体" w:hAnsi="宋体"/>
          <w:bCs/>
          <w:color w:val="auto"/>
          <w:szCs w:val="21"/>
          <w:highlight w:val="none"/>
        </w:rPr>
      </w:pPr>
      <w:r>
        <w:rPr>
          <w:rFonts w:hint="eastAsia" w:ascii="Times New Roman" w:hAnsi="Times New Roman"/>
          <w:bCs/>
          <w:color w:val="auto"/>
          <w:szCs w:val="21"/>
          <w:highlight w:val="none"/>
          <w:lang w:eastAsia="zh-CN"/>
        </w:rPr>
        <w:t>28</w:t>
      </w:r>
      <w:r>
        <w:rPr>
          <w:rFonts w:hint="eastAsia" w:ascii="宋体" w:hAnsi="宋体"/>
          <w:bCs/>
          <w:color w:val="auto"/>
          <w:szCs w:val="21"/>
          <w:highlight w:val="none"/>
        </w:rPr>
        <w:t>.</w:t>
      </w:r>
      <w:r>
        <w:rPr>
          <w:rFonts w:hint="eastAsia" w:ascii="Times New Roman" w:hAnsi="Times New Roman"/>
          <w:bCs/>
          <w:color w:val="auto"/>
          <w:szCs w:val="21"/>
          <w:highlight w:val="none"/>
          <w:lang w:eastAsia="zh-CN"/>
        </w:rPr>
        <w:t>1</w:t>
      </w:r>
      <w:r>
        <w:rPr>
          <w:rFonts w:hint="eastAsia" w:ascii="宋体" w:hAnsi="宋体"/>
          <w:bCs/>
          <w:color w:val="auto"/>
          <w:szCs w:val="21"/>
          <w:highlight w:val="none"/>
        </w:rPr>
        <w:t>.</w:t>
      </w:r>
      <w:r>
        <w:rPr>
          <w:rFonts w:hint="eastAsia" w:ascii="Times New Roman" w:hAnsi="Times New Roman"/>
          <w:bCs/>
          <w:color w:val="auto"/>
          <w:szCs w:val="21"/>
          <w:highlight w:val="none"/>
          <w:lang w:eastAsia="zh-CN"/>
        </w:rPr>
        <w:t>5</w:t>
      </w:r>
      <w:r>
        <w:rPr>
          <w:rFonts w:hint="eastAsia" w:ascii="宋体" w:hAnsi="宋体"/>
          <w:bCs/>
          <w:color w:val="auto"/>
          <w:szCs w:val="21"/>
          <w:highlight w:val="none"/>
        </w:rPr>
        <w:t>投标人的报价超过了采购预算或最高限价的；</w:t>
      </w:r>
    </w:p>
    <w:p>
      <w:pPr>
        <w:spacing w:line="360" w:lineRule="auto"/>
        <w:ind w:firstLine="420" w:firstLineChars="200"/>
        <w:jc w:val="left"/>
        <w:rPr>
          <w:rFonts w:ascii="宋体" w:hAnsi="宋体"/>
          <w:bCs/>
          <w:color w:val="auto"/>
          <w:szCs w:val="21"/>
          <w:highlight w:val="none"/>
        </w:rPr>
      </w:pPr>
      <w:r>
        <w:rPr>
          <w:rFonts w:hint="eastAsia" w:ascii="Times New Roman" w:hAnsi="Times New Roman"/>
          <w:bCs/>
          <w:color w:val="auto"/>
          <w:szCs w:val="21"/>
          <w:highlight w:val="none"/>
          <w:lang w:eastAsia="zh-CN"/>
        </w:rPr>
        <w:t>28</w:t>
      </w:r>
      <w:r>
        <w:rPr>
          <w:rFonts w:hint="eastAsia" w:ascii="宋体" w:hAnsi="宋体"/>
          <w:bCs/>
          <w:color w:val="auto"/>
          <w:szCs w:val="21"/>
          <w:highlight w:val="none"/>
        </w:rPr>
        <w:t>.</w:t>
      </w:r>
      <w:r>
        <w:rPr>
          <w:rFonts w:hint="eastAsia" w:ascii="Times New Roman" w:hAnsi="Times New Roman"/>
          <w:bCs/>
          <w:color w:val="auto"/>
          <w:szCs w:val="21"/>
          <w:highlight w:val="none"/>
          <w:lang w:eastAsia="zh-CN"/>
        </w:rPr>
        <w:t>1</w:t>
      </w:r>
      <w:r>
        <w:rPr>
          <w:rFonts w:hint="eastAsia" w:ascii="宋体" w:hAnsi="宋体"/>
          <w:bCs/>
          <w:color w:val="auto"/>
          <w:szCs w:val="21"/>
          <w:highlight w:val="none"/>
        </w:rPr>
        <w:t>.</w:t>
      </w:r>
      <w:r>
        <w:rPr>
          <w:rFonts w:hint="eastAsia" w:ascii="Times New Roman" w:hAnsi="Times New Roman"/>
          <w:bCs/>
          <w:color w:val="auto"/>
          <w:szCs w:val="21"/>
          <w:highlight w:val="none"/>
          <w:lang w:eastAsia="zh-CN"/>
        </w:rPr>
        <w:t>6</w:t>
      </w:r>
      <w:r>
        <w:rPr>
          <w:rFonts w:hint="eastAsia" w:ascii="宋体" w:hAnsi="宋体"/>
          <w:bCs/>
          <w:color w:val="auto"/>
          <w:szCs w:val="21"/>
          <w:highlight w:val="none"/>
        </w:rPr>
        <w:t>未通过符合性检查的；</w:t>
      </w:r>
    </w:p>
    <w:p>
      <w:pPr>
        <w:spacing w:line="360" w:lineRule="auto"/>
        <w:ind w:firstLine="315" w:firstLineChars="150"/>
        <w:jc w:val="left"/>
        <w:rPr>
          <w:rFonts w:ascii="宋体" w:hAnsi="宋体"/>
          <w:bCs/>
          <w:color w:val="auto"/>
          <w:szCs w:val="21"/>
          <w:highlight w:val="none"/>
        </w:rPr>
      </w:pPr>
      <w:r>
        <w:rPr>
          <w:rFonts w:hint="eastAsia" w:ascii="宋体" w:hAnsi="宋体"/>
          <w:bCs/>
          <w:color w:val="auto"/>
          <w:szCs w:val="21"/>
          <w:highlight w:val="none"/>
        </w:rPr>
        <w:t xml:space="preserve"> </w:t>
      </w:r>
      <w:r>
        <w:rPr>
          <w:rFonts w:hint="eastAsia" w:ascii="Times New Roman" w:hAnsi="Times New Roman"/>
          <w:bCs/>
          <w:color w:val="auto"/>
          <w:szCs w:val="21"/>
          <w:highlight w:val="none"/>
          <w:lang w:eastAsia="zh-CN"/>
        </w:rPr>
        <w:t>28</w:t>
      </w:r>
      <w:r>
        <w:rPr>
          <w:rFonts w:hint="eastAsia" w:ascii="宋体" w:hAnsi="宋体"/>
          <w:bCs/>
          <w:color w:val="auto"/>
          <w:szCs w:val="21"/>
          <w:highlight w:val="none"/>
        </w:rPr>
        <w:t>.</w:t>
      </w:r>
      <w:r>
        <w:rPr>
          <w:rFonts w:hint="eastAsia" w:ascii="Times New Roman" w:hAnsi="Times New Roman"/>
          <w:bCs/>
          <w:color w:val="auto"/>
          <w:szCs w:val="21"/>
          <w:highlight w:val="none"/>
          <w:lang w:eastAsia="zh-CN"/>
        </w:rPr>
        <w:t>1</w:t>
      </w:r>
      <w:r>
        <w:rPr>
          <w:rFonts w:hint="eastAsia" w:ascii="宋体" w:hAnsi="宋体"/>
          <w:bCs/>
          <w:color w:val="auto"/>
          <w:szCs w:val="21"/>
          <w:highlight w:val="none"/>
        </w:rPr>
        <w:t>.</w:t>
      </w:r>
      <w:r>
        <w:rPr>
          <w:rFonts w:hint="eastAsia" w:ascii="Times New Roman" w:hAnsi="Times New Roman"/>
          <w:bCs/>
          <w:color w:val="auto"/>
          <w:szCs w:val="21"/>
          <w:highlight w:val="none"/>
          <w:lang w:eastAsia="zh-CN"/>
        </w:rPr>
        <w:t>7</w:t>
      </w:r>
      <w:r>
        <w:rPr>
          <w:rFonts w:hint="eastAsia" w:ascii="宋体" w:hAnsi="宋体"/>
          <w:bCs/>
          <w:color w:val="auto"/>
          <w:szCs w:val="21"/>
          <w:highlight w:val="none"/>
        </w:rPr>
        <w:t>不符合采购文件中规定的其他实质性要求和条件的（</w:t>
      </w:r>
      <w:r>
        <w:rPr>
          <w:rFonts w:hint="eastAsia" w:ascii="宋体" w:hAnsi="宋体"/>
          <w:bCs/>
          <w:i/>
          <w:color w:val="auto"/>
          <w:szCs w:val="21"/>
          <w:highlight w:val="none"/>
          <w:u w:val="single"/>
        </w:rPr>
        <w:t>本采购文件中斜体且有下划线部分为实质性要求和条件，包括但不限于该范围）；</w:t>
      </w:r>
    </w:p>
    <w:p>
      <w:pPr>
        <w:spacing w:line="360" w:lineRule="auto"/>
        <w:ind w:firstLine="420" w:firstLineChars="200"/>
        <w:jc w:val="left"/>
        <w:rPr>
          <w:rFonts w:ascii="宋体" w:hAnsi="宋体"/>
          <w:bCs/>
          <w:color w:val="auto"/>
          <w:szCs w:val="21"/>
          <w:highlight w:val="none"/>
        </w:rPr>
      </w:pPr>
      <w:r>
        <w:rPr>
          <w:rFonts w:hint="eastAsia" w:ascii="Times New Roman" w:hAnsi="Times New Roman"/>
          <w:bCs/>
          <w:color w:val="auto"/>
          <w:szCs w:val="21"/>
          <w:highlight w:val="none"/>
          <w:lang w:eastAsia="zh-CN"/>
        </w:rPr>
        <w:t>28</w:t>
      </w:r>
      <w:r>
        <w:rPr>
          <w:rFonts w:hint="eastAsia" w:ascii="宋体" w:hAnsi="宋体"/>
          <w:bCs/>
          <w:color w:val="auto"/>
          <w:szCs w:val="21"/>
          <w:highlight w:val="none"/>
        </w:rPr>
        <w:t>.</w:t>
      </w:r>
      <w:r>
        <w:rPr>
          <w:rFonts w:hint="eastAsia" w:ascii="Times New Roman" w:hAnsi="Times New Roman"/>
          <w:bCs/>
          <w:color w:val="auto"/>
          <w:szCs w:val="21"/>
          <w:highlight w:val="none"/>
          <w:lang w:eastAsia="zh-CN"/>
        </w:rPr>
        <w:t>1</w:t>
      </w:r>
      <w:r>
        <w:rPr>
          <w:rFonts w:hint="eastAsia" w:ascii="宋体" w:hAnsi="宋体"/>
          <w:bCs/>
          <w:color w:val="auto"/>
          <w:szCs w:val="21"/>
          <w:highlight w:val="none"/>
        </w:rPr>
        <w:t>.</w:t>
      </w:r>
      <w:r>
        <w:rPr>
          <w:rFonts w:hint="eastAsia" w:ascii="Times New Roman" w:hAnsi="Times New Roman"/>
          <w:bCs/>
          <w:color w:val="auto"/>
          <w:szCs w:val="21"/>
          <w:highlight w:val="none"/>
          <w:lang w:eastAsia="zh-CN"/>
        </w:rPr>
        <w:t>8</w:t>
      </w:r>
      <w:r>
        <w:rPr>
          <w:rFonts w:hint="eastAsia" w:ascii="宋体" w:hAnsi="宋体"/>
          <w:bCs/>
          <w:color w:val="auto"/>
          <w:szCs w:val="21"/>
          <w:highlight w:val="none"/>
        </w:rPr>
        <w:t xml:space="preserve"> 投标人被 “信用中国”网站（</w:t>
      </w:r>
      <w:r>
        <w:rPr>
          <w:rFonts w:hint="eastAsia" w:ascii="Times New Roman" w:hAnsi="Times New Roman"/>
          <w:bCs/>
          <w:color w:val="auto"/>
          <w:szCs w:val="21"/>
          <w:highlight w:val="none"/>
          <w:lang w:eastAsia="zh-CN"/>
        </w:rPr>
        <w:t>www</w:t>
      </w:r>
      <w:r>
        <w:rPr>
          <w:rFonts w:hint="eastAsia" w:ascii="宋体" w:hAnsi="宋体"/>
          <w:bCs/>
          <w:color w:val="auto"/>
          <w:szCs w:val="21"/>
          <w:highlight w:val="none"/>
        </w:rPr>
        <w:t>.</w:t>
      </w:r>
      <w:r>
        <w:rPr>
          <w:rFonts w:hint="eastAsia" w:ascii="Times New Roman" w:hAnsi="Times New Roman"/>
          <w:bCs/>
          <w:color w:val="auto"/>
          <w:szCs w:val="21"/>
          <w:highlight w:val="none"/>
          <w:lang w:eastAsia="zh-CN"/>
        </w:rPr>
        <w:t>creditchina</w:t>
      </w:r>
      <w:r>
        <w:rPr>
          <w:rFonts w:hint="eastAsia" w:ascii="宋体" w:hAnsi="宋体"/>
          <w:bCs/>
          <w:color w:val="auto"/>
          <w:szCs w:val="21"/>
          <w:highlight w:val="none"/>
        </w:rPr>
        <w:t>.</w:t>
      </w:r>
      <w:r>
        <w:rPr>
          <w:rFonts w:hint="eastAsia" w:ascii="Times New Roman" w:hAnsi="Times New Roman"/>
          <w:bCs/>
          <w:color w:val="auto"/>
          <w:szCs w:val="21"/>
          <w:highlight w:val="none"/>
          <w:lang w:eastAsia="zh-CN"/>
        </w:rPr>
        <w:t>gov</w:t>
      </w:r>
      <w:r>
        <w:rPr>
          <w:rFonts w:hint="eastAsia" w:ascii="宋体" w:hAnsi="宋体"/>
          <w:bCs/>
          <w:color w:val="auto"/>
          <w:szCs w:val="21"/>
          <w:highlight w:val="none"/>
        </w:rPr>
        <w:t>.</w:t>
      </w:r>
      <w:r>
        <w:rPr>
          <w:rFonts w:hint="eastAsia" w:ascii="Times New Roman" w:hAnsi="Times New Roman"/>
          <w:bCs/>
          <w:color w:val="auto"/>
          <w:szCs w:val="21"/>
          <w:highlight w:val="none"/>
          <w:lang w:eastAsia="zh-CN"/>
        </w:rPr>
        <w:t>cn</w:t>
      </w:r>
      <w:r>
        <w:rPr>
          <w:rFonts w:hint="eastAsia" w:ascii="宋体" w:hAnsi="宋体"/>
          <w:bCs/>
          <w:color w:val="auto"/>
          <w:szCs w:val="21"/>
          <w:highlight w:val="none"/>
        </w:rPr>
        <w:t>）、“中国政府采购网"(</w:t>
      </w:r>
      <w:r>
        <w:rPr>
          <w:rFonts w:hint="eastAsia" w:ascii="Times New Roman" w:hAnsi="Times New Roman"/>
          <w:bCs/>
          <w:color w:val="auto"/>
          <w:szCs w:val="21"/>
          <w:highlight w:val="none"/>
          <w:lang w:eastAsia="zh-CN"/>
        </w:rPr>
        <w:t>www</w:t>
      </w:r>
      <w:r>
        <w:rPr>
          <w:rFonts w:hint="eastAsia" w:ascii="宋体" w:hAnsi="宋体"/>
          <w:bCs/>
          <w:color w:val="auto"/>
          <w:szCs w:val="21"/>
          <w:highlight w:val="none"/>
        </w:rPr>
        <w:t>.</w:t>
      </w:r>
      <w:r>
        <w:rPr>
          <w:rFonts w:hint="eastAsia" w:ascii="Times New Roman" w:hAnsi="Times New Roman"/>
          <w:bCs/>
          <w:color w:val="auto"/>
          <w:szCs w:val="21"/>
          <w:highlight w:val="none"/>
          <w:lang w:eastAsia="zh-CN"/>
        </w:rPr>
        <w:t>ccgp</w:t>
      </w:r>
      <w:r>
        <w:rPr>
          <w:rFonts w:hint="eastAsia" w:ascii="宋体" w:hAnsi="宋体"/>
          <w:bCs/>
          <w:color w:val="auto"/>
          <w:szCs w:val="21"/>
          <w:highlight w:val="none"/>
        </w:rPr>
        <w:t>.</w:t>
      </w:r>
      <w:r>
        <w:rPr>
          <w:rFonts w:hint="eastAsia" w:ascii="Times New Roman" w:hAnsi="Times New Roman"/>
          <w:bCs/>
          <w:color w:val="auto"/>
          <w:szCs w:val="21"/>
          <w:highlight w:val="none"/>
          <w:lang w:eastAsia="zh-CN"/>
        </w:rPr>
        <w:t>gov</w:t>
      </w:r>
      <w:r>
        <w:rPr>
          <w:rFonts w:hint="eastAsia" w:ascii="宋体" w:hAnsi="宋体"/>
          <w:bCs/>
          <w:color w:val="auto"/>
          <w:szCs w:val="21"/>
          <w:highlight w:val="none"/>
        </w:rPr>
        <w:t>.</w:t>
      </w:r>
      <w:r>
        <w:rPr>
          <w:rFonts w:hint="eastAsia" w:ascii="Times New Roman" w:hAnsi="Times New Roman"/>
          <w:bCs/>
          <w:color w:val="auto"/>
          <w:szCs w:val="21"/>
          <w:highlight w:val="none"/>
          <w:lang w:eastAsia="zh-CN"/>
        </w:rPr>
        <w:t>cn</w:t>
      </w:r>
      <w:r>
        <w:rPr>
          <w:rFonts w:hint="eastAsia" w:ascii="宋体" w:hAnsi="宋体"/>
          <w:bCs/>
          <w:color w:val="auto"/>
          <w:szCs w:val="21"/>
          <w:highlight w:val="none"/>
        </w:rPr>
        <w:t>)列入失信被执行人或重大税收违法案件当事人名单或政府采购严重失信行为记录名单。若接受联合体的项目，两个以上的自然人、法人或者其他组织组成一个联合体，以一个投标人的身份共同参加政府采购活动的，联合体成员存在不良信用记录的，视同联合体存在不良应用记录。</w:t>
      </w:r>
    </w:p>
    <w:p>
      <w:pPr>
        <w:spacing w:line="360" w:lineRule="auto"/>
        <w:ind w:firstLine="420" w:firstLineChars="200"/>
        <w:jc w:val="left"/>
        <w:rPr>
          <w:rFonts w:ascii="宋体" w:hAnsi="宋体"/>
          <w:bCs/>
          <w:color w:val="auto"/>
          <w:szCs w:val="21"/>
          <w:highlight w:val="none"/>
        </w:rPr>
      </w:pPr>
      <w:r>
        <w:rPr>
          <w:rFonts w:hint="eastAsia" w:ascii="Times New Roman" w:hAnsi="Times New Roman"/>
          <w:bCs/>
          <w:color w:val="auto"/>
          <w:szCs w:val="21"/>
          <w:highlight w:val="none"/>
          <w:lang w:eastAsia="zh-CN"/>
        </w:rPr>
        <w:t>28</w:t>
      </w:r>
      <w:r>
        <w:rPr>
          <w:rFonts w:hint="eastAsia" w:ascii="宋体" w:hAnsi="宋体"/>
          <w:bCs/>
          <w:color w:val="auto"/>
          <w:szCs w:val="21"/>
          <w:highlight w:val="none"/>
        </w:rPr>
        <w:t>.</w:t>
      </w:r>
      <w:r>
        <w:rPr>
          <w:rFonts w:hint="eastAsia" w:ascii="Times New Roman" w:hAnsi="Times New Roman"/>
          <w:bCs/>
          <w:color w:val="auto"/>
          <w:szCs w:val="21"/>
          <w:highlight w:val="none"/>
          <w:lang w:eastAsia="zh-CN"/>
        </w:rPr>
        <w:t>1</w:t>
      </w:r>
      <w:r>
        <w:rPr>
          <w:rFonts w:hint="eastAsia" w:ascii="宋体" w:hAnsi="宋体"/>
          <w:bCs/>
          <w:color w:val="auto"/>
          <w:szCs w:val="21"/>
          <w:highlight w:val="none"/>
        </w:rPr>
        <w:t>.</w:t>
      </w:r>
      <w:r>
        <w:rPr>
          <w:rFonts w:hint="eastAsia" w:ascii="Times New Roman" w:hAnsi="Times New Roman"/>
          <w:bCs/>
          <w:color w:val="auto"/>
          <w:szCs w:val="21"/>
          <w:highlight w:val="none"/>
          <w:lang w:eastAsia="zh-CN"/>
        </w:rPr>
        <w:t>9</w:t>
      </w:r>
      <w:r>
        <w:rPr>
          <w:rFonts w:hint="eastAsia" w:ascii="宋体" w:hAnsi="宋体"/>
          <w:bCs/>
          <w:color w:val="auto"/>
          <w:szCs w:val="21"/>
          <w:highlight w:val="none"/>
        </w:rPr>
        <w:t xml:space="preserve">  投标文件含有采购人不能接受的附加条件的。</w:t>
      </w:r>
    </w:p>
    <w:p>
      <w:pPr>
        <w:spacing w:line="360" w:lineRule="auto"/>
        <w:ind w:firstLine="420" w:firstLineChars="200"/>
        <w:jc w:val="left"/>
        <w:rPr>
          <w:rFonts w:ascii="宋体" w:hAnsi="宋体"/>
          <w:bCs/>
          <w:color w:val="auto"/>
          <w:szCs w:val="21"/>
          <w:highlight w:val="none"/>
        </w:rPr>
      </w:pPr>
      <w:r>
        <w:rPr>
          <w:rFonts w:hint="eastAsia" w:ascii="Times New Roman" w:hAnsi="Times New Roman"/>
          <w:bCs/>
          <w:color w:val="auto"/>
          <w:szCs w:val="21"/>
          <w:highlight w:val="none"/>
          <w:lang w:eastAsia="zh-CN"/>
        </w:rPr>
        <w:t>28</w:t>
      </w:r>
      <w:r>
        <w:rPr>
          <w:rFonts w:hint="eastAsia" w:ascii="宋体" w:hAnsi="宋体"/>
          <w:bCs/>
          <w:color w:val="auto"/>
          <w:szCs w:val="21"/>
          <w:highlight w:val="none"/>
        </w:rPr>
        <w:t>.</w:t>
      </w:r>
      <w:r>
        <w:rPr>
          <w:rFonts w:hint="eastAsia" w:ascii="Times New Roman" w:hAnsi="Times New Roman"/>
          <w:bCs/>
          <w:color w:val="auto"/>
          <w:szCs w:val="21"/>
          <w:highlight w:val="none"/>
          <w:lang w:eastAsia="zh-CN"/>
        </w:rPr>
        <w:t>1</w:t>
      </w:r>
      <w:r>
        <w:rPr>
          <w:rFonts w:hint="eastAsia" w:ascii="宋体" w:hAnsi="宋体"/>
          <w:bCs/>
          <w:color w:val="auto"/>
          <w:szCs w:val="21"/>
          <w:highlight w:val="none"/>
        </w:rPr>
        <w:t>.</w:t>
      </w:r>
      <w:r>
        <w:rPr>
          <w:rFonts w:hint="eastAsia" w:ascii="Times New Roman" w:hAnsi="Times New Roman"/>
          <w:bCs/>
          <w:color w:val="auto"/>
          <w:szCs w:val="21"/>
          <w:highlight w:val="none"/>
          <w:lang w:eastAsia="zh-CN"/>
        </w:rPr>
        <w:t>10</w:t>
      </w:r>
      <w:r>
        <w:rPr>
          <w:rFonts w:hint="eastAsia" w:ascii="宋体" w:hAnsi="宋体"/>
          <w:bCs/>
          <w:color w:val="auto"/>
          <w:szCs w:val="21"/>
          <w:highlight w:val="none"/>
        </w:rPr>
        <w:t xml:space="preserve"> 评标委员会认为投标人的报价明显低于其他通过符合性审查投标人的报价，有可能影响产品质量或者不能诚信履约的，要求其在评标现场合理的时间内提供书面说明，必要时提交相关证明材料；投标人不能证明其报价合理性的，评标委员会应当将其作为无效投标处理。</w:t>
      </w:r>
    </w:p>
    <w:p>
      <w:pPr>
        <w:spacing w:line="360" w:lineRule="auto"/>
        <w:ind w:left="479" w:leftChars="228"/>
        <w:jc w:val="left"/>
        <w:rPr>
          <w:rFonts w:ascii="宋体" w:hAnsi="宋体"/>
          <w:bCs/>
          <w:color w:val="auto"/>
          <w:szCs w:val="21"/>
          <w:highlight w:val="none"/>
        </w:rPr>
      </w:pPr>
      <w:r>
        <w:rPr>
          <w:rFonts w:hint="eastAsia" w:ascii="Times New Roman" w:hAnsi="Times New Roman"/>
          <w:bCs/>
          <w:color w:val="auto"/>
          <w:szCs w:val="21"/>
          <w:highlight w:val="none"/>
          <w:lang w:eastAsia="zh-CN"/>
        </w:rPr>
        <w:t>28</w:t>
      </w:r>
      <w:r>
        <w:rPr>
          <w:rFonts w:hint="eastAsia" w:ascii="宋体" w:hAnsi="宋体"/>
          <w:bCs/>
          <w:color w:val="auto"/>
          <w:szCs w:val="21"/>
          <w:highlight w:val="none"/>
        </w:rPr>
        <w:t>.</w:t>
      </w:r>
      <w:r>
        <w:rPr>
          <w:rFonts w:hint="eastAsia" w:ascii="Times New Roman" w:hAnsi="Times New Roman"/>
          <w:bCs/>
          <w:color w:val="auto"/>
          <w:szCs w:val="21"/>
          <w:highlight w:val="none"/>
          <w:lang w:eastAsia="zh-CN"/>
        </w:rPr>
        <w:t>1</w:t>
      </w:r>
      <w:r>
        <w:rPr>
          <w:rFonts w:hint="eastAsia" w:ascii="宋体" w:hAnsi="宋体"/>
          <w:bCs/>
          <w:color w:val="auto"/>
          <w:szCs w:val="21"/>
          <w:highlight w:val="none"/>
        </w:rPr>
        <w:t>.</w:t>
      </w:r>
      <w:r>
        <w:rPr>
          <w:rFonts w:hint="eastAsia" w:ascii="Times New Roman" w:hAnsi="Times New Roman"/>
          <w:bCs/>
          <w:color w:val="auto"/>
          <w:szCs w:val="21"/>
          <w:highlight w:val="none"/>
          <w:lang w:eastAsia="zh-CN"/>
        </w:rPr>
        <w:t>11</w:t>
      </w:r>
      <w:r>
        <w:rPr>
          <w:rFonts w:hint="eastAsia" w:ascii="宋体" w:hAnsi="宋体"/>
          <w:bCs/>
          <w:color w:val="auto"/>
          <w:szCs w:val="21"/>
          <w:highlight w:val="none"/>
        </w:rPr>
        <w:t>其他法律、法规及本采购文件规定的属无效投标的情形。</w:t>
      </w:r>
    </w:p>
    <w:p>
      <w:pPr>
        <w:spacing w:line="360" w:lineRule="auto"/>
        <w:ind w:left="479" w:leftChars="228"/>
        <w:rPr>
          <w:rFonts w:ascii="宋体" w:hAnsi="宋体"/>
          <w:bCs/>
          <w:color w:val="auto"/>
          <w:szCs w:val="21"/>
          <w:highlight w:val="none"/>
        </w:rPr>
      </w:pPr>
      <w:r>
        <w:rPr>
          <w:rFonts w:hint="eastAsia" w:ascii="Times New Roman" w:hAnsi="Times New Roman"/>
          <w:bCs/>
          <w:color w:val="auto"/>
          <w:szCs w:val="21"/>
          <w:highlight w:val="none"/>
          <w:lang w:eastAsia="zh-CN"/>
        </w:rPr>
        <w:t>28</w:t>
      </w:r>
      <w:r>
        <w:rPr>
          <w:rFonts w:hint="eastAsia" w:ascii="宋体" w:hAnsi="宋体"/>
          <w:bCs/>
          <w:color w:val="auto"/>
          <w:szCs w:val="21"/>
          <w:highlight w:val="none"/>
        </w:rPr>
        <w:t>.</w:t>
      </w:r>
      <w:r>
        <w:rPr>
          <w:rFonts w:hint="eastAsia" w:ascii="Times New Roman" w:hAnsi="Times New Roman"/>
          <w:bCs/>
          <w:color w:val="auto"/>
          <w:szCs w:val="21"/>
          <w:highlight w:val="none"/>
          <w:lang w:eastAsia="zh-CN"/>
        </w:rPr>
        <w:t>2</w:t>
      </w:r>
      <w:r>
        <w:rPr>
          <w:rFonts w:hint="eastAsia" w:ascii="宋体" w:hAnsi="宋体"/>
          <w:bCs/>
          <w:color w:val="auto"/>
          <w:szCs w:val="21"/>
          <w:highlight w:val="none"/>
        </w:rPr>
        <w:t xml:space="preserve">废标条款：                                                                                                                                                                                                                                                                                                                                                                                                                                                                                                                                                                                                                                                                                                                                                                                                                                                                                                                                                                                                                                                                                                                                                                                                                                                                                                                                                                                                                                                                         </w:t>
      </w:r>
    </w:p>
    <w:p>
      <w:pPr>
        <w:spacing w:line="360" w:lineRule="auto"/>
        <w:ind w:left="479" w:leftChars="228"/>
        <w:rPr>
          <w:rFonts w:ascii="宋体" w:hAnsi="宋体"/>
          <w:bCs/>
          <w:color w:val="auto"/>
          <w:szCs w:val="21"/>
          <w:highlight w:val="none"/>
        </w:rPr>
      </w:pPr>
      <w:r>
        <w:rPr>
          <w:rFonts w:hint="eastAsia" w:ascii="Times New Roman" w:hAnsi="Times New Roman"/>
          <w:bCs/>
          <w:color w:val="auto"/>
          <w:szCs w:val="21"/>
          <w:highlight w:val="none"/>
          <w:lang w:eastAsia="zh-CN"/>
        </w:rPr>
        <w:t>28</w:t>
      </w:r>
      <w:r>
        <w:rPr>
          <w:rFonts w:hint="eastAsia" w:ascii="宋体" w:hAnsi="宋体"/>
          <w:bCs/>
          <w:color w:val="auto"/>
          <w:szCs w:val="21"/>
          <w:highlight w:val="none"/>
        </w:rPr>
        <w:t>.</w:t>
      </w:r>
      <w:r>
        <w:rPr>
          <w:rFonts w:hint="eastAsia" w:ascii="Times New Roman" w:hAnsi="Times New Roman"/>
          <w:bCs/>
          <w:color w:val="auto"/>
          <w:szCs w:val="21"/>
          <w:highlight w:val="none"/>
          <w:lang w:eastAsia="zh-CN"/>
        </w:rPr>
        <w:t>2</w:t>
      </w:r>
      <w:r>
        <w:rPr>
          <w:rFonts w:hint="eastAsia" w:ascii="宋体" w:hAnsi="宋体"/>
          <w:bCs/>
          <w:color w:val="auto"/>
          <w:szCs w:val="21"/>
          <w:highlight w:val="none"/>
        </w:rPr>
        <w:t>.</w:t>
      </w:r>
      <w:r>
        <w:rPr>
          <w:rFonts w:hint="eastAsia" w:ascii="Times New Roman" w:hAnsi="Times New Roman"/>
          <w:bCs/>
          <w:color w:val="auto"/>
          <w:szCs w:val="21"/>
          <w:highlight w:val="none"/>
          <w:lang w:eastAsia="zh-CN"/>
        </w:rPr>
        <w:t>1</w:t>
      </w:r>
      <w:r>
        <w:rPr>
          <w:rFonts w:hint="eastAsia" w:ascii="宋体" w:hAnsi="宋体"/>
          <w:bCs/>
          <w:color w:val="auto"/>
          <w:szCs w:val="21"/>
          <w:highlight w:val="none"/>
        </w:rPr>
        <w:t>符合专业条件的投标人或者对采购文件作实质响应的投标人不足三家的；</w:t>
      </w:r>
    </w:p>
    <w:p>
      <w:pPr>
        <w:spacing w:line="360" w:lineRule="auto"/>
        <w:ind w:left="479" w:leftChars="228"/>
        <w:rPr>
          <w:rFonts w:ascii="宋体" w:hAnsi="宋体"/>
          <w:bCs/>
          <w:color w:val="auto"/>
          <w:szCs w:val="21"/>
          <w:highlight w:val="none"/>
        </w:rPr>
      </w:pPr>
      <w:r>
        <w:rPr>
          <w:rFonts w:hint="eastAsia" w:ascii="Times New Roman" w:hAnsi="Times New Roman"/>
          <w:bCs/>
          <w:color w:val="auto"/>
          <w:szCs w:val="21"/>
          <w:highlight w:val="none"/>
          <w:lang w:eastAsia="zh-CN"/>
        </w:rPr>
        <w:t>28</w:t>
      </w:r>
      <w:r>
        <w:rPr>
          <w:rFonts w:hint="eastAsia" w:ascii="宋体" w:hAnsi="宋体"/>
          <w:bCs/>
          <w:color w:val="auto"/>
          <w:szCs w:val="21"/>
          <w:highlight w:val="none"/>
        </w:rPr>
        <w:t>.</w:t>
      </w:r>
      <w:r>
        <w:rPr>
          <w:rFonts w:hint="eastAsia" w:ascii="Times New Roman" w:hAnsi="Times New Roman"/>
          <w:bCs/>
          <w:color w:val="auto"/>
          <w:szCs w:val="21"/>
          <w:highlight w:val="none"/>
          <w:lang w:eastAsia="zh-CN"/>
        </w:rPr>
        <w:t>2</w:t>
      </w:r>
      <w:r>
        <w:rPr>
          <w:rFonts w:hint="eastAsia" w:ascii="宋体" w:hAnsi="宋体"/>
          <w:bCs/>
          <w:color w:val="auto"/>
          <w:szCs w:val="21"/>
          <w:highlight w:val="none"/>
        </w:rPr>
        <w:t>.</w:t>
      </w:r>
      <w:r>
        <w:rPr>
          <w:rFonts w:hint="eastAsia" w:ascii="Times New Roman" w:hAnsi="Times New Roman"/>
          <w:bCs/>
          <w:color w:val="auto"/>
          <w:szCs w:val="21"/>
          <w:highlight w:val="none"/>
          <w:lang w:eastAsia="zh-CN"/>
        </w:rPr>
        <w:t>2</w:t>
      </w:r>
      <w:r>
        <w:rPr>
          <w:rFonts w:hint="eastAsia" w:ascii="宋体" w:hAnsi="宋体"/>
          <w:bCs/>
          <w:color w:val="auto"/>
          <w:szCs w:val="21"/>
          <w:highlight w:val="none"/>
        </w:rPr>
        <w:t>投标人的报价均超过采购预算或最高限价；</w:t>
      </w:r>
    </w:p>
    <w:p>
      <w:pPr>
        <w:spacing w:line="360" w:lineRule="auto"/>
        <w:ind w:left="479" w:leftChars="228"/>
        <w:rPr>
          <w:rFonts w:ascii="宋体" w:hAnsi="宋体"/>
          <w:bCs/>
          <w:color w:val="auto"/>
          <w:szCs w:val="21"/>
          <w:highlight w:val="none"/>
        </w:rPr>
      </w:pPr>
      <w:r>
        <w:rPr>
          <w:rFonts w:hint="eastAsia" w:ascii="Times New Roman" w:hAnsi="Times New Roman"/>
          <w:bCs/>
          <w:color w:val="auto"/>
          <w:szCs w:val="21"/>
          <w:highlight w:val="none"/>
          <w:lang w:eastAsia="zh-CN"/>
        </w:rPr>
        <w:t>28</w:t>
      </w:r>
      <w:r>
        <w:rPr>
          <w:rFonts w:hint="eastAsia" w:ascii="宋体" w:hAnsi="宋体"/>
          <w:bCs/>
          <w:color w:val="auto"/>
          <w:szCs w:val="21"/>
          <w:highlight w:val="none"/>
        </w:rPr>
        <w:t>.</w:t>
      </w:r>
      <w:r>
        <w:rPr>
          <w:rFonts w:hint="eastAsia" w:ascii="Times New Roman" w:hAnsi="Times New Roman"/>
          <w:bCs/>
          <w:color w:val="auto"/>
          <w:szCs w:val="21"/>
          <w:highlight w:val="none"/>
          <w:lang w:eastAsia="zh-CN"/>
        </w:rPr>
        <w:t>2</w:t>
      </w:r>
      <w:r>
        <w:rPr>
          <w:rFonts w:hint="eastAsia" w:ascii="宋体" w:hAnsi="宋体"/>
          <w:bCs/>
          <w:color w:val="auto"/>
          <w:szCs w:val="21"/>
          <w:highlight w:val="none"/>
        </w:rPr>
        <w:t>.</w:t>
      </w:r>
      <w:r>
        <w:rPr>
          <w:rFonts w:hint="eastAsia" w:ascii="Times New Roman" w:hAnsi="Times New Roman"/>
          <w:bCs/>
          <w:color w:val="auto"/>
          <w:szCs w:val="21"/>
          <w:highlight w:val="none"/>
          <w:lang w:eastAsia="zh-CN"/>
        </w:rPr>
        <w:t>3</w:t>
      </w:r>
      <w:r>
        <w:rPr>
          <w:rFonts w:hint="eastAsia" w:ascii="宋体" w:hAnsi="宋体"/>
          <w:bCs/>
          <w:color w:val="auto"/>
          <w:szCs w:val="21"/>
          <w:highlight w:val="none"/>
        </w:rPr>
        <w:t>出现影响采购公正的违法、违规行为的；</w:t>
      </w:r>
    </w:p>
    <w:p>
      <w:pPr>
        <w:spacing w:line="360" w:lineRule="auto"/>
        <w:ind w:left="479" w:leftChars="228"/>
        <w:rPr>
          <w:rFonts w:ascii="宋体" w:hAnsi="宋体"/>
          <w:bCs/>
          <w:color w:val="auto"/>
          <w:szCs w:val="21"/>
          <w:highlight w:val="none"/>
        </w:rPr>
      </w:pPr>
      <w:r>
        <w:rPr>
          <w:rFonts w:hint="eastAsia" w:ascii="Times New Roman" w:hAnsi="Times New Roman"/>
          <w:bCs/>
          <w:color w:val="auto"/>
          <w:szCs w:val="21"/>
          <w:highlight w:val="none"/>
          <w:lang w:eastAsia="zh-CN"/>
        </w:rPr>
        <w:t>28</w:t>
      </w:r>
      <w:r>
        <w:rPr>
          <w:rFonts w:hint="eastAsia" w:ascii="宋体" w:hAnsi="宋体"/>
          <w:bCs/>
          <w:color w:val="auto"/>
          <w:szCs w:val="21"/>
          <w:highlight w:val="none"/>
        </w:rPr>
        <w:t>.</w:t>
      </w:r>
      <w:r>
        <w:rPr>
          <w:rFonts w:hint="eastAsia" w:ascii="Times New Roman" w:hAnsi="Times New Roman"/>
          <w:bCs/>
          <w:color w:val="auto"/>
          <w:szCs w:val="21"/>
          <w:highlight w:val="none"/>
          <w:lang w:eastAsia="zh-CN"/>
        </w:rPr>
        <w:t>2</w:t>
      </w:r>
      <w:r>
        <w:rPr>
          <w:rFonts w:hint="eastAsia" w:ascii="宋体" w:hAnsi="宋体"/>
          <w:bCs/>
          <w:color w:val="auto"/>
          <w:szCs w:val="21"/>
          <w:highlight w:val="none"/>
        </w:rPr>
        <w:t>.</w:t>
      </w:r>
      <w:r>
        <w:rPr>
          <w:rFonts w:hint="eastAsia" w:ascii="Times New Roman" w:hAnsi="Times New Roman"/>
          <w:bCs/>
          <w:color w:val="auto"/>
          <w:szCs w:val="21"/>
          <w:highlight w:val="none"/>
          <w:lang w:eastAsia="zh-CN"/>
        </w:rPr>
        <w:t>4</w:t>
      </w:r>
      <w:r>
        <w:rPr>
          <w:rFonts w:hint="eastAsia" w:ascii="宋体" w:hAnsi="宋体"/>
          <w:bCs/>
          <w:color w:val="auto"/>
          <w:szCs w:val="21"/>
          <w:highlight w:val="none"/>
        </w:rPr>
        <w:t>因重大变故，采购任务取消的；</w:t>
      </w:r>
    </w:p>
    <w:p>
      <w:pPr>
        <w:spacing w:line="360" w:lineRule="auto"/>
        <w:ind w:left="479" w:leftChars="228"/>
        <w:rPr>
          <w:rFonts w:ascii="宋体" w:hAnsi="宋体"/>
          <w:bCs/>
          <w:color w:val="auto"/>
          <w:szCs w:val="21"/>
          <w:highlight w:val="none"/>
        </w:rPr>
      </w:pPr>
      <w:r>
        <w:rPr>
          <w:rFonts w:hint="eastAsia" w:ascii="Times New Roman" w:hAnsi="Times New Roman"/>
          <w:bCs/>
          <w:color w:val="auto"/>
          <w:szCs w:val="21"/>
          <w:highlight w:val="none"/>
          <w:lang w:eastAsia="zh-CN"/>
        </w:rPr>
        <w:t>28</w:t>
      </w:r>
      <w:r>
        <w:rPr>
          <w:rFonts w:hint="eastAsia" w:ascii="宋体" w:hAnsi="宋体"/>
          <w:bCs/>
          <w:color w:val="auto"/>
          <w:szCs w:val="21"/>
          <w:highlight w:val="none"/>
        </w:rPr>
        <w:t>.</w:t>
      </w:r>
      <w:r>
        <w:rPr>
          <w:rFonts w:hint="eastAsia" w:ascii="Times New Roman" w:hAnsi="Times New Roman"/>
          <w:bCs/>
          <w:color w:val="auto"/>
          <w:szCs w:val="21"/>
          <w:highlight w:val="none"/>
          <w:lang w:eastAsia="zh-CN"/>
        </w:rPr>
        <w:t>2</w:t>
      </w:r>
      <w:r>
        <w:rPr>
          <w:rFonts w:hint="eastAsia" w:ascii="宋体" w:hAnsi="宋体"/>
          <w:bCs/>
          <w:color w:val="auto"/>
          <w:szCs w:val="21"/>
          <w:highlight w:val="none"/>
        </w:rPr>
        <w:t>.</w:t>
      </w:r>
      <w:r>
        <w:rPr>
          <w:rFonts w:hint="eastAsia" w:ascii="Times New Roman" w:hAnsi="Times New Roman"/>
          <w:bCs/>
          <w:color w:val="auto"/>
          <w:szCs w:val="21"/>
          <w:highlight w:val="none"/>
          <w:lang w:eastAsia="zh-CN"/>
        </w:rPr>
        <w:t>5</w:t>
      </w:r>
      <w:r>
        <w:rPr>
          <w:rFonts w:hint="eastAsia" w:ascii="宋体" w:hAnsi="宋体"/>
          <w:bCs/>
          <w:color w:val="auto"/>
          <w:szCs w:val="21"/>
          <w:highlight w:val="none"/>
        </w:rPr>
        <w:t>评标委员会认定采购文件存在歧义、 重大缺陷导致评审工作无法进行。</w:t>
      </w:r>
    </w:p>
    <w:p>
      <w:pPr>
        <w:spacing w:line="360" w:lineRule="auto"/>
        <w:ind w:firstLine="420" w:firstLineChars="200"/>
        <w:jc w:val="left"/>
        <w:rPr>
          <w:rFonts w:ascii="宋体" w:hAnsi="宋体"/>
          <w:bCs/>
          <w:color w:val="auto"/>
          <w:szCs w:val="21"/>
          <w:highlight w:val="none"/>
        </w:rPr>
      </w:pPr>
      <w:r>
        <w:rPr>
          <w:rFonts w:hint="eastAsia" w:ascii="Times New Roman" w:hAnsi="Times New Roman"/>
          <w:bCs/>
          <w:color w:val="auto"/>
          <w:szCs w:val="21"/>
          <w:highlight w:val="none"/>
          <w:lang w:eastAsia="zh-CN"/>
        </w:rPr>
        <w:t>28</w:t>
      </w:r>
      <w:r>
        <w:rPr>
          <w:rFonts w:hint="eastAsia" w:ascii="宋体" w:hAnsi="宋体"/>
          <w:bCs/>
          <w:color w:val="auto"/>
          <w:szCs w:val="21"/>
          <w:highlight w:val="none"/>
        </w:rPr>
        <w:t>.</w:t>
      </w:r>
      <w:r>
        <w:rPr>
          <w:rFonts w:hint="eastAsia" w:ascii="Times New Roman" w:hAnsi="Times New Roman"/>
          <w:bCs/>
          <w:color w:val="auto"/>
          <w:szCs w:val="21"/>
          <w:highlight w:val="none"/>
          <w:lang w:eastAsia="zh-CN"/>
        </w:rPr>
        <w:t>3</w:t>
      </w:r>
      <w:r>
        <w:rPr>
          <w:rFonts w:hint="eastAsia" w:ascii="宋体" w:hAnsi="宋体"/>
          <w:bCs/>
          <w:color w:val="auto"/>
          <w:szCs w:val="21"/>
          <w:highlight w:val="none"/>
        </w:rPr>
        <w:t xml:space="preserve">投标截止时间结束后参加投标的投标人不足三家或者通过资格审查或符合性审查的投标人不足三家的，除采购任务取消情形外，按照以下方式处理： </w:t>
      </w:r>
    </w:p>
    <w:p>
      <w:pPr>
        <w:spacing w:line="360" w:lineRule="auto"/>
        <w:ind w:firstLine="420" w:firstLineChars="200"/>
        <w:jc w:val="left"/>
        <w:rPr>
          <w:rFonts w:ascii="宋体" w:hAnsi="宋体"/>
          <w:bCs/>
          <w:color w:val="auto"/>
          <w:szCs w:val="21"/>
          <w:highlight w:val="none"/>
        </w:rPr>
      </w:pPr>
      <w:r>
        <w:rPr>
          <w:rFonts w:hint="eastAsia" w:ascii="Times New Roman" w:hAnsi="Times New Roman"/>
          <w:bCs/>
          <w:color w:val="auto"/>
          <w:szCs w:val="21"/>
          <w:highlight w:val="none"/>
          <w:lang w:eastAsia="zh-CN"/>
        </w:rPr>
        <w:t>28</w:t>
      </w:r>
      <w:r>
        <w:rPr>
          <w:rFonts w:hint="eastAsia" w:ascii="宋体" w:hAnsi="宋体"/>
          <w:bCs/>
          <w:color w:val="auto"/>
          <w:szCs w:val="21"/>
          <w:highlight w:val="none"/>
        </w:rPr>
        <w:t>.</w:t>
      </w:r>
      <w:r>
        <w:rPr>
          <w:rFonts w:hint="eastAsia" w:ascii="Times New Roman" w:hAnsi="Times New Roman"/>
          <w:bCs/>
          <w:color w:val="auto"/>
          <w:szCs w:val="21"/>
          <w:highlight w:val="none"/>
          <w:lang w:eastAsia="zh-CN"/>
        </w:rPr>
        <w:t>3</w:t>
      </w:r>
      <w:r>
        <w:rPr>
          <w:rFonts w:hint="eastAsia" w:ascii="宋体" w:hAnsi="宋体"/>
          <w:bCs/>
          <w:color w:val="auto"/>
          <w:szCs w:val="21"/>
          <w:highlight w:val="none"/>
        </w:rPr>
        <w:t>.</w:t>
      </w:r>
      <w:r>
        <w:rPr>
          <w:rFonts w:hint="eastAsia" w:ascii="Times New Roman" w:hAnsi="Times New Roman"/>
          <w:bCs/>
          <w:color w:val="auto"/>
          <w:szCs w:val="21"/>
          <w:highlight w:val="none"/>
          <w:lang w:eastAsia="zh-CN"/>
        </w:rPr>
        <w:t>1</w:t>
      </w:r>
      <w:r>
        <w:rPr>
          <w:rFonts w:hint="eastAsia" w:ascii="宋体" w:hAnsi="宋体"/>
          <w:bCs/>
          <w:color w:val="auto"/>
          <w:szCs w:val="21"/>
          <w:highlight w:val="none"/>
        </w:rPr>
        <w:t>采购文件存在不合理条款或者采购程序不符合规定的，由采购人、代理机构改正后依法重新采购；</w:t>
      </w:r>
    </w:p>
    <w:p>
      <w:pPr>
        <w:spacing w:line="360" w:lineRule="auto"/>
        <w:ind w:firstLine="420" w:firstLineChars="200"/>
        <w:jc w:val="left"/>
        <w:rPr>
          <w:rFonts w:ascii="宋体" w:hAnsi="宋体"/>
          <w:bCs/>
          <w:color w:val="auto"/>
          <w:szCs w:val="21"/>
          <w:highlight w:val="none"/>
        </w:rPr>
      </w:pPr>
      <w:r>
        <w:rPr>
          <w:rFonts w:hint="eastAsia" w:ascii="Times New Roman" w:hAnsi="Times New Roman"/>
          <w:bCs/>
          <w:color w:val="auto"/>
          <w:szCs w:val="21"/>
          <w:highlight w:val="none"/>
          <w:lang w:eastAsia="zh-CN"/>
        </w:rPr>
        <w:t>28</w:t>
      </w:r>
      <w:r>
        <w:rPr>
          <w:rFonts w:hint="eastAsia" w:ascii="宋体" w:hAnsi="宋体"/>
          <w:bCs/>
          <w:color w:val="auto"/>
          <w:szCs w:val="21"/>
          <w:highlight w:val="none"/>
        </w:rPr>
        <w:t>.</w:t>
      </w:r>
      <w:r>
        <w:rPr>
          <w:rFonts w:hint="eastAsia" w:ascii="Times New Roman" w:hAnsi="Times New Roman"/>
          <w:bCs/>
          <w:color w:val="auto"/>
          <w:szCs w:val="21"/>
          <w:highlight w:val="none"/>
          <w:lang w:eastAsia="zh-CN"/>
        </w:rPr>
        <w:t>3</w:t>
      </w:r>
      <w:r>
        <w:rPr>
          <w:rFonts w:hint="eastAsia" w:ascii="宋体" w:hAnsi="宋体"/>
          <w:bCs/>
          <w:color w:val="auto"/>
          <w:szCs w:val="21"/>
          <w:highlight w:val="none"/>
        </w:rPr>
        <w:t>.</w:t>
      </w:r>
      <w:r>
        <w:rPr>
          <w:rFonts w:hint="eastAsia" w:ascii="Times New Roman" w:hAnsi="Times New Roman"/>
          <w:bCs/>
          <w:color w:val="auto"/>
          <w:szCs w:val="21"/>
          <w:highlight w:val="none"/>
          <w:lang w:eastAsia="zh-CN"/>
        </w:rPr>
        <w:t>2</w:t>
      </w:r>
      <w:r>
        <w:rPr>
          <w:rFonts w:hint="eastAsia" w:ascii="宋体" w:hAnsi="宋体"/>
          <w:bCs/>
          <w:color w:val="auto"/>
          <w:szCs w:val="21"/>
          <w:highlight w:val="none"/>
        </w:rPr>
        <w:t xml:space="preserve"> 采购文件没有不合理条款、采购程序符合规定，需要采用其他采购方式采购的，采购人应当依法报财政部门批准。</w:t>
      </w:r>
    </w:p>
    <w:bookmarkEnd w:id="119"/>
    <w:bookmarkEnd w:id="120"/>
    <w:bookmarkEnd w:id="121"/>
    <w:p>
      <w:pPr>
        <w:pStyle w:val="8"/>
        <w:tabs>
          <w:tab w:val="left" w:pos="0"/>
        </w:tabs>
        <w:spacing w:line="360" w:lineRule="auto"/>
        <w:rPr>
          <w:rFonts w:cs="宋体"/>
          <w:color w:val="auto"/>
          <w:sz w:val="21"/>
          <w:szCs w:val="21"/>
          <w:highlight w:val="none"/>
        </w:rPr>
      </w:pPr>
      <w:bookmarkStart w:id="122" w:name="_Toc513029238"/>
      <w:bookmarkStart w:id="123" w:name="_Toc16938554"/>
      <w:bookmarkStart w:id="124" w:name="_Toc20823310"/>
      <w:r>
        <w:rPr>
          <w:rFonts w:hint="eastAsia" w:ascii="Times New Roman" w:hAnsi="Times New Roman" w:cs="宋体"/>
          <w:color w:val="auto"/>
          <w:sz w:val="21"/>
          <w:szCs w:val="21"/>
          <w:highlight w:val="none"/>
          <w:lang w:eastAsia="zh-CN"/>
        </w:rPr>
        <w:t>29</w:t>
      </w:r>
      <w:r>
        <w:rPr>
          <w:rFonts w:hint="eastAsia" w:cs="宋体"/>
          <w:color w:val="auto"/>
          <w:sz w:val="21"/>
          <w:szCs w:val="21"/>
          <w:highlight w:val="none"/>
        </w:rPr>
        <w:t>、</w:t>
      </w:r>
      <w:bookmarkEnd w:id="122"/>
      <w:r>
        <w:rPr>
          <w:rFonts w:hint="eastAsia" w:cs="宋体"/>
          <w:color w:val="auto"/>
          <w:sz w:val="21"/>
          <w:szCs w:val="21"/>
          <w:highlight w:val="none"/>
        </w:rPr>
        <w:t>确定</w:t>
      </w:r>
      <w:bookmarkEnd w:id="123"/>
      <w:bookmarkEnd w:id="124"/>
      <w:r>
        <w:rPr>
          <w:rFonts w:hint="eastAsia" w:cs="宋体"/>
          <w:color w:val="auto"/>
          <w:sz w:val="21"/>
          <w:szCs w:val="21"/>
          <w:highlight w:val="none"/>
        </w:rPr>
        <w:t>中标单位</w:t>
      </w:r>
    </w:p>
    <w:p>
      <w:pPr>
        <w:spacing w:line="360" w:lineRule="auto"/>
        <w:ind w:firstLine="420" w:firstLineChars="200"/>
        <w:rPr>
          <w:rFonts w:ascii="宋体" w:hAnsi="宋体"/>
          <w:bCs/>
          <w:color w:val="auto"/>
          <w:szCs w:val="21"/>
          <w:highlight w:val="none"/>
        </w:rPr>
      </w:pPr>
      <w:r>
        <w:rPr>
          <w:rFonts w:hint="eastAsia" w:ascii="Times New Roman" w:hAnsi="Times New Roman"/>
          <w:bCs/>
          <w:color w:val="auto"/>
          <w:szCs w:val="21"/>
          <w:highlight w:val="none"/>
          <w:lang w:eastAsia="zh-CN"/>
        </w:rPr>
        <w:t>29</w:t>
      </w:r>
      <w:r>
        <w:rPr>
          <w:rFonts w:hint="eastAsia" w:ascii="宋体" w:hAnsi="宋体"/>
          <w:bCs/>
          <w:color w:val="auto"/>
          <w:szCs w:val="21"/>
          <w:highlight w:val="none"/>
        </w:rPr>
        <w:t>.</w:t>
      </w:r>
      <w:r>
        <w:rPr>
          <w:rFonts w:hint="eastAsia" w:ascii="Times New Roman" w:hAnsi="Times New Roman"/>
          <w:bCs/>
          <w:color w:val="auto"/>
          <w:szCs w:val="21"/>
          <w:highlight w:val="none"/>
          <w:lang w:eastAsia="zh-CN"/>
        </w:rPr>
        <w:t>1</w:t>
      </w:r>
      <w:r>
        <w:rPr>
          <w:rFonts w:hint="eastAsia" w:ascii="宋体" w:hAnsi="宋体"/>
          <w:bCs/>
          <w:color w:val="auto"/>
          <w:szCs w:val="21"/>
          <w:highlight w:val="none"/>
        </w:rPr>
        <w:t>评委会根据本采购文件规定评标方法与评标标准向采购人推荐出中标候选人。</w:t>
      </w:r>
    </w:p>
    <w:p>
      <w:pPr>
        <w:spacing w:line="360" w:lineRule="auto"/>
        <w:ind w:firstLine="420" w:firstLineChars="200"/>
        <w:rPr>
          <w:rFonts w:ascii="宋体" w:hAnsi="宋体"/>
          <w:bCs/>
          <w:color w:val="auto"/>
          <w:szCs w:val="21"/>
          <w:highlight w:val="none"/>
        </w:rPr>
      </w:pPr>
      <w:r>
        <w:rPr>
          <w:rFonts w:hint="eastAsia" w:ascii="Times New Roman" w:hAnsi="Times New Roman"/>
          <w:bCs/>
          <w:color w:val="auto"/>
          <w:szCs w:val="21"/>
          <w:highlight w:val="none"/>
          <w:lang w:eastAsia="zh-CN"/>
        </w:rPr>
        <w:t>29</w:t>
      </w:r>
      <w:r>
        <w:rPr>
          <w:rFonts w:hint="eastAsia" w:ascii="宋体" w:hAnsi="宋体"/>
          <w:bCs/>
          <w:color w:val="auto"/>
          <w:szCs w:val="21"/>
          <w:highlight w:val="none"/>
        </w:rPr>
        <w:t>.</w:t>
      </w:r>
      <w:r>
        <w:rPr>
          <w:rFonts w:hint="eastAsia" w:ascii="Times New Roman" w:hAnsi="Times New Roman"/>
          <w:bCs/>
          <w:color w:val="auto"/>
          <w:szCs w:val="21"/>
          <w:highlight w:val="none"/>
          <w:lang w:eastAsia="zh-CN"/>
        </w:rPr>
        <w:t>2</w:t>
      </w:r>
      <w:r>
        <w:rPr>
          <w:rFonts w:hint="eastAsia" w:ascii="宋体" w:hAnsi="宋体"/>
          <w:bCs/>
          <w:color w:val="auto"/>
          <w:szCs w:val="21"/>
          <w:highlight w:val="none"/>
        </w:rPr>
        <w:t xml:space="preserve"> 采购人应根据评委会推荐的中标候选人确定中标人。</w:t>
      </w:r>
    </w:p>
    <w:p>
      <w:pPr>
        <w:spacing w:line="360" w:lineRule="auto"/>
        <w:ind w:firstLine="420" w:firstLineChars="200"/>
        <w:rPr>
          <w:rFonts w:ascii="宋体" w:hAnsi="宋体"/>
          <w:color w:val="auto"/>
          <w:szCs w:val="21"/>
          <w:highlight w:val="none"/>
        </w:rPr>
      </w:pPr>
      <w:r>
        <w:rPr>
          <w:rFonts w:hint="eastAsia" w:ascii="Times New Roman" w:hAnsi="Times New Roman"/>
          <w:bCs/>
          <w:color w:val="auto"/>
          <w:szCs w:val="21"/>
          <w:highlight w:val="none"/>
          <w:lang w:eastAsia="zh-CN"/>
        </w:rPr>
        <w:t>29</w:t>
      </w:r>
      <w:r>
        <w:rPr>
          <w:rFonts w:hint="eastAsia" w:ascii="宋体" w:hAnsi="宋体"/>
          <w:bCs/>
          <w:color w:val="auto"/>
          <w:szCs w:val="21"/>
          <w:highlight w:val="none"/>
        </w:rPr>
        <w:t>.</w:t>
      </w:r>
      <w:r>
        <w:rPr>
          <w:rFonts w:hint="eastAsia" w:ascii="Times New Roman" w:hAnsi="Times New Roman"/>
          <w:bCs/>
          <w:color w:val="auto"/>
          <w:szCs w:val="21"/>
          <w:highlight w:val="none"/>
          <w:lang w:eastAsia="zh-CN"/>
        </w:rPr>
        <w:t>3</w:t>
      </w:r>
      <w:r>
        <w:rPr>
          <w:rFonts w:hint="eastAsia" w:ascii="宋体" w:hAnsi="宋体"/>
          <w:color w:val="auto"/>
          <w:szCs w:val="21"/>
          <w:highlight w:val="none"/>
        </w:rPr>
        <w:t>代理机构将在“</w:t>
      </w:r>
      <w:r>
        <w:rPr>
          <w:rFonts w:hint="eastAsia" w:ascii="宋体" w:hAnsi="宋体"/>
          <w:color w:val="auto"/>
          <w:szCs w:val="21"/>
          <w:highlight w:val="none"/>
          <w:lang w:val="en-US" w:eastAsia="zh-CN"/>
        </w:rPr>
        <w:t>中国政府采购网</w:t>
      </w:r>
      <w:r>
        <w:rPr>
          <w:rFonts w:hint="eastAsia" w:ascii="宋体" w:hAnsi="宋体"/>
          <w:color w:val="auto"/>
          <w:szCs w:val="21"/>
          <w:highlight w:val="none"/>
        </w:rPr>
        <w:t>”</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扬州市邗江城市建设发展有限公司</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扬州维扬发展投资有限公司</w:t>
      </w:r>
      <w:r>
        <w:rPr>
          <w:rFonts w:hint="eastAsia" w:ascii="宋体" w:hAnsi="宋体"/>
          <w:color w:val="auto"/>
          <w:szCs w:val="21"/>
          <w:highlight w:val="none"/>
          <w:lang w:eastAsia="zh-CN"/>
        </w:rPr>
        <w:t>”</w:t>
      </w:r>
      <w:r>
        <w:rPr>
          <w:rFonts w:hint="eastAsia" w:ascii="宋体" w:hAnsi="宋体"/>
          <w:color w:val="auto"/>
          <w:szCs w:val="21"/>
          <w:highlight w:val="none"/>
        </w:rPr>
        <w:t>发布中标公告，公告期限为</w:t>
      </w:r>
      <w:r>
        <w:rPr>
          <w:rFonts w:hint="eastAsia" w:ascii="Times New Roman" w:hAnsi="Times New Roman"/>
          <w:color w:val="auto"/>
          <w:szCs w:val="21"/>
          <w:highlight w:val="none"/>
          <w:lang w:eastAsia="zh-CN"/>
        </w:rPr>
        <w:t>1</w:t>
      </w:r>
      <w:r>
        <w:rPr>
          <w:rFonts w:hint="eastAsia" w:ascii="宋体" w:hAnsi="宋体"/>
          <w:color w:val="auto"/>
          <w:szCs w:val="21"/>
          <w:highlight w:val="none"/>
        </w:rPr>
        <w:t>个工作日。</w:t>
      </w:r>
    </w:p>
    <w:p>
      <w:pPr>
        <w:spacing w:line="360" w:lineRule="auto"/>
        <w:ind w:firstLine="420" w:firstLineChars="200"/>
        <w:rPr>
          <w:rFonts w:ascii="宋体" w:hAnsi="宋体"/>
          <w:color w:val="auto"/>
          <w:szCs w:val="21"/>
          <w:highlight w:val="none"/>
        </w:rPr>
      </w:pPr>
      <w:r>
        <w:rPr>
          <w:rFonts w:hint="eastAsia" w:ascii="Times New Roman" w:hAnsi="Times New Roman"/>
          <w:color w:val="auto"/>
          <w:szCs w:val="21"/>
          <w:highlight w:val="none"/>
          <w:lang w:eastAsia="zh-CN"/>
        </w:rPr>
        <w:t>29</w:t>
      </w:r>
      <w:r>
        <w:rPr>
          <w:rFonts w:hint="eastAsia" w:ascii="宋体" w:hAnsi="宋体"/>
          <w:color w:val="auto"/>
          <w:szCs w:val="21"/>
          <w:highlight w:val="none"/>
        </w:rPr>
        <w:t>.</w:t>
      </w:r>
      <w:r>
        <w:rPr>
          <w:rFonts w:hint="eastAsia" w:ascii="Times New Roman" w:hAnsi="Times New Roman"/>
          <w:color w:val="auto"/>
          <w:szCs w:val="21"/>
          <w:highlight w:val="none"/>
          <w:lang w:eastAsia="zh-CN"/>
        </w:rPr>
        <w:t>4</w:t>
      </w:r>
      <w:r>
        <w:rPr>
          <w:rFonts w:hint="eastAsia" w:ascii="宋体" w:hAnsi="宋体"/>
          <w:color w:val="auto"/>
          <w:szCs w:val="21"/>
          <w:highlight w:val="none"/>
        </w:rPr>
        <w:t>若有充分证据证明，中标人出现下列情况之一的，一经查实，将被取消中标资格：</w:t>
      </w:r>
    </w:p>
    <w:p>
      <w:pPr>
        <w:spacing w:line="360" w:lineRule="auto"/>
        <w:ind w:firstLine="420" w:firstLineChars="200"/>
        <w:rPr>
          <w:rFonts w:ascii="宋体" w:hAnsi="宋体"/>
          <w:color w:val="auto"/>
          <w:szCs w:val="21"/>
          <w:highlight w:val="none"/>
        </w:rPr>
      </w:pPr>
      <w:r>
        <w:rPr>
          <w:rFonts w:hint="eastAsia" w:ascii="Times New Roman" w:hAnsi="Times New Roman"/>
          <w:color w:val="auto"/>
          <w:szCs w:val="21"/>
          <w:highlight w:val="none"/>
          <w:lang w:eastAsia="zh-CN"/>
        </w:rPr>
        <w:t>29</w:t>
      </w:r>
      <w:r>
        <w:rPr>
          <w:rFonts w:hint="eastAsia" w:ascii="宋体" w:hAnsi="宋体"/>
          <w:color w:val="auto"/>
          <w:szCs w:val="21"/>
          <w:highlight w:val="none"/>
        </w:rPr>
        <w:t>.</w:t>
      </w:r>
      <w:r>
        <w:rPr>
          <w:rFonts w:hint="eastAsia" w:ascii="Times New Roman" w:hAnsi="Times New Roman"/>
          <w:color w:val="auto"/>
          <w:szCs w:val="21"/>
          <w:highlight w:val="none"/>
          <w:lang w:eastAsia="zh-CN"/>
        </w:rPr>
        <w:t>4</w:t>
      </w:r>
      <w:r>
        <w:rPr>
          <w:rFonts w:hint="eastAsia" w:ascii="宋体" w:hAnsi="宋体"/>
          <w:color w:val="auto"/>
          <w:szCs w:val="21"/>
          <w:highlight w:val="none"/>
        </w:rPr>
        <w:t>.</w:t>
      </w:r>
      <w:r>
        <w:rPr>
          <w:rFonts w:hint="eastAsia" w:ascii="Times New Roman" w:hAnsi="Times New Roman"/>
          <w:color w:val="auto"/>
          <w:szCs w:val="21"/>
          <w:highlight w:val="none"/>
          <w:lang w:eastAsia="zh-CN"/>
        </w:rPr>
        <w:t>1</w:t>
      </w:r>
      <w:r>
        <w:rPr>
          <w:rFonts w:hint="eastAsia" w:ascii="宋体" w:hAnsi="宋体"/>
          <w:color w:val="auto"/>
          <w:szCs w:val="21"/>
          <w:highlight w:val="none"/>
        </w:rPr>
        <w:t>提供虚假材料谋取中标的；</w:t>
      </w:r>
    </w:p>
    <w:p>
      <w:pPr>
        <w:spacing w:line="360" w:lineRule="auto"/>
        <w:ind w:firstLine="420" w:firstLineChars="200"/>
        <w:rPr>
          <w:rFonts w:ascii="宋体" w:hAnsi="宋体"/>
          <w:color w:val="auto"/>
          <w:szCs w:val="21"/>
          <w:highlight w:val="none"/>
        </w:rPr>
      </w:pPr>
      <w:r>
        <w:rPr>
          <w:rFonts w:hint="eastAsia" w:ascii="Times New Roman" w:hAnsi="Times New Roman"/>
          <w:color w:val="auto"/>
          <w:szCs w:val="21"/>
          <w:highlight w:val="none"/>
          <w:lang w:eastAsia="zh-CN"/>
        </w:rPr>
        <w:t>29</w:t>
      </w:r>
      <w:r>
        <w:rPr>
          <w:rFonts w:hint="eastAsia" w:ascii="宋体" w:hAnsi="宋体"/>
          <w:color w:val="auto"/>
          <w:szCs w:val="21"/>
          <w:highlight w:val="none"/>
        </w:rPr>
        <w:t>.</w:t>
      </w:r>
      <w:r>
        <w:rPr>
          <w:rFonts w:hint="eastAsia" w:ascii="Times New Roman" w:hAnsi="Times New Roman"/>
          <w:color w:val="auto"/>
          <w:szCs w:val="21"/>
          <w:highlight w:val="none"/>
          <w:lang w:eastAsia="zh-CN"/>
        </w:rPr>
        <w:t>4</w:t>
      </w:r>
      <w:r>
        <w:rPr>
          <w:rFonts w:hint="eastAsia" w:ascii="宋体" w:hAnsi="宋体"/>
          <w:color w:val="auto"/>
          <w:szCs w:val="21"/>
          <w:highlight w:val="none"/>
        </w:rPr>
        <w:t>.</w:t>
      </w:r>
      <w:r>
        <w:rPr>
          <w:rFonts w:hint="eastAsia" w:ascii="Times New Roman" w:hAnsi="Times New Roman"/>
          <w:color w:val="auto"/>
          <w:szCs w:val="21"/>
          <w:highlight w:val="none"/>
          <w:lang w:eastAsia="zh-CN"/>
        </w:rPr>
        <w:t>2</w:t>
      </w:r>
      <w:r>
        <w:rPr>
          <w:rFonts w:hint="eastAsia" w:ascii="宋体" w:hAnsi="宋体"/>
          <w:color w:val="auto"/>
          <w:szCs w:val="21"/>
          <w:highlight w:val="none"/>
        </w:rPr>
        <w:t>向采购人、代理机构行贿或者提供其他不正当利益的；</w:t>
      </w:r>
    </w:p>
    <w:p>
      <w:pPr>
        <w:spacing w:line="360" w:lineRule="auto"/>
        <w:ind w:firstLine="420" w:firstLineChars="200"/>
        <w:rPr>
          <w:rFonts w:ascii="宋体" w:hAnsi="宋体"/>
          <w:color w:val="auto"/>
          <w:szCs w:val="21"/>
          <w:highlight w:val="none"/>
        </w:rPr>
      </w:pPr>
      <w:r>
        <w:rPr>
          <w:rFonts w:hint="eastAsia" w:ascii="Times New Roman" w:hAnsi="Times New Roman"/>
          <w:color w:val="auto"/>
          <w:szCs w:val="21"/>
          <w:highlight w:val="none"/>
          <w:lang w:eastAsia="zh-CN"/>
        </w:rPr>
        <w:t>29</w:t>
      </w:r>
      <w:r>
        <w:rPr>
          <w:rFonts w:hint="eastAsia" w:ascii="宋体" w:hAnsi="宋体"/>
          <w:color w:val="auto"/>
          <w:szCs w:val="21"/>
          <w:highlight w:val="none"/>
        </w:rPr>
        <w:t>.</w:t>
      </w:r>
      <w:r>
        <w:rPr>
          <w:rFonts w:hint="eastAsia" w:ascii="Times New Roman" w:hAnsi="Times New Roman"/>
          <w:color w:val="auto"/>
          <w:szCs w:val="21"/>
          <w:highlight w:val="none"/>
          <w:lang w:eastAsia="zh-CN"/>
        </w:rPr>
        <w:t>4</w:t>
      </w:r>
      <w:r>
        <w:rPr>
          <w:rFonts w:hint="eastAsia" w:ascii="宋体" w:hAnsi="宋体"/>
          <w:color w:val="auto"/>
          <w:szCs w:val="21"/>
          <w:highlight w:val="none"/>
        </w:rPr>
        <w:t>.</w:t>
      </w:r>
      <w:r>
        <w:rPr>
          <w:rFonts w:hint="eastAsia" w:ascii="Times New Roman" w:hAnsi="Times New Roman"/>
          <w:color w:val="auto"/>
          <w:szCs w:val="21"/>
          <w:highlight w:val="none"/>
          <w:lang w:eastAsia="zh-CN"/>
        </w:rPr>
        <w:t>3</w:t>
      </w:r>
      <w:r>
        <w:rPr>
          <w:rFonts w:hint="eastAsia" w:ascii="宋体" w:hAnsi="宋体"/>
          <w:color w:val="auto"/>
          <w:szCs w:val="21"/>
          <w:highlight w:val="none"/>
        </w:rPr>
        <w:t>恶意竞争，投标总报价明显低于其自身合理成本且又无法提供证明的；</w:t>
      </w:r>
    </w:p>
    <w:p>
      <w:pPr>
        <w:spacing w:line="360" w:lineRule="auto"/>
        <w:ind w:firstLine="420" w:firstLineChars="200"/>
        <w:rPr>
          <w:rFonts w:ascii="宋体" w:hAnsi="宋体"/>
          <w:color w:val="auto"/>
          <w:szCs w:val="21"/>
          <w:highlight w:val="none"/>
        </w:rPr>
      </w:pPr>
      <w:r>
        <w:rPr>
          <w:rFonts w:hint="eastAsia" w:ascii="Times New Roman" w:hAnsi="Times New Roman"/>
          <w:color w:val="auto"/>
          <w:szCs w:val="21"/>
          <w:highlight w:val="none"/>
          <w:lang w:eastAsia="zh-CN"/>
        </w:rPr>
        <w:t>29</w:t>
      </w:r>
      <w:r>
        <w:rPr>
          <w:rFonts w:hint="eastAsia" w:ascii="宋体" w:hAnsi="宋体"/>
          <w:color w:val="auto"/>
          <w:szCs w:val="21"/>
          <w:highlight w:val="none"/>
        </w:rPr>
        <w:t>.</w:t>
      </w:r>
      <w:r>
        <w:rPr>
          <w:rFonts w:hint="eastAsia" w:ascii="Times New Roman" w:hAnsi="Times New Roman"/>
          <w:color w:val="auto"/>
          <w:szCs w:val="21"/>
          <w:highlight w:val="none"/>
          <w:lang w:eastAsia="zh-CN"/>
        </w:rPr>
        <w:t>4</w:t>
      </w:r>
      <w:r>
        <w:rPr>
          <w:rFonts w:hint="eastAsia" w:ascii="宋体" w:hAnsi="宋体"/>
          <w:color w:val="auto"/>
          <w:szCs w:val="21"/>
          <w:highlight w:val="none"/>
        </w:rPr>
        <w:t>.</w:t>
      </w:r>
      <w:r>
        <w:rPr>
          <w:rFonts w:hint="eastAsia" w:ascii="Times New Roman" w:hAnsi="Times New Roman"/>
          <w:color w:val="auto"/>
          <w:szCs w:val="21"/>
          <w:highlight w:val="none"/>
          <w:lang w:eastAsia="zh-CN"/>
        </w:rPr>
        <w:t>4</w:t>
      </w:r>
      <w:r>
        <w:rPr>
          <w:rFonts w:hint="eastAsia" w:ascii="宋体" w:hAnsi="宋体"/>
          <w:color w:val="auto"/>
          <w:szCs w:val="21"/>
          <w:highlight w:val="none"/>
        </w:rPr>
        <w:t>属于本文件规定的无效条件，但在评标过程中又未被评委会发现的；</w:t>
      </w:r>
    </w:p>
    <w:p>
      <w:pPr>
        <w:spacing w:line="360" w:lineRule="auto"/>
        <w:ind w:firstLine="420" w:firstLineChars="200"/>
        <w:rPr>
          <w:rFonts w:ascii="宋体" w:hAnsi="宋体"/>
          <w:color w:val="auto"/>
          <w:szCs w:val="21"/>
          <w:highlight w:val="none"/>
        </w:rPr>
      </w:pPr>
      <w:r>
        <w:rPr>
          <w:rFonts w:hint="eastAsia" w:ascii="Times New Roman" w:hAnsi="Times New Roman"/>
          <w:color w:val="auto"/>
          <w:szCs w:val="21"/>
          <w:highlight w:val="none"/>
          <w:lang w:eastAsia="zh-CN"/>
        </w:rPr>
        <w:t>29</w:t>
      </w:r>
      <w:r>
        <w:rPr>
          <w:rFonts w:hint="eastAsia" w:ascii="宋体" w:hAnsi="宋体"/>
          <w:color w:val="auto"/>
          <w:szCs w:val="21"/>
          <w:highlight w:val="none"/>
        </w:rPr>
        <w:t>.</w:t>
      </w:r>
      <w:r>
        <w:rPr>
          <w:rFonts w:hint="eastAsia" w:ascii="Times New Roman" w:hAnsi="Times New Roman"/>
          <w:color w:val="auto"/>
          <w:szCs w:val="21"/>
          <w:highlight w:val="none"/>
          <w:lang w:eastAsia="zh-CN"/>
        </w:rPr>
        <w:t>4</w:t>
      </w:r>
      <w:r>
        <w:rPr>
          <w:rFonts w:hint="eastAsia" w:ascii="宋体" w:hAnsi="宋体"/>
          <w:color w:val="auto"/>
          <w:szCs w:val="21"/>
          <w:highlight w:val="none"/>
        </w:rPr>
        <w:t>.</w:t>
      </w:r>
      <w:r>
        <w:rPr>
          <w:rFonts w:hint="eastAsia" w:ascii="Times New Roman" w:hAnsi="Times New Roman"/>
          <w:color w:val="auto"/>
          <w:szCs w:val="21"/>
          <w:highlight w:val="none"/>
          <w:lang w:eastAsia="zh-CN"/>
        </w:rPr>
        <w:t>5</w:t>
      </w:r>
      <w:r>
        <w:rPr>
          <w:rFonts w:hint="eastAsia" w:ascii="宋体" w:hAnsi="宋体"/>
          <w:color w:val="auto"/>
          <w:szCs w:val="21"/>
          <w:highlight w:val="none"/>
        </w:rPr>
        <w:t>与采购人或者其他投标人串通投标的；</w:t>
      </w:r>
    </w:p>
    <w:p>
      <w:pPr>
        <w:spacing w:line="360" w:lineRule="auto"/>
        <w:ind w:firstLine="420" w:firstLineChars="200"/>
        <w:rPr>
          <w:rFonts w:ascii="宋体" w:hAnsi="宋体"/>
          <w:color w:val="auto"/>
          <w:szCs w:val="21"/>
          <w:highlight w:val="none"/>
        </w:rPr>
      </w:pPr>
      <w:r>
        <w:rPr>
          <w:rFonts w:hint="eastAsia" w:ascii="Times New Roman" w:hAnsi="Times New Roman"/>
          <w:color w:val="auto"/>
          <w:szCs w:val="21"/>
          <w:highlight w:val="none"/>
          <w:lang w:eastAsia="zh-CN"/>
        </w:rPr>
        <w:t>29</w:t>
      </w:r>
      <w:r>
        <w:rPr>
          <w:rFonts w:hint="eastAsia" w:ascii="宋体" w:hAnsi="宋体"/>
          <w:color w:val="auto"/>
          <w:szCs w:val="21"/>
          <w:highlight w:val="none"/>
        </w:rPr>
        <w:t>.</w:t>
      </w:r>
      <w:r>
        <w:rPr>
          <w:rFonts w:hint="eastAsia" w:ascii="Times New Roman" w:hAnsi="Times New Roman"/>
          <w:color w:val="auto"/>
          <w:szCs w:val="21"/>
          <w:highlight w:val="none"/>
          <w:lang w:eastAsia="zh-CN"/>
        </w:rPr>
        <w:t>4</w:t>
      </w:r>
      <w:r>
        <w:rPr>
          <w:rFonts w:hint="eastAsia" w:ascii="宋体" w:hAnsi="宋体"/>
          <w:color w:val="auto"/>
          <w:szCs w:val="21"/>
          <w:highlight w:val="none"/>
        </w:rPr>
        <w:t>.</w:t>
      </w:r>
      <w:r>
        <w:rPr>
          <w:rFonts w:hint="eastAsia" w:ascii="Times New Roman" w:hAnsi="Times New Roman"/>
          <w:color w:val="auto"/>
          <w:szCs w:val="21"/>
          <w:highlight w:val="none"/>
          <w:lang w:eastAsia="zh-CN"/>
        </w:rPr>
        <w:t>6</w:t>
      </w:r>
      <w:r>
        <w:rPr>
          <w:rFonts w:hint="eastAsia" w:ascii="宋体" w:hAnsi="宋体"/>
          <w:color w:val="auto"/>
          <w:szCs w:val="21"/>
          <w:highlight w:val="none"/>
        </w:rPr>
        <w:t>采取不正当手段诋毁、排挤其他投标人的；</w:t>
      </w:r>
    </w:p>
    <w:p>
      <w:pPr>
        <w:spacing w:line="360" w:lineRule="auto"/>
        <w:ind w:firstLine="420" w:firstLineChars="200"/>
        <w:rPr>
          <w:rFonts w:ascii="宋体" w:hAnsi="宋体"/>
          <w:color w:val="auto"/>
          <w:szCs w:val="21"/>
          <w:highlight w:val="none"/>
        </w:rPr>
      </w:pPr>
      <w:r>
        <w:rPr>
          <w:rFonts w:hint="eastAsia" w:ascii="Times New Roman" w:hAnsi="Times New Roman"/>
          <w:color w:val="auto"/>
          <w:szCs w:val="21"/>
          <w:highlight w:val="none"/>
          <w:lang w:eastAsia="zh-CN"/>
        </w:rPr>
        <w:t>29</w:t>
      </w:r>
      <w:r>
        <w:rPr>
          <w:rFonts w:hint="eastAsia" w:ascii="宋体" w:hAnsi="宋体"/>
          <w:color w:val="auto"/>
          <w:szCs w:val="21"/>
          <w:highlight w:val="none"/>
        </w:rPr>
        <w:t>.</w:t>
      </w:r>
      <w:r>
        <w:rPr>
          <w:rFonts w:hint="eastAsia" w:ascii="Times New Roman" w:hAnsi="Times New Roman"/>
          <w:color w:val="auto"/>
          <w:szCs w:val="21"/>
          <w:highlight w:val="none"/>
          <w:lang w:eastAsia="zh-CN"/>
        </w:rPr>
        <w:t>4</w:t>
      </w:r>
      <w:r>
        <w:rPr>
          <w:rFonts w:hint="eastAsia" w:ascii="宋体" w:hAnsi="宋体"/>
          <w:color w:val="auto"/>
          <w:szCs w:val="21"/>
          <w:highlight w:val="none"/>
        </w:rPr>
        <w:t>.</w:t>
      </w:r>
      <w:r>
        <w:rPr>
          <w:rFonts w:hint="eastAsia" w:ascii="Times New Roman" w:hAnsi="Times New Roman"/>
          <w:color w:val="auto"/>
          <w:szCs w:val="21"/>
          <w:highlight w:val="none"/>
          <w:lang w:eastAsia="zh-CN"/>
        </w:rPr>
        <w:t>7</w:t>
      </w:r>
      <w:r>
        <w:rPr>
          <w:rFonts w:hint="eastAsia" w:ascii="宋体" w:hAnsi="宋体"/>
          <w:color w:val="auto"/>
          <w:szCs w:val="21"/>
          <w:highlight w:val="none"/>
        </w:rPr>
        <w:t>不符合法律、法规的规定的。</w:t>
      </w:r>
      <w:bookmarkStart w:id="125" w:name="_Toc200451960"/>
    </w:p>
    <w:p>
      <w:pPr>
        <w:spacing w:line="360" w:lineRule="auto"/>
        <w:ind w:firstLine="420" w:firstLineChars="200"/>
        <w:rPr>
          <w:rFonts w:ascii="宋体" w:hAnsi="宋体"/>
          <w:color w:val="auto"/>
          <w:szCs w:val="21"/>
          <w:highlight w:val="none"/>
        </w:rPr>
      </w:pPr>
      <w:r>
        <w:rPr>
          <w:rFonts w:hint="eastAsia" w:ascii="Times New Roman" w:hAnsi="Times New Roman"/>
          <w:color w:val="auto"/>
          <w:szCs w:val="21"/>
          <w:highlight w:val="none"/>
          <w:lang w:eastAsia="zh-CN"/>
        </w:rPr>
        <w:t>29</w:t>
      </w:r>
      <w:r>
        <w:rPr>
          <w:rFonts w:hint="eastAsia" w:ascii="宋体" w:hAnsi="宋体"/>
          <w:color w:val="auto"/>
          <w:szCs w:val="21"/>
          <w:highlight w:val="none"/>
        </w:rPr>
        <w:t>.</w:t>
      </w:r>
      <w:r>
        <w:rPr>
          <w:rFonts w:hint="eastAsia" w:ascii="Times New Roman" w:hAnsi="Times New Roman"/>
          <w:color w:val="auto"/>
          <w:szCs w:val="21"/>
          <w:highlight w:val="none"/>
          <w:lang w:eastAsia="zh-CN"/>
        </w:rPr>
        <w:t>5</w:t>
      </w:r>
      <w:r>
        <w:rPr>
          <w:rFonts w:hint="eastAsia" w:ascii="宋体" w:hAnsi="宋体"/>
          <w:color w:val="auto"/>
          <w:szCs w:val="21"/>
          <w:highlight w:val="none"/>
        </w:rPr>
        <w:t>.有下列情形之一的，视为投标人串通投标，投标无效：</w:t>
      </w:r>
    </w:p>
    <w:p>
      <w:pPr>
        <w:spacing w:line="360" w:lineRule="auto"/>
        <w:ind w:firstLine="420" w:firstLineChars="200"/>
        <w:rPr>
          <w:rFonts w:ascii="宋体" w:hAnsi="宋体"/>
          <w:color w:val="auto"/>
          <w:szCs w:val="21"/>
          <w:highlight w:val="none"/>
        </w:rPr>
      </w:pPr>
      <w:r>
        <w:rPr>
          <w:rFonts w:hint="eastAsia" w:ascii="Times New Roman" w:hAnsi="Times New Roman"/>
          <w:color w:val="auto"/>
          <w:szCs w:val="21"/>
          <w:highlight w:val="none"/>
          <w:lang w:eastAsia="zh-CN"/>
        </w:rPr>
        <w:t>29</w:t>
      </w:r>
      <w:r>
        <w:rPr>
          <w:rFonts w:hint="eastAsia" w:ascii="宋体" w:hAnsi="宋体"/>
          <w:color w:val="auto"/>
          <w:szCs w:val="21"/>
          <w:highlight w:val="none"/>
        </w:rPr>
        <w:t>.</w:t>
      </w:r>
      <w:r>
        <w:rPr>
          <w:rFonts w:hint="eastAsia" w:ascii="Times New Roman" w:hAnsi="Times New Roman"/>
          <w:color w:val="auto"/>
          <w:szCs w:val="21"/>
          <w:highlight w:val="none"/>
          <w:lang w:eastAsia="zh-CN"/>
        </w:rPr>
        <w:t>5</w:t>
      </w:r>
      <w:r>
        <w:rPr>
          <w:rFonts w:hint="eastAsia" w:ascii="宋体" w:hAnsi="宋体"/>
          <w:color w:val="auto"/>
          <w:szCs w:val="21"/>
          <w:highlight w:val="none"/>
        </w:rPr>
        <w:t>.</w:t>
      </w:r>
      <w:r>
        <w:rPr>
          <w:rFonts w:hint="eastAsia" w:ascii="Times New Roman" w:hAnsi="Times New Roman"/>
          <w:color w:val="auto"/>
          <w:szCs w:val="21"/>
          <w:highlight w:val="none"/>
          <w:lang w:eastAsia="zh-CN"/>
        </w:rPr>
        <w:t>1</w:t>
      </w:r>
      <w:r>
        <w:rPr>
          <w:rFonts w:hint="eastAsia" w:ascii="宋体" w:hAnsi="宋体"/>
          <w:color w:val="auto"/>
          <w:szCs w:val="21"/>
          <w:highlight w:val="none"/>
        </w:rPr>
        <w:t>不同投标人的投标文件由同一单位或者个人编制。</w:t>
      </w:r>
    </w:p>
    <w:p>
      <w:pPr>
        <w:spacing w:line="360" w:lineRule="auto"/>
        <w:ind w:firstLine="420" w:firstLineChars="200"/>
        <w:rPr>
          <w:rFonts w:ascii="宋体" w:hAnsi="宋体"/>
          <w:color w:val="auto"/>
          <w:szCs w:val="21"/>
          <w:highlight w:val="none"/>
        </w:rPr>
      </w:pPr>
      <w:r>
        <w:rPr>
          <w:rFonts w:hint="eastAsia" w:ascii="Times New Roman" w:hAnsi="Times New Roman"/>
          <w:color w:val="auto"/>
          <w:szCs w:val="21"/>
          <w:highlight w:val="none"/>
          <w:lang w:eastAsia="zh-CN"/>
        </w:rPr>
        <w:t>29</w:t>
      </w:r>
      <w:r>
        <w:rPr>
          <w:rFonts w:hint="eastAsia" w:ascii="宋体" w:hAnsi="宋体"/>
          <w:color w:val="auto"/>
          <w:szCs w:val="21"/>
          <w:highlight w:val="none"/>
        </w:rPr>
        <w:t>.</w:t>
      </w:r>
      <w:r>
        <w:rPr>
          <w:rFonts w:hint="eastAsia" w:ascii="Times New Roman" w:hAnsi="Times New Roman"/>
          <w:color w:val="auto"/>
          <w:szCs w:val="21"/>
          <w:highlight w:val="none"/>
          <w:lang w:eastAsia="zh-CN"/>
        </w:rPr>
        <w:t>5</w:t>
      </w:r>
      <w:r>
        <w:rPr>
          <w:rFonts w:hint="eastAsia" w:ascii="宋体" w:hAnsi="宋体"/>
          <w:color w:val="auto"/>
          <w:szCs w:val="21"/>
          <w:highlight w:val="none"/>
        </w:rPr>
        <w:t>.</w:t>
      </w:r>
      <w:r>
        <w:rPr>
          <w:rFonts w:hint="eastAsia" w:ascii="Times New Roman" w:hAnsi="Times New Roman"/>
          <w:color w:val="auto"/>
          <w:szCs w:val="21"/>
          <w:highlight w:val="none"/>
          <w:lang w:eastAsia="zh-CN"/>
        </w:rPr>
        <w:t>2</w:t>
      </w:r>
      <w:r>
        <w:rPr>
          <w:rFonts w:hint="eastAsia" w:ascii="宋体" w:hAnsi="宋体"/>
          <w:color w:val="auto"/>
          <w:szCs w:val="21"/>
          <w:highlight w:val="none"/>
        </w:rPr>
        <w:t>不同投标人委托同一单位或者个人办理投标事宜。</w:t>
      </w:r>
    </w:p>
    <w:p>
      <w:pPr>
        <w:spacing w:line="360" w:lineRule="auto"/>
        <w:ind w:firstLine="420" w:firstLineChars="200"/>
        <w:rPr>
          <w:rFonts w:ascii="宋体" w:hAnsi="宋体"/>
          <w:color w:val="auto"/>
          <w:szCs w:val="21"/>
          <w:highlight w:val="none"/>
        </w:rPr>
      </w:pPr>
      <w:r>
        <w:rPr>
          <w:rFonts w:hint="eastAsia" w:ascii="Times New Roman" w:hAnsi="Times New Roman"/>
          <w:color w:val="auto"/>
          <w:szCs w:val="21"/>
          <w:highlight w:val="none"/>
          <w:lang w:eastAsia="zh-CN"/>
        </w:rPr>
        <w:t>29</w:t>
      </w:r>
      <w:r>
        <w:rPr>
          <w:rFonts w:hint="eastAsia" w:ascii="宋体" w:hAnsi="宋体"/>
          <w:color w:val="auto"/>
          <w:szCs w:val="21"/>
          <w:highlight w:val="none"/>
        </w:rPr>
        <w:t>.</w:t>
      </w:r>
      <w:r>
        <w:rPr>
          <w:rFonts w:hint="eastAsia" w:ascii="Times New Roman" w:hAnsi="Times New Roman"/>
          <w:color w:val="auto"/>
          <w:szCs w:val="21"/>
          <w:highlight w:val="none"/>
          <w:lang w:eastAsia="zh-CN"/>
        </w:rPr>
        <w:t>5</w:t>
      </w:r>
      <w:r>
        <w:rPr>
          <w:rFonts w:hint="eastAsia" w:ascii="宋体" w:hAnsi="宋体"/>
          <w:color w:val="auto"/>
          <w:szCs w:val="21"/>
          <w:highlight w:val="none"/>
        </w:rPr>
        <w:t>.</w:t>
      </w:r>
      <w:r>
        <w:rPr>
          <w:rFonts w:hint="eastAsia" w:ascii="Times New Roman" w:hAnsi="Times New Roman"/>
          <w:color w:val="auto"/>
          <w:szCs w:val="21"/>
          <w:highlight w:val="none"/>
          <w:lang w:eastAsia="zh-CN"/>
        </w:rPr>
        <w:t>3</w:t>
      </w:r>
      <w:r>
        <w:rPr>
          <w:rFonts w:hint="eastAsia" w:ascii="宋体" w:hAnsi="宋体"/>
          <w:color w:val="auto"/>
          <w:szCs w:val="21"/>
          <w:highlight w:val="none"/>
        </w:rPr>
        <w:t xml:space="preserve"> 不同投标人的投标文件载明的项目管理成员或者联系人员为同一人。</w:t>
      </w:r>
    </w:p>
    <w:p>
      <w:pPr>
        <w:spacing w:line="360" w:lineRule="auto"/>
        <w:ind w:firstLine="420" w:firstLineChars="200"/>
        <w:rPr>
          <w:rFonts w:ascii="宋体" w:hAnsi="宋体"/>
          <w:color w:val="auto"/>
          <w:szCs w:val="21"/>
          <w:highlight w:val="none"/>
        </w:rPr>
      </w:pPr>
      <w:r>
        <w:rPr>
          <w:rFonts w:hint="eastAsia" w:ascii="Times New Roman" w:hAnsi="Times New Roman"/>
          <w:color w:val="auto"/>
          <w:szCs w:val="21"/>
          <w:highlight w:val="none"/>
          <w:lang w:eastAsia="zh-CN"/>
        </w:rPr>
        <w:t>29</w:t>
      </w:r>
      <w:r>
        <w:rPr>
          <w:rFonts w:hint="eastAsia" w:ascii="宋体" w:hAnsi="宋体"/>
          <w:color w:val="auto"/>
          <w:szCs w:val="21"/>
          <w:highlight w:val="none"/>
        </w:rPr>
        <w:t>.</w:t>
      </w:r>
      <w:r>
        <w:rPr>
          <w:rFonts w:hint="eastAsia" w:ascii="Times New Roman" w:hAnsi="Times New Roman"/>
          <w:color w:val="auto"/>
          <w:szCs w:val="21"/>
          <w:highlight w:val="none"/>
          <w:lang w:eastAsia="zh-CN"/>
        </w:rPr>
        <w:t>5</w:t>
      </w:r>
      <w:r>
        <w:rPr>
          <w:rFonts w:hint="eastAsia" w:ascii="宋体" w:hAnsi="宋体"/>
          <w:color w:val="auto"/>
          <w:szCs w:val="21"/>
          <w:highlight w:val="none"/>
        </w:rPr>
        <w:t>.</w:t>
      </w:r>
      <w:r>
        <w:rPr>
          <w:rFonts w:hint="eastAsia" w:ascii="Times New Roman" w:hAnsi="Times New Roman"/>
          <w:color w:val="auto"/>
          <w:szCs w:val="21"/>
          <w:highlight w:val="none"/>
          <w:lang w:eastAsia="zh-CN"/>
        </w:rPr>
        <w:t>4</w:t>
      </w:r>
      <w:r>
        <w:rPr>
          <w:rFonts w:hint="eastAsia" w:ascii="宋体" w:hAnsi="宋体"/>
          <w:color w:val="auto"/>
          <w:szCs w:val="21"/>
          <w:highlight w:val="none"/>
        </w:rPr>
        <w:t>不同投标人的投标文件异常一致或者投标报价呈规律性差异。</w:t>
      </w:r>
    </w:p>
    <w:p>
      <w:pPr>
        <w:spacing w:line="360" w:lineRule="auto"/>
        <w:ind w:firstLine="420" w:firstLineChars="200"/>
        <w:rPr>
          <w:rFonts w:ascii="宋体" w:hAnsi="宋体"/>
          <w:color w:val="auto"/>
          <w:szCs w:val="21"/>
          <w:highlight w:val="none"/>
        </w:rPr>
      </w:pPr>
      <w:r>
        <w:rPr>
          <w:rFonts w:hint="eastAsia" w:ascii="Times New Roman" w:hAnsi="Times New Roman"/>
          <w:color w:val="auto"/>
          <w:szCs w:val="21"/>
          <w:highlight w:val="none"/>
          <w:lang w:eastAsia="zh-CN"/>
        </w:rPr>
        <w:t>29</w:t>
      </w:r>
      <w:r>
        <w:rPr>
          <w:rFonts w:hint="eastAsia" w:ascii="宋体" w:hAnsi="宋体"/>
          <w:color w:val="auto"/>
          <w:szCs w:val="21"/>
          <w:highlight w:val="none"/>
        </w:rPr>
        <w:t>.</w:t>
      </w:r>
      <w:r>
        <w:rPr>
          <w:rFonts w:hint="eastAsia" w:ascii="Times New Roman" w:hAnsi="Times New Roman"/>
          <w:color w:val="auto"/>
          <w:szCs w:val="21"/>
          <w:highlight w:val="none"/>
          <w:lang w:eastAsia="zh-CN"/>
        </w:rPr>
        <w:t>5</w:t>
      </w:r>
      <w:r>
        <w:rPr>
          <w:rFonts w:hint="eastAsia" w:ascii="宋体" w:hAnsi="宋体"/>
          <w:color w:val="auto"/>
          <w:szCs w:val="21"/>
          <w:highlight w:val="none"/>
        </w:rPr>
        <w:t>.</w:t>
      </w:r>
      <w:r>
        <w:rPr>
          <w:rFonts w:hint="eastAsia" w:ascii="Times New Roman" w:hAnsi="Times New Roman"/>
          <w:color w:val="auto"/>
          <w:szCs w:val="21"/>
          <w:highlight w:val="none"/>
          <w:lang w:eastAsia="zh-CN"/>
        </w:rPr>
        <w:t>5</w:t>
      </w:r>
      <w:r>
        <w:rPr>
          <w:rFonts w:hint="eastAsia" w:ascii="宋体" w:hAnsi="宋体"/>
          <w:color w:val="auto"/>
          <w:szCs w:val="21"/>
          <w:highlight w:val="none"/>
        </w:rPr>
        <w:t>不同投标人的投标文件相互混装。</w:t>
      </w:r>
    </w:p>
    <w:p>
      <w:pPr>
        <w:spacing w:line="360" w:lineRule="auto"/>
        <w:ind w:firstLine="420" w:firstLineChars="200"/>
        <w:rPr>
          <w:rFonts w:ascii="宋体" w:hAnsi="宋体"/>
          <w:color w:val="auto"/>
          <w:szCs w:val="21"/>
          <w:highlight w:val="none"/>
        </w:rPr>
      </w:pPr>
      <w:r>
        <w:rPr>
          <w:rFonts w:hint="eastAsia" w:ascii="Times New Roman" w:hAnsi="Times New Roman"/>
          <w:color w:val="auto"/>
          <w:szCs w:val="21"/>
          <w:highlight w:val="none"/>
          <w:lang w:eastAsia="zh-CN"/>
        </w:rPr>
        <w:t>29</w:t>
      </w:r>
      <w:r>
        <w:rPr>
          <w:rFonts w:hint="eastAsia" w:ascii="宋体" w:hAnsi="宋体"/>
          <w:color w:val="auto"/>
          <w:szCs w:val="21"/>
          <w:highlight w:val="none"/>
        </w:rPr>
        <w:t>.</w:t>
      </w:r>
      <w:r>
        <w:rPr>
          <w:rFonts w:hint="eastAsia" w:ascii="Times New Roman" w:hAnsi="Times New Roman"/>
          <w:color w:val="auto"/>
          <w:szCs w:val="21"/>
          <w:highlight w:val="none"/>
          <w:lang w:eastAsia="zh-CN"/>
        </w:rPr>
        <w:t>5</w:t>
      </w:r>
      <w:r>
        <w:rPr>
          <w:rFonts w:hint="eastAsia" w:ascii="宋体" w:hAnsi="宋体"/>
          <w:color w:val="auto"/>
          <w:szCs w:val="21"/>
          <w:highlight w:val="none"/>
        </w:rPr>
        <w:t>.</w:t>
      </w:r>
      <w:r>
        <w:rPr>
          <w:rFonts w:hint="eastAsia" w:ascii="Times New Roman" w:hAnsi="Times New Roman"/>
          <w:color w:val="auto"/>
          <w:szCs w:val="21"/>
          <w:highlight w:val="none"/>
          <w:lang w:eastAsia="zh-CN"/>
        </w:rPr>
        <w:t>6</w:t>
      </w:r>
      <w:r>
        <w:rPr>
          <w:rFonts w:hint="eastAsia" w:ascii="宋体" w:hAnsi="宋体"/>
          <w:color w:val="auto"/>
          <w:szCs w:val="21"/>
          <w:highlight w:val="none"/>
        </w:rPr>
        <w:t>不同投标人的投标保证金从同一单位或者个人的账户转出。</w:t>
      </w:r>
    </w:p>
    <w:bookmarkEnd w:id="125"/>
    <w:p>
      <w:pPr>
        <w:pStyle w:val="8"/>
        <w:tabs>
          <w:tab w:val="left" w:pos="0"/>
        </w:tabs>
        <w:spacing w:line="360" w:lineRule="auto"/>
        <w:rPr>
          <w:rFonts w:cs="宋体"/>
          <w:color w:val="auto"/>
          <w:sz w:val="21"/>
          <w:szCs w:val="21"/>
          <w:highlight w:val="none"/>
        </w:rPr>
      </w:pPr>
      <w:r>
        <w:rPr>
          <w:rFonts w:hint="eastAsia" w:ascii="Times New Roman" w:hAnsi="Times New Roman" w:cs="宋体"/>
          <w:color w:val="auto"/>
          <w:sz w:val="21"/>
          <w:szCs w:val="21"/>
          <w:highlight w:val="none"/>
          <w:lang w:eastAsia="zh-CN"/>
        </w:rPr>
        <w:t>30</w:t>
      </w:r>
      <w:r>
        <w:rPr>
          <w:rFonts w:hint="eastAsia" w:cs="宋体"/>
          <w:color w:val="auto"/>
          <w:sz w:val="21"/>
          <w:szCs w:val="21"/>
          <w:highlight w:val="none"/>
        </w:rPr>
        <w:t>、质疑处理</w:t>
      </w:r>
    </w:p>
    <w:p>
      <w:pPr>
        <w:spacing w:line="360" w:lineRule="auto"/>
        <w:ind w:firstLine="420" w:firstLineChars="200"/>
        <w:rPr>
          <w:rFonts w:ascii="宋体" w:hAnsi="宋体"/>
          <w:color w:val="auto"/>
          <w:szCs w:val="21"/>
          <w:highlight w:val="none"/>
        </w:rPr>
      </w:pPr>
      <w:r>
        <w:rPr>
          <w:rFonts w:hint="eastAsia" w:ascii="Times New Roman" w:hAnsi="Times New Roman"/>
          <w:color w:val="auto"/>
          <w:szCs w:val="21"/>
          <w:highlight w:val="none"/>
          <w:lang w:eastAsia="zh-CN"/>
        </w:rPr>
        <w:t>30</w:t>
      </w:r>
      <w:r>
        <w:rPr>
          <w:rFonts w:hint="eastAsia" w:ascii="宋体" w:hAnsi="宋体"/>
          <w:color w:val="auto"/>
          <w:szCs w:val="21"/>
          <w:highlight w:val="none"/>
        </w:rPr>
        <w:t>.</w:t>
      </w:r>
      <w:r>
        <w:rPr>
          <w:rFonts w:hint="eastAsia" w:ascii="Times New Roman" w:hAnsi="Times New Roman"/>
          <w:color w:val="auto"/>
          <w:szCs w:val="21"/>
          <w:highlight w:val="none"/>
          <w:lang w:eastAsia="zh-CN"/>
        </w:rPr>
        <w:t>1</w:t>
      </w:r>
      <w:r>
        <w:rPr>
          <w:rFonts w:hint="eastAsia" w:ascii="宋体" w:hAnsi="宋体"/>
          <w:color w:val="auto"/>
          <w:szCs w:val="21"/>
          <w:highlight w:val="none"/>
        </w:rPr>
        <w:t>投标人认为采购文件、采购过程和中标或成交结果使自己的权益受到损害的，可以在知道或应知其权益受到损害之日起七个工作日内，以书面形式向采购人或代理机构提出质疑。</w:t>
      </w:r>
    </w:p>
    <w:p>
      <w:pPr>
        <w:spacing w:line="360" w:lineRule="auto"/>
        <w:ind w:firstLine="420" w:firstLineChars="200"/>
        <w:rPr>
          <w:rFonts w:ascii="宋体" w:hAnsi="宋体"/>
          <w:color w:val="auto"/>
          <w:szCs w:val="21"/>
          <w:highlight w:val="none"/>
        </w:rPr>
      </w:pPr>
      <w:r>
        <w:rPr>
          <w:rFonts w:hint="eastAsia" w:ascii="Times New Roman" w:hAnsi="Times New Roman"/>
          <w:color w:val="auto"/>
          <w:szCs w:val="21"/>
          <w:highlight w:val="none"/>
          <w:lang w:eastAsia="zh-CN"/>
        </w:rPr>
        <w:t>30</w:t>
      </w:r>
      <w:r>
        <w:rPr>
          <w:rFonts w:hint="eastAsia" w:ascii="宋体" w:hAnsi="宋体"/>
          <w:color w:val="auto"/>
          <w:szCs w:val="21"/>
          <w:highlight w:val="none"/>
        </w:rPr>
        <w:t>.</w:t>
      </w:r>
      <w:r>
        <w:rPr>
          <w:rFonts w:hint="eastAsia" w:ascii="Times New Roman" w:hAnsi="Times New Roman"/>
          <w:color w:val="auto"/>
          <w:szCs w:val="21"/>
          <w:highlight w:val="none"/>
          <w:lang w:eastAsia="zh-CN"/>
        </w:rPr>
        <w:t>1</w:t>
      </w:r>
      <w:r>
        <w:rPr>
          <w:rFonts w:hint="eastAsia" w:ascii="宋体" w:hAnsi="宋体"/>
          <w:color w:val="auto"/>
          <w:szCs w:val="21"/>
          <w:highlight w:val="none"/>
        </w:rPr>
        <w:t>.</w:t>
      </w:r>
      <w:r>
        <w:rPr>
          <w:rFonts w:hint="eastAsia" w:ascii="Times New Roman" w:hAnsi="Times New Roman"/>
          <w:color w:val="auto"/>
          <w:szCs w:val="21"/>
          <w:highlight w:val="none"/>
          <w:lang w:eastAsia="zh-CN"/>
        </w:rPr>
        <w:t>1</w:t>
      </w:r>
      <w:r>
        <w:rPr>
          <w:rFonts w:hint="eastAsia" w:ascii="宋体" w:hAnsi="宋体"/>
          <w:color w:val="auto"/>
          <w:szCs w:val="21"/>
          <w:highlight w:val="none"/>
        </w:rPr>
        <w:t>对采购文件提出质疑的，应当在获取采购文件之日或者采购文件公告期限届满之日起</w:t>
      </w:r>
      <w:r>
        <w:rPr>
          <w:rFonts w:hint="eastAsia" w:ascii="Times New Roman" w:hAnsi="Times New Roman"/>
          <w:color w:val="auto"/>
          <w:szCs w:val="21"/>
          <w:highlight w:val="none"/>
          <w:lang w:eastAsia="zh-CN"/>
        </w:rPr>
        <w:t>7</w:t>
      </w:r>
      <w:r>
        <w:rPr>
          <w:rFonts w:hint="eastAsia" w:ascii="宋体" w:hAnsi="宋体"/>
          <w:color w:val="auto"/>
          <w:szCs w:val="21"/>
          <w:highlight w:val="none"/>
        </w:rPr>
        <w:t>个工作日内提出。</w:t>
      </w:r>
    </w:p>
    <w:p>
      <w:pPr>
        <w:spacing w:line="360" w:lineRule="auto"/>
        <w:rPr>
          <w:rFonts w:ascii="宋体" w:hAnsi="宋体"/>
          <w:color w:val="auto"/>
          <w:szCs w:val="21"/>
          <w:highlight w:val="none"/>
        </w:rPr>
      </w:pPr>
      <w:r>
        <w:rPr>
          <w:rFonts w:hint="eastAsia" w:ascii="宋体" w:hAnsi="宋体"/>
          <w:color w:val="auto"/>
          <w:szCs w:val="21"/>
          <w:highlight w:val="none"/>
        </w:rPr>
        <w:t>　　</w:t>
      </w:r>
      <w:r>
        <w:rPr>
          <w:rFonts w:hint="eastAsia" w:ascii="Times New Roman" w:hAnsi="Times New Roman"/>
          <w:color w:val="auto"/>
          <w:szCs w:val="21"/>
          <w:highlight w:val="none"/>
          <w:lang w:eastAsia="zh-CN"/>
        </w:rPr>
        <w:t>30</w:t>
      </w:r>
      <w:r>
        <w:rPr>
          <w:rFonts w:hint="eastAsia" w:ascii="宋体" w:hAnsi="宋体"/>
          <w:color w:val="auto"/>
          <w:szCs w:val="21"/>
          <w:highlight w:val="none"/>
        </w:rPr>
        <w:t>.</w:t>
      </w:r>
      <w:r>
        <w:rPr>
          <w:rFonts w:hint="eastAsia" w:ascii="Times New Roman" w:hAnsi="Times New Roman"/>
          <w:color w:val="auto"/>
          <w:szCs w:val="21"/>
          <w:highlight w:val="none"/>
          <w:lang w:eastAsia="zh-CN"/>
        </w:rPr>
        <w:t>1</w:t>
      </w:r>
      <w:r>
        <w:rPr>
          <w:rFonts w:hint="eastAsia" w:ascii="宋体" w:hAnsi="宋体"/>
          <w:color w:val="auto"/>
          <w:szCs w:val="21"/>
          <w:highlight w:val="none"/>
        </w:rPr>
        <w:t>.</w:t>
      </w:r>
      <w:r>
        <w:rPr>
          <w:rFonts w:hint="eastAsia" w:ascii="Times New Roman" w:hAnsi="Times New Roman"/>
          <w:color w:val="auto"/>
          <w:szCs w:val="21"/>
          <w:highlight w:val="none"/>
          <w:lang w:eastAsia="zh-CN"/>
        </w:rPr>
        <w:t>2</w:t>
      </w:r>
      <w:r>
        <w:rPr>
          <w:rFonts w:hint="eastAsia" w:ascii="宋体" w:hAnsi="宋体"/>
          <w:color w:val="auto"/>
          <w:szCs w:val="21"/>
          <w:highlight w:val="none"/>
        </w:rPr>
        <w:t>对采购过程提出质疑的，为各采购程序环节结束之日起</w:t>
      </w:r>
      <w:r>
        <w:rPr>
          <w:rFonts w:hint="eastAsia" w:ascii="Times New Roman" w:hAnsi="Times New Roman"/>
          <w:color w:val="auto"/>
          <w:szCs w:val="21"/>
          <w:highlight w:val="none"/>
          <w:lang w:eastAsia="zh-CN"/>
        </w:rPr>
        <w:t>7</w:t>
      </w:r>
      <w:r>
        <w:rPr>
          <w:rFonts w:hint="eastAsia" w:ascii="宋体" w:hAnsi="宋体"/>
          <w:color w:val="auto"/>
          <w:szCs w:val="21"/>
          <w:highlight w:val="none"/>
        </w:rPr>
        <w:t>个工作日内提出。</w:t>
      </w:r>
    </w:p>
    <w:p>
      <w:pPr>
        <w:spacing w:line="360" w:lineRule="auto"/>
        <w:rPr>
          <w:rFonts w:ascii="宋体" w:hAnsi="宋体"/>
          <w:color w:val="auto"/>
          <w:szCs w:val="21"/>
          <w:highlight w:val="none"/>
        </w:rPr>
      </w:pPr>
      <w:r>
        <w:rPr>
          <w:rFonts w:hint="eastAsia" w:ascii="宋体" w:hAnsi="宋体"/>
          <w:color w:val="auto"/>
          <w:szCs w:val="21"/>
          <w:highlight w:val="none"/>
        </w:rPr>
        <w:t>　　</w:t>
      </w:r>
      <w:r>
        <w:rPr>
          <w:rFonts w:hint="eastAsia" w:ascii="Times New Roman" w:hAnsi="Times New Roman"/>
          <w:color w:val="auto"/>
          <w:szCs w:val="21"/>
          <w:highlight w:val="none"/>
          <w:lang w:eastAsia="zh-CN"/>
        </w:rPr>
        <w:t>30</w:t>
      </w:r>
      <w:r>
        <w:rPr>
          <w:rFonts w:hint="eastAsia" w:ascii="宋体" w:hAnsi="宋体"/>
          <w:color w:val="auto"/>
          <w:szCs w:val="21"/>
          <w:highlight w:val="none"/>
        </w:rPr>
        <w:t>.</w:t>
      </w:r>
      <w:r>
        <w:rPr>
          <w:rFonts w:hint="eastAsia" w:ascii="Times New Roman" w:hAnsi="Times New Roman"/>
          <w:color w:val="auto"/>
          <w:szCs w:val="21"/>
          <w:highlight w:val="none"/>
          <w:lang w:eastAsia="zh-CN"/>
        </w:rPr>
        <w:t>1</w:t>
      </w:r>
      <w:r>
        <w:rPr>
          <w:rFonts w:hint="eastAsia" w:ascii="宋体" w:hAnsi="宋体"/>
          <w:color w:val="auto"/>
          <w:szCs w:val="21"/>
          <w:highlight w:val="none"/>
        </w:rPr>
        <w:t>.</w:t>
      </w:r>
      <w:r>
        <w:rPr>
          <w:rFonts w:hint="eastAsia" w:ascii="Times New Roman" w:hAnsi="Times New Roman"/>
          <w:color w:val="auto"/>
          <w:szCs w:val="21"/>
          <w:highlight w:val="none"/>
          <w:lang w:eastAsia="zh-CN"/>
        </w:rPr>
        <w:t>3</w:t>
      </w:r>
      <w:r>
        <w:rPr>
          <w:rFonts w:hint="eastAsia" w:ascii="宋体" w:hAnsi="宋体"/>
          <w:color w:val="auto"/>
          <w:szCs w:val="21"/>
          <w:highlight w:val="none"/>
        </w:rPr>
        <w:t>对中标结果提出质疑的，为中标结果公告期限届满之日起</w:t>
      </w:r>
      <w:r>
        <w:rPr>
          <w:rFonts w:hint="eastAsia" w:ascii="Times New Roman" w:hAnsi="Times New Roman"/>
          <w:color w:val="auto"/>
          <w:szCs w:val="21"/>
          <w:highlight w:val="none"/>
          <w:lang w:eastAsia="zh-CN"/>
        </w:rPr>
        <w:t>7</w:t>
      </w:r>
      <w:r>
        <w:rPr>
          <w:rFonts w:hint="eastAsia" w:ascii="宋体" w:hAnsi="宋体"/>
          <w:color w:val="auto"/>
          <w:szCs w:val="21"/>
          <w:highlight w:val="none"/>
        </w:rPr>
        <w:t>个工作日内提出。</w:t>
      </w:r>
    </w:p>
    <w:p>
      <w:pPr>
        <w:spacing w:line="360" w:lineRule="auto"/>
        <w:ind w:firstLine="420" w:firstLineChars="200"/>
        <w:rPr>
          <w:rFonts w:ascii="宋体" w:hAnsi="宋体"/>
          <w:color w:val="auto"/>
          <w:szCs w:val="21"/>
          <w:highlight w:val="none"/>
        </w:rPr>
      </w:pPr>
      <w:r>
        <w:rPr>
          <w:rFonts w:hint="eastAsia" w:ascii="Times New Roman" w:hAnsi="Times New Roman"/>
          <w:color w:val="auto"/>
          <w:szCs w:val="21"/>
          <w:highlight w:val="none"/>
          <w:lang w:eastAsia="zh-CN"/>
        </w:rPr>
        <w:t>30</w:t>
      </w:r>
      <w:r>
        <w:rPr>
          <w:rFonts w:hint="eastAsia" w:ascii="宋体" w:hAnsi="宋体"/>
          <w:color w:val="auto"/>
          <w:szCs w:val="21"/>
          <w:highlight w:val="none"/>
        </w:rPr>
        <w:t>.</w:t>
      </w:r>
      <w:r>
        <w:rPr>
          <w:rFonts w:hint="eastAsia" w:ascii="Times New Roman" w:hAnsi="Times New Roman"/>
          <w:color w:val="auto"/>
          <w:szCs w:val="21"/>
          <w:highlight w:val="none"/>
          <w:lang w:eastAsia="zh-CN"/>
        </w:rPr>
        <w:t>2</w:t>
      </w:r>
      <w:r>
        <w:rPr>
          <w:rFonts w:hint="eastAsia" w:ascii="宋体" w:hAnsi="宋体"/>
          <w:color w:val="auto"/>
          <w:szCs w:val="21"/>
          <w:highlight w:val="none"/>
        </w:rPr>
        <w:t>投标人应在法定质疑期内一次性提出针对同一采购程序环节的质疑。质疑必须按《政府采购法》、《政府采购法实施条例》及《政府采购质疑和投诉办法》等相关规定提交。</w:t>
      </w:r>
    </w:p>
    <w:p>
      <w:pPr>
        <w:spacing w:line="360" w:lineRule="auto"/>
        <w:ind w:firstLine="420" w:firstLineChars="200"/>
        <w:rPr>
          <w:rFonts w:ascii="宋体" w:hAnsi="宋体"/>
          <w:color w:val="auto"/>
          <w:szCs w:val="21"/>
          <w:highlight w:val="none"/>
        </w:rPr>
      </w:pPr>
      <w:r>
        <w:rPr>
          <w:rFonts w:hint="eastAsia" w:ascii="Times New Roman" w:hAnsi="Times New Roman"/>
          <w:color w:val="auto"/>
          <w:szCs w:val="21"/>
          <w:highlight w:val="none"/>
          <w:lang w:eastAsia="zh-CN"/>
        </w:rPr>
        <w:t>30</w:t>
      </w:r>
      <w:r>
        <w:rPr>
          <w:rFonts w:hint="eastAsia" w:ascii="宋体" w:hAnsi="宋体"/>
          <w:color w:val="auto"/>
          <w:szCs w:val="21"/>
          <w:highlight w:val="none"/>
        </w:rPr>
        <w:t>.</w:t>
      </w:r>
      <w:r>
        <w:rPr>
          <w:rFonts w:hint="eastAsia" w:ascii="Times New Roman" w:hAnsi="Times New Roman"/>
          <w:color w:val="auto"/>
          <w:szCs w:val="21"/>
          <w:highlight w:val="none"/>
          <w:lang w:eastAsia="zh-CN"/>
        </w:rPr>
        <w:t>3</w:t>
      </w:r>
      <w:r>
        <w:rPr>
          <w:rFonts w:hint="eastAsia" w:ascii="宋体" w:hAnsi="宋体"/>
          <w:color w:val="auto"/>
          <w:szCs w:val="21"/>
          <w:highlight w:val="none"/>
        </w:rPr>
        <w:t>提出质疑的投标人（以下简称质疑投标人）应当是参与所质疑项目采购活动的投标人。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潜在投标人已依法获取其可质疑的采购文件的，可以对该文件提出质疑。对采购文件提出质疑的，应当在获取采购文件或者采购文件公告期限届满之日起</w:t>
      </w:r>
      <w:r>
        <w:rPr>
          <w:rFonts w:hint="eastAsia" w:ascii="Times New Roman" w:hAnsi="Times New Roman"/>
          <w:color w:val="auto"/>
          <w:szCs w:val="21"/>
          <w:highlight w:val="none"/>
          <w:lang w:eastAsia="zh-CN"/>
        </w:rPr>
        <w:t>7</w:t>
      </w:r>
      <w:r>
        <w:rPr>
          <w:rFonts w:hint="eastAsia" w:ascii="宋体" w:hAnsi="宋体"/>
          <w:color w:val="auto"/>
          <w:szCs w:val="21"/>
          <w:highlight w:val="none"/>
        </w:rPr>
        <w:t>个工作日内提出。</w:t>
      </w:r>
    </w:p>
    <w:p>
      <w:pPr>
        <w:spacing w:line="360" w:lineRule="auto"/>
        <w:ind w:firstLine="420" w:firstLineChars="200"/>
        <w:rPr>
          <w:rFonts w:ascii="宋体" w:hAnsi="宋体"/>
          <w:color w:val="auto"/>
          <w:szCs w:val="21"/>
          <w:highlight w:val="none"/>
        </w:rPr>
      </w:pPr>
      <w:r>
        <w:rPr>
          <w:rFonts w:hint="eastAsia" w:ascii="Times New Roman" w:hAnsi="Times New Roman"/>
          <w:color w:val="auto"/>
          <w:szCs w:val="21"/>
          <w:highlight w:val="none"/>
          <w:lang w:eastAsia="zh-CN"/>
        </w:rPr>
        <w:t>30</w:t>
      </w:r>
      <w:r>
        <w:rPr>
          <w:rFonts w:hint="eastAsia" w:ascii="宋体" w:hAnsi="宋体"/>
          <w:color w:val="auto"/>
          <w:szCs w:val="21"/>
          <w:highlight w:val="none"/>
        </w:rPr>
        <w:t>.</w:t>
      </w:r>
      <w:r>
        <w:rPr>
          <w:rFonts w:hint="eastAsia" w:ascii="Times New Roman" w:hAnsi="Times New Roman"/>
          <w:color w:val="auto"/>
          <w:szCs w:val="21"/>
          <w:highlight w:val="none"/>
          <w:lang w:eastAsia="zh-CN"/>
        </w:rPr>
        <w:t>4</w:t>
      </w:r>
      <w:r>
        <w:rPr>
          <w:rFonts w:hint="eastAsia" w:ascii="宋体" w:hAnsi="宋体"/>
          <w:color w:val="auto"/>
          <w:szCs w:val="21"/>
          <w:highlight w:val="none"/>
        </w:rPr>
        <w:t>投标人提出质疑应当提交质疑函和必要的证明材料。质疑函应当包括下列内容：</w:t>
      </w:r>
    </w:p>
    <w:p>
      <w:pPr>
        <w:spacing w:line="360" w:lineRule="auto"/>
        <w:rPr>
          <w:rFonts w:ascii="宋体" w:hAnsi="宋体"/>
          <w:color w:val="auto"/>
          <w:szCs w:val="21"/>
          <w:highlight w:val="none"/>
        </w:rPr>
      </w:pPr>
      <w:r>
        <w:rPr>
          <w:rFonts w:hint="eastAsia" w:ascii="宋体" w:hAnsi="宋体"/>
          <w:color w:val="auto"/>
          <w:szCs w:val="21"/>
          <w:highlight w:val="none"/>
        </w:rPr>
        <w:t>　　</w:t>
      </w:r>
      <w:r>
        <w:rPr>
          <w:rFonts w:hint="eastAsia" w:ascii="Times New Roman" w:hAnsi="Times New Roman"/>
          <w:color w:val="auto"/>
          <w:szCs w:val="21"/>
          <w:highlight w:val="none"/>
          <w:lang w:eastAsia="zh-CN"/>
        </w:rPr>
        <w:t>30</w:t>
      </w:r>
      <w:r>
        <w:rPr>
          <w:rFonts w:hint="eastAsia" w:ascii="宋体" w:hAnsi="宋体"/>
          <w:color w:val="auto"/>
          <w:szCs w:val="21"/>
          <w:highlight w:val="none"/>
        </w:rPr>
        <w:t>.</w:t>
      </w:r>
      <w:r>
        <w:rPr>
          <w:rFonts w:hint="eastAsia" w:ascii="Times New Roman" w:hAnsi="Times New Roman"/>
          <w:color w:val="auto"/>
          <w:szCs w:val="21"/>
          <w:highlight w:val="none"/>
          <w:lang w:eastAsia="zh-CN"/>
        </w:rPr>
        <w:t>4</w:t>
      </w:r>
      <w:r>
        <w:rPr>
          <w:rFonts w:hint="eastAsia" w:ascii="宋体" w:hAnsi="宋体"/>
          <w:color w:val="auto"/>
          <w:szCs w:val="21"/>
          <w:highlight w:val="none"/>
        </w:rPr>
        <w:t>.</w:t>
      </w:r>
      <w:r>
        <w:rPr>
          <w:rFonts w:hint="eastAsia" w:ascii="Times New Roman" w:hAnsi="Times New Roman"/>
          <w:color w:val="auto"/>
          <w:szCs w:val="21"/>
          <w:highlight w:val="none"/>
          <w:lang w:eastAsia="zh-CN"/>
        </w:rPr>
        <w:t>1</w:t>
      </w:r>
      <w:r>
        <w:rPr>
          <w:rFonts w:hint="eastAsia" w:ascii="宋体" w:hAnsi="宋体"/>
          <w:color w:val="auto"/>
          <w:szCs w:val="21"/>
          <w:highlight w:val="none"/>
        </w:rPr>
        <w:t>投标人的姓名或者名称、地址、邮编、联系人及联系电话；</w:t>
      </w:r>
    </w:p>
    <w:p>
      <w:pPr>
        <w:spacing w:line="360" w:lineRule="auto"/>
        <w:rPr>
          <w:rFonts w:ascii="宋体" w:hAnsi="宋体"/>
          <w:color w:val="auto"/>
          <w:szCs w:val="21"/>
          <w:highlight w:val="none"/>
        </w:rPr>
      </w:pPr>
      <w:r>
        <w:rPr>
          <w:rFonts w:hint="eastAsia" w:ascii="宋体" w:hAnsi="宋体"/>
          <w:color w:val="auto"/>
          <w:szCs w:val="21"/>
          <w:highlight w:val="none"/>
        </w:rPr>
        <w:t>　　</w:t>
      </w:r>
      <w:r>
        <w:rPr>
          <w:rFonts w:hint="eastAsia" w:ascii="Times New Roman" w:hAnsi="Times New Roman"/>
          <w:color w:val="auto"/>
          <w:szCs w:val="21"/>
          <w:highlight w:val="none"/>
          <w:lang w:eastAsia="zh-CN"/>
        </w:rPr>
        <w:t>30</w:t>
      </w:r>
      <w:r>
        <w:rPr>
          <w:rFonts w:hint="eastAsia" w:ascii="宋体" w:hAnsi="宋体"/>
          <w:color w:val="auto"/>
          <w:szCs w:val="21"/>
          <w:highlight w:val="none"/>
        </w:rPr>
        <w:t>.</w:t>
      </w:r>
      <w:r>
        <w:rPr>
          <w:rFonts w:hint="eastAsia" w:ascii="Times New Roman" w:hAnsi="Times New Roman"/>
          <w:color w:val="auto"/>
          <w:szCs w:val="21"/>
          <w:highlight w:val="none"/>
          <w:lang w:eastAsia="zh-CN"/>
        </w:rPr>
        <w:t>4</w:t>
      </w:r>
      <w:r>
        <w:rPr>
          <w:rFonts w:hint="eastAsia" w:ascii="宋体" w:hAnsi="宋体"/>
          <w:color w:val="auto"/>
          <w:szCs w:val="21"/>
          <w:highlight w:val="none"/>
        </w:rPr>
        <w:t>.</w:t>
      </w:r>
      <w:r>
        <w:rPr>
          <w:rFonts w:hint="eastAsia" w:ascii="Times New Roman" w:hAnsi="Times New Roman"/>
          <w:color w:val="auto"/>
          <w:szCs w:val="21"/>
          <w:highlight w:val="none"/>
          <w:lang w:eastAsia="zh-CN"/>
        </w:rPr>
        <w:t>2</w:t>
      </w:r>
      <w:r>
        <w:rPr>
          <w:rFonts w:hint="eastAsia" w:ascii="宋体" w:hAnsi="宋体"/>
          <w:color w:val="auto"/>
          <w:szCs w:val="21"/>
          <w:highlight w:val="none"/>
        </w:rPr>
        <w:t>质疑项目的名称、编号；</w:t>
      </w:r>
    </w:p>
    <w:p>
      <w:pPr>
        <w:spacing w:line="360" w:lineRule="auto"/>
        <w:rPr>
          <w:rFonts w:ascii="宋体" w:hAnsi="宋体"/>
          <w:color w:val="auto"/>
          <w:szCs w:val="21"/>
          <w:highlight w:val="none"/>
        </w:rPr>
      </w:pPr>
      <w:r>
        <w:rPr>
          <w:rFonts w:hint="eastAsia" w:ascii="宋体" w:hAnsi="宋体"/>
          <w:color w:val="auto"/>
          <w:szCs w:val="21"/>
          <w:highlight w:val="none"/>
        </w:rPr>
        <w:t>　　</w:t>
      </w:r>
      <w:r>
        <w:rPr>
          <w:rFonts w:hint="eastAsia" w:ascii="Times New Roman" w:hAnsi="Times New Roman"/>
          <w:color w:val="auto"/>
          <w:szCs w:val="21"/>
          <w:highlight w:val="none"/>
          <w:lang w:eastAsia="zh-CN"/>
        </w:rPr>
        <w:t>30</w:t>
      </w:r>
      <w:r>
        <w:rPr>
          <w:rFonts w:hint="eastAsia" w:ascii="宋体" w:hAnsi="宋体"/>
          <w:color w:val="auto"/>
          <w:szCs w:val="21"/>
          <w:highlight w:val="none"/>
        </w:rPr>
        <w:t>.</w:t>
      </w:r>
      <w:r>
        <w:rPr>
          <w:rFonts w:hint="eastAsia" w:ascii="Times New Roman" w:hAnsi="Times New Roman"/>
          <w:color w:val="auto"/>
          <w:szCs w:val="21"/>
          <w:highlight w:val="none"/>
          <w:lang w:eastAsia="zh-CN"/>
        </w:rPr>
        <w:t>4</w:t>
      </w:r>
      <w:r>
        <w:rPr>
          <w:rFonts w:hint="eastAsia" w:ascii="宋体" w:hAnsi="宋体"/>
          <w:color w:val="auto"/>
          <w:szCs w:val="21"/>
          <w:highlight w:val="none"/>
        </w:rPr>
        <w:t>.</w:t>
      </w:r>
      <w:r>
        <w:rPr>
          <w:rFonts w:hint="eastAsia" w:ascii="Times New Roman" w:hAnsi="Times New Roman"/>
          <w:color w:val="auto"/>
          <w:szCs w:val="21"/>
          <w:highlight w:val="none"/>
          <w:lang w:eastAsia="zh-CN"/>
        </w:rPr>
        <w:t>3</w:t>
      </w:r>
      <w:r>
        <w:rPr>
          <w:rFonts w:hint="eastAsia" w:ascii="宋体" w:hAnsi="宋体"/>
          <w:color w:val="auto"/>
          <w:szCs w:val="21"/>
          <w:highlight w:val="none"/>
        </w:rPr>
        <w:t>具体、明确的质疑事项和与质疑事项相关的请求；</w:t>
      </w:r>
    </w:p>
    <w:p>
      <w:pPr>
        <w:spacing w:line="360" w:lineRule="auto"/>
        <w:rPr>
          <w:rFonts w:ascii="宋体" w:hAnsi="宋体"/>
          <w:color w:val="auto"/>
          <w:szCs w:val="21"/>
          <w:highlight w:val="none"/>
        </w:rPr>
      </w:pPr>
      <w:r>
        <w:rPr>
          <w:rFonts w:hint="eastAsia" w:ascii="宋体" w:hAnsi="宋体"/>
          <w:color w:val="auto"/>
          <w:szCs w:val="21"/>
          <w:highlight w:val="none"/>
        </w:rPr>
        <w:t>　　</w:t>
      </w:r>
      <w:r>
        <w:rPr>
          <w:rFonts w:hint="eastAsia" w:ascii="Times New Roman" w:hAnsi="Times New Roman"/>
          <w:color w:val="auto"/>
          <w:szCs w:val="21"/>
          <w:highlight w:val="none"/>
          <w:lang w:eastAsia="zh-CN"/>
        </w:rPr>
        <w:t>30</w:t>
      </w:r>
      <w:r>
        <w:rPr>
          <w:rFonts w:hint="eastAsia" w:ascii="宋体" w:hAnsi="宋体"/>
          <w:color w:val="auto"/>
          <w:szCs w:val="21"/>
          <w:highlight w:val="none"/>
        </w:rPr>
        <w:t>.</w:t>
      </w:r>
      <w:r>
        <w:rPr>
          <w:rFonts w:hint="eastAsia" w:ascii="Times New Roman" w:hAnsi="Times New Roman"/>
          <w:color w:val="auto"/>
          <w:szCs w:val="21"/>
          <w:highlight w:val="none"/>
          <w:lang w:eastAsia="zh-CN"/>
        </w:rPr>
        <w:t>4</w:t>
      </w:r>
      <w:r>
        <w:rPr>
          <w:rFonts w:hint="eastAsia" w:ascii="宋体" w:hAnsi="宋体"/>
          <w:color w:val="auto"/>
          <w:szCs w:val="21"/>
          <w:highlight w:val="none"/>
        </w:rPr>
        <w:t>.</w:t>
      </w:r>
      <w:r>
        <w:rPr>
          <w:rFonts w:hint="eastAsia" w:ascii="Times New Roman" w:hAnsi="Times New Roman"/>
          <w:color w:val="auto"/>
          <w:szCs w:val="21"/>
          <w:highlight w:val="none"/>
          <w:lang w:eastAsia="zh-CN"/>
        </w:rPr>
        <w:t>4</w:t>
      </w:r>
      <w:r>
        <w:rPr>
          <w:rFonts w:hint="eastAsia" w:ascii="宋体" w:hAnsi="宋体"/>
          <w:color w:val="auto"/>
          <w:szCs w:val="21"/>
          <w:highlight w:val="none"/>
        </w:rPr>
        <w:t>事实依据；</w:t>
      </w:r>
    </w:p>
    <w:p>
      <w:pPr>
        <w:spacing w:line="360" w:lineRule="auto"/>
        <w:rPr>
          <w:rFonts w:ascii="宋体" w:hAnsi="宋体"/>
          <w:color w:val="auto"/>
          <w:szCs w:val="21"/>
          <w:highlight w:val="none"/>
        </w:rPr>
      </w:pPr>
      <w:r>
        <w:rPr>
          <w:rFonts w:hint="eastAsia" w:ascii="宋体" w:hAnsi="宋体"/>
          <w:color w:val="auto"/>
          <w:szCs w:val="21"/>
          <w:highlight w:val="none"/>
        </w:rPr>
        <w:t>　　</w:t>
      </w:r>
      <w:r>
        <w:rPr>
          <w:rFonts w:hint="eastAsia" w:ascii="Times New Roman" w:hAnsi="Times New Roman"/>
          <w:color w:val="auto"/>
          <w:szCs w:val="21"/>
          <w:highlight w:val="none"/>
          <w:lang w:eastAsia="zh-CN"/>
        </w:rPr>
        <w:t>30</w:t>
      </w:r>
      <w:r>
        <w:rPr>
          <w:rFonts w:hint="eastAsia" w:ascii="宋体" w:hAnsi="宋体"/>
          <w:color w:val="auto"/>
          <w:szCs w:val="21"/>
          <w:highlight w:val="none"/>
        </w:rPr>
        <w:t>.</w:t>
      </w:r>
      <w:r>
        <w:rPr>
          <w:rFonts w:hint="eastAsia" w:ascii="Times New Roman" w:hAnsi="Times New Roman"/>
          <w:color w:val="auto"/>
          <w:szCs w:val="21"/>
          <w:highlight w:val="none"/>
          <w:lang w:eastAsia="zh-CN"/>
        </w:rPr>
        <w:t>4</w:t>
      </w:r>
      <w:r>
        <w:rPr>
          <w:rFonts w:hint="eastAsia" w:ascii="宋体" w:hAnsi="宋体"/>
          <w:color w:val="auto"/>
          <w:szCs w:val="21"/>
          <w:highlight w:val="none"/>
        </w:rPr>
        <w:t>.</w:t>
      </w:r>
      <w:r>
        <w:rPr>
          <w:rFonts w:hint="eastAsia" w:ascii="Times New Roman" w:hAnsi="Times New Roman"/>
          <w:color w:val="auto"/>
          <w:szCs w:val="21"/>
          <w:highlight w:val="none"/>
          <w:lang w:eastAsia="zh-CN"/>
        </w:rPr>
        <w:t>5</w:t>
      </w:r>
      <w:r>
        <w:rPr>
          <w:rFonts w:hint="eastAsia" w:ascii="宋体" w:hAnsi="宋体"/>
          <w:color w:val="auto"/>
          <w:szCs w:val="21"/>
          <w:highlight w:val="none"/>
        </w:rPr>
        <w:t>必要的法律依据；</w:t>
      </w:r>
    </w:p>
    <w:p>
      <w:pPr>
        <w:spacing w:line="360" w:lineRule="auto"/>
        <w:rPr>
          <w:rFonts w:ascii="宋体" w:hAnsi="宋体"/>
          <w:color w:val="auto"/>
          <w:szCs w:val="21"/>
          <w:highlight w:val="none"/>
        </w:rPr>
      </w:pPr>
      <w:r>
        <w:rPr>
          <w:rFonts w:hint="eastAsia" w:ascii="宋体" w:hAnsi="宋体"/>
          <w:color w:val="auto"/>
          <w:szCs w:val="21"/>
          <w:highlight w:val="none"/>
        </w:rPr>
        <w:t>　　</w:t>
      </w:r>
      <w:r>
        <w:rPr>
          <w:rFonts w:hint="eastAsia" w:ascii="Times New Roman" w:hAnsi="Times New Roman"/>
          <w:color w:val="auto"/>
          <w:szCs w:val="21"/>
          <w:highlight w:val="none"/>
          <w:lang w:eastAsia="zh-CN"/>
        </w:rPr>
        <w:t>30</w:t>
      </w:r>
      <w:r>
        <w:rPr>
          <w:rFonts w:hint="eastAsia" w:ascii="宋体" w:hAnsi="宋体"/>
          <w:color w:val="auto"/>
          <w:szCs w:val="21"/>
          <w:highlight w:val="none"/>
        </w:rPr>
        <w:t>.</w:t>
      </w:r>
      <w:r>
        <w:rPr>
          <w:rFonts w:hint="eastAsia" w:ascii="Times New Roman" w:hAnsi="Times New Roman"/>
          <w:color w:val="auto"/>
          <w:szCs w:val="21"/>
          <w:highlight w:val="none"/>
          <w:lang w:eastAsia="zh-CN"/>
        </w:rPr>
        <w:t>4</w:t>
      </w:r>
      <w:r>
        <w:rPr>
          <w:rFonts w:hint="eastAsia" w:ascii="宋体" w:hAnsi="宋体"/>
          <w:color w:val="auto"/>
          <w:szCs w:val="21"/>
          <w:highlight w:val="none"/>
        </w:rPr>
        <w:t>.</w:t>
      </w:r>
      <w:r>
        <w:rPr>
          <w:rFonts w:hint="eastAsia" w:ascii="Times New Roman" w:hAnsi="Times New Roman"/>
          <w:color w:val="auto"/>
          <w:szCs w:val="21"/>
          <w:highlight w:val="none"/>
          <w:lang w:eastAsia="zh-CN"/>
        </w:rPr>
        <w:t>6</w:t>
      </w:r>
      <w:r>
        <w:rPr>
          <w:rFonts w:hint="eastAsia" w:ascii="宋体" w:hAnsi="宋体"/>
          <w:color w:val="auto"/>
          <w:szCs w:val="21"/>
          <w:highlight w:val="none"/>
        </w:rPr>
        <w:t>提出质疑的日期。</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投标人为自然人的，应当由本人签字；投标人为法人或者其他组织的，应当由法定代表人、主要负责人，或者其授权代表签字或者盖章，并加盖公章。</w:t>
      </w:r>
    </w:p>
    <w:p>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《质疑函》及《授权委托书》格式见网址：</w:t>
      </w:r>
      <w:r>
        <w:rPr>
          <w:rFonts w:hint="eastAsia" w:ascii="Times New Roman" w:hAnsi="Times New Roman"/>
          <w:color w:val="auto"/>
          <w:szCs w:val="21"/>
          <w:highlight w:val="none"/>
          <w:lang w:eastAsia="zh-CN"/>
        </w:rPr>
        <w:t>http</w:t>
      </w:r>
      <w:r>
        <w:rPr>
          <w:rFonts w:hint="eastAsia" w:ascii="宋体" w:hAnsi="宋体"/>
          <w:color w:val="auto"/>
          <w:szCs w:val="21"/>
          <w:highlight w:val="none"/>
        </w:rPr>
        <w:t>://</w:t>
      </w:r>
      <w:r>
        <w:rPr>
          <w:rFonts w:hint="eastAsia" w:ascii="Times New Roman" w:hAnsi="Times New Roman"/>
          <w:color w:val="auto"/>
          <w:szCs w:val="21"/>
          <w:highlight w:val="none"/>
          <w:lang w:eastAsia="zh-CN"/>
        </w:rPr>
        <w:t>zfcg</w:t>
      </w:r>
      <w:r>
        <w:rPr>
          <w:rFonts w:hint="eastAsia" w:ascii="宋体" w:hAnsi="宋体"/>
          <w:color w:val="auto"/>
          <w:szCs w:val="21"/>
          <w:highlight w:val="none"/>
        </w:rPr>
        <w:t>.</w:t>
      </w:r>
      <w:r>
        <w:rPr>
          <w:rFonts w:hint="eastAsia" w:ascii="Times New Roman" w:hAnsi="Times New Roman"/>
          <w:color w:val="auto"/>
          <w:szCs w:val="21"/>
          <w:highlight w:val="none"/>
          <w:lang w:eastAsia="zh-CN"/>
        </w:rPr>
        <w:t>yangzhou</w:t>
      </w:r>
      <w:r>
        <w:rPr>
          <w:rFonts w:hint="eastAsia" w:ascii="宋体" w:hAnsi="宋体"/>
          <w:color w:val="auto"/>
          <w:szCs w:val="21"/>
          <w:highlight w:val="none"/>
        </w:rPr>
        <w:t>.</w:t>
      </w:r>
      <w:r>
        <w:rPr>
          <w:rFonts w:hint="eastAsia" w:ascii="Times New Roman" w:hAnsi="Times New Roman"/>
          <w:color w:val="auto"/>
          <w:szCs w:val="21"/>
          <w:highlight w:val="none"/>
          <w:lang w:eastAsia="zh-CN"/>
        </w:rPr>
        <w:t>gov</w:t>
      </w:r>
      <w:r>
        <w:rPr>
          <w:rFonts w:hint="eastAsia" w:ascii="宋体" w:hAnsi="宋体"/>
          <w:color w:val="auto"/>
          <w:szCs w:val="21"/>
          <w:highlight w:val="none"/>
        </w:rPr>
        <w:t>.</w:t>
      </w:r>
      <w:r>
        <w:rPr>
          <w:rFonts w:hint="eastAsia" w:ascii="Times New Roman" w:hAnsi="Times New Roman"/>
          <w:color w:val="auto"/>
          <w:szCs w:val="21"/>
          <w:highlight w:val="none"/>
          <w:lang w:eastAsia="zh-CN"/>
        </w:rPr>
        <w:t>cn</w:t>
      </w:r>
    </w:p>
    <w:p>
      <w:pPr>
        <w:spacing w:line="360" w:lineRule="auto"/>
        <w:ind w:firstLine="420" w:firstLineChars="200"/>
        <w:rPr>
          <w:rFonts w:ascii="宋体" w:hAnsi="宋体"/>
          <w:color w:val="auto"/>
          <w:szCs w:val="21"/>
          <w:highlight w:val="none"/>
        </w:rPr>
      </w:pPr>
      <w:r>
        <w:rPr>
          <w:rFonts w:hint="eastAsia" w:ascii="Times New Roman" w:hAnsi="Times New Roman"/>
          <w:color w:val="auto"/>
          <w:szCs w:val="21"/>
          <w:highlight w:val="none"/>
          <w:lang w:eastAsia="zh-CN"/>
        </w:rPr>
        <w:t>30</w:t>
      </w:r>
      <w:r>
        <w:rPr>
          <w:rFonts w:hint="eastAsia" w:ascii="宋体" w:hAnsi="宋体"/>
          <w:color w:val="auto"/>
          <w:szCs w:val="21"/>
          <w:highlight w:val="none"/>
        </w:rPr>
        <w:t>.</w:t>
      </w:r>
      <w:r>
        <w:rPr>
          <w:rFonts w:hint="eastAsia" w:ascii="Times New Roman" w:hAnsi="Times New Roman"/>
          <w:color w:val="auto"/>
          <w:szCs w:val="21"/>
          <w:highlight w:val="none"/>
          <w:lang w:eastAsia="zh-CN"/>
        </w:rPr>
        <w:t>5</w:t>
      </w:r>
      <w:r>
        <w:rPr>
          <w:rFonts w:hint="eastAsia" w:ascii="宋体" w:hAnsi="宋体"/>
          <w:color w:val="auto"/>
          <w:szCs w:val="21"/>
          <w:highlight w:val="none"/>
        </w:rPr>
        <w:t>代理机构收到质疑申请后，将对质疑的形式和内容进行审查，如质疑内容、格式不符合规定，代理机构将告知质疑人进行补正。</w:t>
      </w:r>
    </w:p>
    <w:p>
      <w:pPr>
        <w:spacing w:line="360" w:lineRule="auto"/>
        <w:ind w:firstLine="420" w:firstLineChars="200"/>
        <w:rPr>
          <w:rFonts w:ascii="宋体" w:hAnsi="宋体"/>
          <w:color w:val="auto"/>
          <w:szCs w:val="21"/>
          <w:highlight w:val="none"/>
        </w:rPr>
      </w:pPr>
      <w:r>
        <w:rPr>
          <w:rFonts w:hint="eastAsia" w:ascii="Times New Roman" w:hAnsi="Times New Roman"/>
          <w:color w:val="auto"/>
          <w:szCs w:val="21"/>
          <w:highlight w:val="none"/>
          <w:lang w:eastAsia="zh-CN"/>
        </w:rPr>
        <w:t>30</w:t>
      </w:r>
      <w:r>
        <w:rPr>
          <w:rFonts w:hint="eastAsia" w:ascii="宋体" w:hAnsi="宋体"/>
          <w:color w:val="auto"/>
          <w:szCs w:val="21"/>
          <w:highlight w:val="none"/>
        </w:rPr>
        <w:t>.</w:t>
      </w:r>
      <w:r>
        <w:rPr>
          <w:rFonts w:hint="eastAsia" w:ascii="Times New Roman" w:hAnsi="Times New Roman"/>
          <w:color w:val="auto"/>
          <w:szCs w:val="21"/>
          <w:highlight w:val="none"/>
          <w:lang w:eastAsia="zh-CN"/>
        </w:rPr>
        <w:t>6</w:t>
      </w:r>
      <w:r>
        <w:rPr>
          <w:rFonts w:hint="eastAsia" w:ascii="宋体" w:hAnsi="宋体"/>
          <w:color w:val="auto"/>
          <w:szCs w:val="21"/>
          <w:highlight w:val="none"/>
        </w:rPr>
        <w:t>质疑人应当在法定质疑期限内进行补正并重新提交质疑函。</w:t>
      </w:r>
    </w:p>
    <w:p>
      <w:pPr>
        <w:spacing w:line="360" w:lineRule="auto"/>
        <w:ind w:firstLine="420" w:firstLineChars="200"/>
        <w:rPr>
          <w:rFonts w:ascii="宋体" w:hAnsi="宋体"/>
          <w:color w:val="auto"/>
          <w:szCs w:val="21"/>
          <w:highlight w:val="none"/>
        </w:rPr>
      </w:pPr>
      <w:r>
        <w:rPr>
          <w:rFonts w:hint="eastAsia" w:ascii="Times New Roman" w:hAnsi="Times New Roman"/>
          <w:color w:val="auto"/>
          <w:szCs w:val="21"/>
          <w:highlight w:val="none"/>
          <w:lang w:eastAsia="zh-CN"/>
        </w:rPr>
        <w:t>30</w:t>
      </w:r>
      <w:r>
        <w:rPr>
          <w:rFonts w:hint="eastAsia" w:ascii="宋体" w:hAnsi="宋体"/>
          <w:color w:val="auto"/>
          <w:szCs w:val="21"/>
          <w:highlight w:val="none"/>
        </w:rPr>
        <w:t>.</w:t>
      </w:r>
      <w:r>
        <w:rPr>
          <w:rFonts w:hint="eastAsia" w:ascii="Times New Roman" w:hAnsi="Times New Roman"/>
          <w:color w:val="auto"/>
          <w:szCs w:val="21"/>
          <w:highlight w:val="none"/>
          <w:lang w:eastAsia="zh-CN"/>
        </w:rPr>
        <w:t>7</w:t>
      </w:r>
      <w:r>
        <w:rPr>
          <w:rFonts w:hint="eastAsia" w:ascii="宋体" w:hAnsi="宋体"/>
          <w:color w:val="auto"/>
          <w:szCs w:val="21"/>
          <w:highlight w:val="none"/>
        </w:rPr>
        <w:t>代理机构应当在收到投标人的书面质疑后七个工作日内作出答复，并以书面形式通知质疑投标人和其他有关投标人，但答复的内容不得涉及商业秘密。</w:t>
      </w:r>
    </w:p>
    <w:p>
      <w:pPr>
        <w:spacing w:line="360" w:lineRule="auto"/>
        <w:ind w:firstLine="420" w:firstLineChars="200"/>
        <w:rPr>
          <w:rFonts w:ascii="宋体" w:hAnsi="宋体"/>
          <w:color w:val="auto"/>
          <w:szCs w:val="21"/>
          <w:highlight w:val="none"/>
        </w:rPr>
      </w:pPr>
      <w:r>
        <w:rPr>
          <w:rFonts w:hint="eastAsia" w:ascii="Times New Roman" w:hAnsi="Times New Roman"/>
          <w:color w:val="auto"/>
          <w:szCs w:val="21"/>
          <w:highlight w:val="none"/>
          <w:lang w:eastAsia="zh-CN"/>
        </w:rPr>
        <w:t>30</w:t>
      </w:r>
      <w:r>
        <w:rPr>
          <w:rFonts w:hint="eastAsia" w:ascii="宋体" w:hAnsi="宋体"/>
          <w:color w:val="auto"/>
          <w:szCs w:val="21"/>
          <w:highlight w:val="none"/>
        </w:rPr>
        <w:t>.</w:t>
      </w:r>
      <w:r>
        <w:rPr>
          <w:rFonts w:hint="eastAsia" w:ascii="Times New Roman" w:hAnsi="Times New Roman"/>
          <w:color w:val="auto"/>
          <w:szCs w:val="21"/>
          <w:highlight w:val="none"/>
          <w:lang w:eastAsia="zh-CN"/>
        </w:rPr>
        <w:t>8</w:t>
      </w:r>
      <w:r>
        <w:rPr>
          <w:rFonts w:hint="eastAsia" w:ascii="宋体" w:hAnsi="宋体"/>
          <w:color w:val="auto"/>
          <w:szCs w:val="21"/>
          <w:highlight w:val="none"/>
        </w:rPr>
        <w:t xml:space="preserve"> 诚实信用</w:t>
      </w:r>
    </w:p>
    <w:p>
      <w:pPr>
        <w:spacing w:line="360" w:lineRule="auto"/>
        <w:ind w:firstLine="420" w:firstLineChars="200"/>
        <w:rPr>
          <w:rFonts w:ascii="宋体" w:hAnsi="宋体"/>
          <w:color w:val="auto"/>
          <w:szCs w:val="21"/>
          <w:highlight w:val="none"/>
        </w:rPr>
      </w:pPr>
      <w:r>
        <w:rPr>
          <w:rFonts w:hint="eastAsia" w:ascii="Times New Roman" w:hAnsi="Times New Roman"/>
          <w:color w:val="auto"/>
          <w:szCs w:val="21"/>
          <w:highlight w:val="none"/>
          <w:lang w:eastAsia="zh-CN"/>
        </w:rPr>
        <w:t>30</w:t>
      </w:r>
      <w:r>
        <w:rPr>
          <w:rFonts w:hint="eastAsia" w:ascii="宋体" w:hAnsi="宋体"/>
          <w:color w:val="auto"/>
          <w:szCs w:val="21"/>
          <w:highlight w:val="none"/>
        </w:rPr>
        <w:t>.</w:t>
      </w:r>
      <w:r>
        <w:rPr>
          <w:rFonts w:hint="eastAsia" w:ascii="Times New Roman" w:hAnsi="Times New Roman"/>
          <w:color w:val="auto"/>
          <w:szCs w:val="21"/>
          <w:highlight w:val="none"/>
          <w:lang w:eastAsia="zh-CN"/>
        </w:rPr>
        <w:t>8</w:t>
      </w:r>
      <w:r>
        <w:rPr>
          <w:rFonts w:hint="eastAsia" w:ascii="宋体" w:hAnsi="宋体"/>
          <w:color w:val="auto"/>
          <w:szCs w:val="21"/>
          <w:highlight w:val="none"/>
        </w:rPr>
        <w:t>.</w:t>
      </w:r>
      <w:r>
        <w:rPr>
          <w:rFonts w:hint="eastAsia" w:ascii="Times New Roman" w:hAnsi="Times New Roman"/>
          <w:color w:val="auto"/>
          <w:szCs w:val="21"/>
          <w:highlight w:val="none"/>
          <w:lang w:eastAsia="zh-CN"/>
        </w:rPr>
        <w:t>1</w:t>
      </w:r>
      <w:r>
        <w:rPr>
          <w:rFonts w:hint="eastAsia" w:ascii="宋体" w:hAnsi="宋体"/>
          <w:color w:val="auto"/>
          <w:szCs w:val="21"/>
          <w:highlight w:val="none"/>
        </w:rPr>
        <w:t xml:space="preserve"> 投标人之间不得相互串通投标报价，不得妨碍其他投标人的公平竞争，不得损害采购人和其他投标人的合法权益。</w:t>
      </w:r>
    </w:p>
    <w:p>
      <w:pPr>
        <w:spacing w:line="360" w:lineRule="auto"/>
        <w:ind w:firstLine="420" w:firstLineChars="200"/>
        <w:rPr>
          <w:rFonts w:ascii="宋体" w:hAnsi="宋体"/>
          <w:color w:val="auto"/>
          <w:szCs w:val="21"/>
          <w:highlight w:val="none"/>
        </w:rPr>
      </w:pPr>
      <w:r>
        <w:rPr>
          <w:rFonts w:hint="eastAsia" w:ascii="Times New Roman" w:hAnsi="Times New Roman"/>
          <w:color w:val="auto"/>
          <w:szCs w:val="21"/>
          <w:highlight w:val="none"/>
          <w:lang w:eastAsia="zh-CN"/>
        </w:rPr>
        <w:t>30</w:t>
      </w:r>
      <w:r>
        <w:rPr>
          <w:rFonts w:hint="eastAsia" w:ascii="宋体" w:hAnsi="宋体"/>
          <w:color w:val="auto"/>
          <w:szCs w:val="21"/>
          <w:highlight w:val="none"/>
        </w:rPr>
        <w:t>.</w:t>
      </w:r>
      <w:r>
        <w:rPr>
          <w:rFonts w:hint="eastAsia" w:ascii="Times New Roman" w:hAnsi="Times New Roman"/>
          <w:color w:val="auto"/>
          <w:szCs w:val="21"/>
          <w:highlight w:val="none"/>
          <w:lang w:eastAsia="zh-CN"/>
        </w:rPr>
        <w:t>8</w:t>
      </w:r>
      <w:r>
        <w:rPr>
          <w:rFonts w:hint="eastAsia" w:ascii="宋体" w:hAnsi="宋体"/>
          <w:color w:val="auto"/>
          <w:szCs w:val="21"/>
          <w:highlight w:val="none"/>
        </w:rPr>
        <w:t>.</w:t>
      </w:r>
      <w:r>
        <w:rPr>
          <w:rFonts w:hint="eastAsia" w:ascii="Times New Roman" w:hAnsi="Times New Roman"/>
          <w:color w:val="auto"/>
          <w:szCs w:val="21"/>
          <w:highlight w:val="none"/>
          <w:lang w:eastAsia="zh-CN"/>
        </w:rPr>
        <w:t>2</w:t>
      </w:r>
      <w:r>
        <w:rPr>
          <w:rFonts w:hint="eastAsia" w:ascii="宋体" w:hAnsi="宋体"/>
          <w:color w:val="auto"/>
          <w:szCs w:val="21"/>
          <w:highlight w:val="none"/>
        </w:rPr>
        <w:t xml:space="preserve"> 投标人不得以向代理机构工作人员、评标委员会成员行贿或者采取其他不正当手段谋取中标。经查实投标人有此行为的，政府采购管理部门将投标人列入不良行为记录名单，按照《政府采购法》有关规定处理。</w:t>
      </w:r>
    </w:p>
    <w:p>
      <w:pPr>
        <w:spacing w:line="360" w:lineRule="auto"/>
        <w:ind w:firstLine="420" w:firstLineChars="200"/>
        <w:rPr>
          <w:rFonts w:ascii="宋体" w:hAnsi="宋体"/>
          <w:color w:val="auto"/>
          <w:szCs w:val="21"/>
          <w:highlight w:val="none"/>
        </w:rPr>
      </w:pPr>
      <w:r>
        <w:rPr>
          <w:rFonts w:hint="eastAsia" w:ascii="Times New Roman" w:hAnsi="Times New Roman"/>
          <w:color w:val="auto"/>
          <w:szCs w:val="21"/>
          <w:highlight w:val="none"/>
          <w:lang w:eastAsia="zh-CN"/>
        </w:rPr>
        <w:t>30</w:t>
      </w:r>
      <w:r>
        <w:rPr>
          <w:rFonts w:hint="eastAsia" w:ascii="宋体" w:hAnsi="宋体"/>
          <w:color w:val="auto"/>
          <w:szCs w:val="21"/>
          <w:highlight w:val="none"/>
        </w:rPr>
        <w:t>.</w:t>
      </w:r>
      <w:r>
        <w:rPr>
          <w:rFonts w:hint="eastAsia" w:ascii="Times New Roman" w:hAnsi="Times New Roman"/>
          <w:color w:val="auto"/>
          <w:szCs w:val="21"/>
          <w:highlight w:val="none"/>
          <w:lang w:eastAsia="zh-CN"/>
        </w:rPr>
        <w:t>8</w:t>
      </w:r>
      <w:r>
        <w:rPr>
          <w:rFonts w:hint="eastAsia" w:ascii="宋体" w:hAnsi="宋体"/>
          <w:color w:val="auto"/>
          <w:szCs w:val="21"/>
          <w:highlight w:val="none"/>
        </w:rPr>
        <w:t>.</w:t>
      </w:r>
      <w:r>
        <w:rPr>
          <w:rFonts w:hint="eastAsia" w:ascii="Times New Roman" w:hAnsi="Times New Roman"/>
          <w:color w:val="auto"/>
          <w:szCs w:val="21"/>
          <w:highlight w:val="none"/>
          <w:lang w:eastAsia="zh-CN"/>
        </w:rPr>
        <w:t>3</w:t>
      </w:r>
      <w:r>
        <w:rPr>
          <w:rFonts w:hint="eastAsia" w:ascii="宋体" w:hAnsi="宋体"/>
          <w:color w:val="auto"/>
          <w:szCs w:val="21"/>
          <w:highlight w:val="none"/>
        </w:rPr>
        <w:t xml:space="preserve"> 投标人提出书面质疑必须有理、有据，不得虚假质疑和恶意质疑，并对质疑内容的真实性承担责任。一经查实，代理机构有权依据政府采购的有关规定，报请政府采购监管部门对该投标人进行相应的行政处罚并在网站上予以公示。如果投标人或者其他利害关系人通过捏造事实、伪造证明材料等方式提出质疑，干扰政府采购活动正常进行的，属于严重不良行为，代理机构将提请政府采购监管部门将其列入不良行为记录名单，并依法予以处罚。</w:t>
      </w:r>
    </w:p>
    <w:p>
      <w:pPr>
        <w:spacing w:line="360" w:lineRule="auto"/>
        <w:ind w:firstLine="420" w:firstLineChars="200"/>
        <w:rPr>
          <w:rFonts w:ascii="宋体" w:hAnsi="宋体"/>
          <w:color w:val="auto"/>
          <w:szCs w:val="21"/>
          <w:highlight w:val="none"/>
        </w:rPr>
      </w:pPr>
      <w:r>
        <w:rPr>
          <w:rFonts w:hint="eastAsia" w:ascii="Times New Roman" w:hAnsi="Times New Roman"/>
          <w:color w:val="auto"/>
          <w:szCs w:val="21"/>
          <w:highlight w:val="none"/>
          <w:lang w:eastAsia="zh-CN"/>
        </w:rPr>
        <w:t>30</w:t>
      </w:r>
      <w:r>
        <w:rPr>
          <w:rFonts w:hint="eastAsia" w:ascii="宋体" w:hAnsi="宋体"/>
          <w:color w:val="auto"/>
          <w:szCs w:val="21"/>
          <w:highlight w:val="none"/>
        </w:rPr>
        <w:t>.</w:t>
      </w:r>
      <w:r>
        <w:rPr>
          <w:rFonts w:hint="eastAsia" w:ascii="Times New Roman" w:hAnsi="Times New Roman"/>
          <w:color w:val="auto"/>
          <w:szCs w:val="21"/>
          <w:highlight w:val="none"/>
          <w:lang w:eastAsia="zh-CN"/>
        </w:rPr>
        <w:t>8</w:t>
      </w:r>
      <w:r>
        <w:rPr>
          <w:rFonts w:hint="eastAsia" w:ascii="宋体" w:hAnsi="宋体"/>
          <w:color w:val="auto"/>
          <w:szCs w:val="21"/>
          <w:highlight w:val="none"/>
        </w:rPr>
        <w:t>.</w:t>
      </w:r>
      <w:r>
        <w:rPr>
          <w:rFonts w:hint="eastAsia" w:ascii="Times New Roman" w:hAnsi="Times New Roman"/>
          <w:color w:val="auto"/>
          <w:szCs w:val="21"/>
          <w:highlight w:val="none"/>
          <w:lang w:eastAsia="zh-CN"/>
        </w:rPr>
        <w:t>4</w:t>
      </w:r>
      <w:r>
        <w:rPr>
          <w:rFonts w:hint="eastAsia" w:ascii="宋体" w:hAnsi="宋体"/>
          <w:color w:val="auto"/>
          <w:szCs w:val="21"/>
          <w:highlight w:val="none"/>
        </w:rPr>
        <w:t xml:space="preserve"> 投标人不得虚假承诺，否则，按照提供虚假材料谋取中标成交处理。</w:t>
      </w:r>
    </w:p>
    <w:p>
      <w:pPr>
        <w:spacing w:line="360" w:lineRule="auto"/>
        <w:ind w:firstLine="420" w:firstLineChars="200"/>
        <w:rPr>
          <w:rFonts w:ascii="宋体" w:hAnsi="宋体"/>
          <w:color w:val="auto"/>
          <w:szCs w:val="21"/>
          <w:highlight w:val="none"/>
        </w:rPr>
      </w:pPr>
      <w:r>
        <w:rPr>
          <w:rFonts w:hint="eastAsia" w:ascii="Times New Roman" w:hAnsi="Times New Roman"/>
          <w:color w:val="auto"/>
          <w:szCs w:val="21"/>
          <w:highlight w:val="none"/>
          <w:lang w:eastAsia="zh-CN"/>
        </w:rPr>
        <w:t>30</w:t>
      </w:r>
      <w:r>
        <w:rPr>
          <w:rFonts w:hint="eastAsia" w:ascii="宋体" w:hAnsi="宋体"/>
          <w:color w:val="auto"/>
          <w:szCs w:val="21"/>
          <w:highlight w:val="none"/>
        </w:rPr>
        <w:t>.</w:t>
      </w:r>
      <w:r>
        <w:rPr>
          <w:rFonts w:hint="eastAsia" w:ascii="Times New Roman" w:hAnsi="Times New Roman"/>
          <w:color w:val="auto"/>
          <w:szCs w:val="21"/>
          <w:highlight w:val="none"/>
          <w:lang w:eastAsia="zh-CN"/>
        </w:rPr>
        <w:t>8</w:t>
      </w:r>
      <w:r>
        <w:rPr>
          <w:rFonts w:hint="eastAsia" w:ascii="宋体" w:hAnsi="宋体"/>
          <w:color w:val="auto"/>
          <w:szCs w:val="21"/>
          <w:highlight w:val="none"/>
        </w:rPr>
        <w:t>．</w:t>
      </w:r>
      <w:r>
        <w:rPr>
          <w:rFonts w:hint="eastAsia" w:ascii="Times New Roman" w:hAnsi="Times New Roman"/>
          <w:color w:val="auto"/>
          <w:szCs w:val="21"/>
          <w:highlight w:val="none"/>
          <w:lang w:eastAsia="zh-CN"/>
        </w:rPr>
        <w:t>5</w:t>
      </w:r>
      <w:r>
        <w:rPr>
          <w:rFonts w:hint="eastAsia" w:ascii="宋体" w:hAnsi="宋体"/>
          <w:color w:val="auto"/>
          <w:szCs w:val="21"/>
          <w:highlight w:val="none"/>
        </w:rPr>
        <w:t xml:space="preserve"> 投标人应自觉遵守开标、评标纪律，扰乱开标评标现场秩序的，属于失信行为，根据《江苏省政府采购投标人监督管理暂行办法》，失信行为将被记入投标人诚信档案。   </w:t>
      </w:r>
    </w:p>
    <w:p>
      <w:pPr>
        <w:pStyle w:val="8"/>
        <w:tabs>
          <w:tab w:val="left" w:pos="0"/>
        </w:tabs>
        <w:spacing w:line="360" w:lineRule="auto"/>
        <w:rPr>
          <w:rFonts w:cs="宋体"/>
          <w:color w:val="auto"/>
          <w:sz w:val="21"/>
          <w:szCs w:val="21"/>
          <w:highlight w:val="none"/>
        </w:rPr>
      </w:pPr>
      <w:r>
        <w:rPr>
          <w:rFonts w:hint="eastAsia" w:ascii="Times New Roman" w:hAnsi="Times New Roman" w:cs="宋体"/>
          <w:color w:val="auto"/>
          <w:sz w:val="21"/>
          <w:szCs w:val="21"/>
          <w:highlight w:val="none"/>
          <w:lang w:eastAsia="zh-CN"/>
        </w:rPr>
        <w:t>31</w:t>
      </w:r>
      <w:r>
        <w:rPr>
          <w:rFonts w:hint="eastAsia" w:cs="宋体"/>
          <w:color w:val="auto"/>
          <w:sz w:val="21"/>
          <w:szCs w:val="21"/>
          <w:highlight w:val="none"/>
        </w:rPr>
        <w:t>、中标通知书</w:t>
      </w:r>
    </w:p>
    <w:p>
      <w:pPr>
        <w:spacing w:line="360" w:lineRule="auto"/>
        <w:ind w:firstLine="525" w:firstLineChars="250"/>
        <w:rPr>
          <w:rFonts w:ascii="宋体" w:hAnsi="宋体"/>
          <w:color w:val="auto"/>
          <w:szCs w:val="21"/>
          <w:highlight w:val="none"/>
        </w:rPr>
      </w:pPr>
      <w:r>
        <w:rPr>
          <w:rFonts w:hint="eastAsia" w:ascii="Times New Roman" w:hAnsi="Times New Roman"/>
          <w:color w:val="auto"/>
          <w:szCs w:val="21"/>
          <w:highlight w:val="none"/>
          <w:lang w:eastAsia="zh-CN"/>
        </w:rPr>
        <w:t>31</w:t>
      </w:r>
      <w:r>
        <w:rPr>
          <w:rFonts w:hint="eastAsia" w:ascii="宋体" w:hAnsi="宋体"/>
          <w:color w:val="auto"/>
          <w:szCs w:val="21"/>
          <w:highlight w:val="none"/>
        </w:rPr>
        <w:t>.</w:t>
      </w:r>
      <w:r>
        <w:rPr>
          <w:rFonts w:hint="eastAsia" w:ascii="Times New Roman" w:hAnsi="Times New Roman"/>
          <w:color w:val="auto"/>
          <w:szCs w:val="21"/>
          <w:highlight w:val="none"/>
          <w:lang w:eastAsia="zh-CN"/>
        </w:rPr>
        <w:t>l</w:t>
      </w:r>
      <w:r>
        <w:rPr>
          <w:rFonts w:hint="eastAsia" w:ascii="宋体" w:hAnsi="宋体"/>
          <w:color w:val="auto"/>
          <w:szCs w:val="21"/>
          <w:highlight w:val="none"/>
        </w:rPr>
        <w:t>中标结果确定后，代理机构将向中标投标人发出中标通知书。</w:t>
      </w:r>
    </w:p>
    <w:p>
      <w:pPr>
        <w:spacing w:line="360" w:lineRule="auto"/>
        <w:ind w:firstLine="525" w:firstLineChars="250"/>
        <w:rPr>
          <w:rFonts w:ascii="宋体" w:hAnsi="宋体"/>
          <w:color w:val="auto"/>
          <w:szCs w:val="21"/>
          <w:highlight w:val="none"/>
        </w:rPr>
      </w:pPr>
      <w:r>
        <w:rPr>
          <w:rFonts w:hint="eastAsia" w:ascii="Times New Roman" w:hAnsi="Times New Roman"/>
          <w:color w:val="auto"/>
          <w:szCs w:val="21"/>
          <w:highlight w:val="none"/>
          <w:lang w:eastAsia="zh-CN"/>
        </w:rPr>
        <w:t>31</w:t>
      </w:r>
      <w:r>
        <w:rPr>
          <w:rFonts w:hint="eastAsia" w:ascii="宋体" w:hAnsi="宋体"/>
          <w:color w:val="auto"/>
          <w:szCs w:val="21"/>
          <w:highlight w:val="none"/>
        </w:rPr>
        <w:t>.</w:t>
      </w:r>
      <w:r>
        <w:rPr>
          <w:rFonts w:hint="eastAsia" w:ascii="Times New Roman" w:hAnsi="Times New Roman"/>
          <w:color w:val="auto"/>
          <w:szCs w:val="21"/>
          <w:highlight w:val="none"/>
          <w:lang w:eastAsia="zh-CN"/>
        </w:rPr>
        <w:t>2</w:t>
      </w:r>
      <w:r>
        <w:rPr>
          <w:rFonts w:hint="eastAsia" w:ascii="宋体" w:hAnsi="宋体"/>
          <w:color w:val="auto"/>
          <w:szCs w:val="21"/>
          <w:highlight w:val="none"/>
        </w:rPr>
        <w:t xml:space="preserve"> 中标投标人收到中标通知书后，应签字确认中标通知书已收到。若无回复，则公告后视同中标投标人已经知悉并同意接受。</w:t>
      </w:r>
    </w:p>
    <w:p>
      <w:pPr>
        <w:spacing w:line="360" w:lineRule="auto"/>
        <w:ind w:firstLine="525" w:firstLineChars="250"/>
        <w:rPr>
          <w:rFonts w:ascii="宋体" w:hAnsi="宋体"/>
          <w:color w:val="auto"/>
          <w:szCs w:val="21"/>
          <w:highlight w:val="none"/>
        </w:rPr>
      </w:pPr>
      <w:r>
        <w:rPr>
          <w:rFonts w:hint="eastAsia" w:ascii="Times New Roman" w:hAnsi="Times New Roman"/>
          <w:color w:val="auto"/>
          <w:szCs w:val="21"/>
          <w:highlight w:val="none"/>
          <w:lang w:eastAsia="zh-CN"/>
        </w:rPr>
        <w:t>31</w:t>
      </w:r>
      <w:r>
        <w:rPr>
          <w:rFonts w:hint="eastAsia" w:ascii="宋体" w:hAnsi="宋体"/>
          <w:color w:val="auto"/>
          <w:szCs w:val="21"/>
          <w:highlight w:val="none"/>
        </w:rPr>
        <w:t>.</w:t>
      </w:r>
      <w:r>
        <w:rPr>
          <w:rFonts w:hint="eastAsia" w:ascii="Times New Roman" w:hAnsi="Times New Roman"/>
          <w:color w:val="auto"/>
          <w:szCs w:val="21"/>
          <w:highlight w:val="none"/>
          <w:lang w:eastAsia="zh-CN"/>
        </w:rPr>
        <w:t>3</w:t>
      </w:r>
      <w:r>
        <w:rPr>
          <w:rFonts w:hint="eastAsia" w:ascii="宋体" w:hAnsi="宋体"/>
          <w:color w:val="auto"/>
          <w:szCs w:val="21"/>
          <w:highlight w:val="none"/>
        </w:rPr>
        <w:t>中标通知书将是合同的一个组成部分。对采购人和中标投标人均具有法律效力。中标通知书发出后，采购人改变中标结果的，或者中标投标人放弃中标项目的，应当依法承担法律责任。</w:t>
      </w:r>
    </w:p>
    <w:p>
      <w:pPr>
        <w:spacing w:line="360" w:lineRule="auto"/>
        <w:ind w:firstLine="525" w:firstLineChars="250"/>
        <w:rPr>
          <w:rFonts w:ascii="宋体" w:hAnsi="宋体"/>
          <w:color w:val="auto"/>
          <w:szCs w:val="21"/>
          <w:highlight w:val="none"/>
        </w:rPr>
      </w:pPr>
      <w:r>
        <w:rPr>
          <w:rFonts w:hint="eastAsia" w:ascii="Times New Roman" w:hAnsi="Times New Roman"/>
          <w:color w:val="auto"/>
          <w:szCs w:val="21"/>
          <w:highlight w:val="none"/>
          <w:lang w:eastAsia="zh-CN"/>
        </w:rPr>
        <w:t>31</w:t>
      </w:r>
      <w:r>
        <w:rPr>
          <w:rFonts w:hint="eastAsia" w:ascii="宋体" w:hAnsi="宋体"/>
          <w:color w:val="auto"/>
          <w:szCs w:val="21"/>
          <w:highlight w:val="none"/>
        </w:rPr>
        <w:t>.</w:t>
      </w:r>
      <w:r>
        <w:rPr>
          <w:rFonts w:hint="eastAsia" w:ascii="Times New Roman" w:hAnsi="Times New Roman"/>
          <w:color w:val="auto"/>
          <w:szCs w:val="21"/>
          <w:highlight w:val="none"/>
          <w:lang w:eastAsia="zh-CN"/>
        </w:rPr>
        <w:t>4</w:t>
      </w:r>
      <w:r>
        <w:rPr>
          <w:rFonts w:hint="eastAsia" w:ascii="宋体" w:hAnsi="宋体"/>
          <w:color w:val="auto"/>
          <w:szCs w:val="21"/>
          <w:highlight w:val="none"/>
        </w:rPr>
        <w:t>所有投标文件都将作为档案保存，不论中标与否，代理机构均不退回。</w:t>
      </w:r>
    </w:p>
    <w:p>
      <w:pPr>
        <w:pStyle w:val="8"/>
        <w:tabs>
          <w:tab w:val="left" w:pos="0"/>
        </w:tabs>
        <w:spacing w:line="360" w:lineRule="auto"/>
        <w:rPr>
          <w:rFonts w:cs="宋体"/>
          <w:color w:val="auto"/>
          <w:sz w:val="21"/>
          <w:szCs w:val="21"/>
          <w:highlight w:val="none"/>
        </w:rPr>
      </w:pPr>
      <w:bookmarkStart w:id="126" w:name="_Toc16938553"/>
      <w:bookmarkStart w:id="127" w:name="_Toc513029237"/>
      <w:bookmarkStart w:id="128" w:name="_Toc20823309"/>
      <w:r>
        <w:rPr>
          <w:rFonts w:hint="eastAsia" w:ascii="Times New Roman" w:hAnsi="Times New Roman" w:cs="宋体"/>
          <w:color w:val="auto"/>
          <w:sz w:val="21"/>
          <w:szCs w:val="21"/>
          <w:highlight w:val="none"/>
          <w:lang w:eastAsia="zh-CN"/>
        </w:rPr>
        <w:t>32</w:t>
      </w:r>
      <w:r>
        <w:rPr>
          <w:rFonts w:hint="eastAsia" w:cs="宋体"/>
          <w:color w:val="auto"/>
          <w:sz w:val="21"/>
          <w:szCs w:val="21"/>
          <w:highlight w:val="none"/>
        </w:rPr>
        <w:t>、签订合同</w:t>
      </w:r>
    </w:p>
    <w:p>
      <w:pPr>
        <w:spacing w:line="360" w:lineRule="auto"/>
        <w:ind w:firstLine="525" w:firstLineChars="250"/>
        <w:rPr>
          <w:rFonts w:ascii="宋体" w:hAnsi="宋体"/>
          <w:color w:val="auto"/>
          <w:szCs w:val="21"/>
          <w:highlight w:val="none"/>
        </w:rPr>
      </w:pPr>
      <w:r>
        <w:rPr>
          <w:rFonts w:hint="eastAsia" w:ascii="Times New Roman" w:hAnsi="Times New Roman"/>
          <w:bCs/>
          <w:color w:val="auto"/>
          <w:szCs w:val="21"/>
          <w:highlight w:val="none"/>
          <w:lang w:eastAsia="zh-CN"/>
        </w:rPr>
        <w:t>32</w:t>
      </w:r>
      <w:r>
        <w:rPr>
          <w:rFonts w:hint="eastAsia" w:ascii="宋体" w:hAnsi="宋体"/>
          <w:color w:val="auto"/>
          <w:szCs w:val="21"/>
          <w:highlight w:val="none"/>
        </w:rPr>
        <w:t>.</w:t>
      </w:r>
      <w:r>
        <w:rPr>
          <w:rFonts w:hint="eastAsia" w:ascii="Times New Roman" w:hAnsi="Times New Roman"/>
          <w:color w:val="auto"/>
          <w:szCs w:val="21"/>
          <w:highlight w:val="none"/>
          <w:lang w:eastAsia="zh-CN"/>
        </w:rPr>
        <w:t>l</w:t>
      </w:r>
      <w:r>
        <w:rPr>
          <w:rFonts w:hint="eastAsia" w:ascii="宋体" w:hAnsi="宋体"/>
          <w:color w:val="auto"/>
          <w:szCs w:val="21"/>
          <w:highlight w:val="none"/>
        </w:rPr>
        <w:t>中标投标人应按中标通知书规定的时间、地点,按照采购文件确定的事项与采购人签订政府采购合同，且不得迟于中标通知书发出之日起</w:t>
      </w:r>
      <w:r>
        <w:rPr>
          <w:rFonts w:hint="eastAsia" w:ascii="宋体" w:hAnsi="宋体"/>
          <w:color w:val="auto"/>
          <w:szCs w:val="21"/>
          <w:highlight w:val="none"/>
          <w:lang w:val="en-US" w:eastAsia="zh-CN"/>
        </w:rPr>
        <w:t>十五</w:t>
      </w:r>
      <w:r>
        <w:rPr>
          <w:rFonts w:hint="eastAsia" w:ascii="宋体" w:hAnsi="宋体"/>
          <w:color w:val="auto"/>
          <w:szCs w:val="21"/>
          <w:highlight w:val="none"/>
        </w:rPr>
        <w:t>日，否则中标投标人应承担赔偿责任。由此给采购人造成损失的，中标投标人还应承担赔偿责任。</w:t>
      </w:r>
    </w:p>
    <w:p>
      <w:pPr>
        <w:spacing w:line="360" w:lineRule="auto"/>
        <w:ind w:firstLine="525" w:firstLineChars="250"/>
        <w:rPr>
          <w:rFonts w:ascii="宋体" w:hAnsi="宋体"/>
          <w:color w:val="auto"/>
          <w:szCs w:val="21"/>
          <w:highlight w:val="none"/>
        </w:rPr>
      </w:pPr>
      <w:r>
        <w:rPr>
          <w:rFonts w:hint="eastAsia" w:ascii="Times New Roman" w:hAnsi="Times New Roman"/>
          <w:color w:val="auto"/>
          <w:szCs w:val="21"/>
          <w:highlight w:val="none"/>
          <w:lang w:eastAsia="zh-CN"/>
        </w:rPr>
        <w:t>32</w:t>
      </w:r>
      <w:r>
        <w:rPr>
          <w:rFonts w:hint="eastAsia" w:ascii="宋体" w:hAnsi="宋体"/>
          <w:color w:val="auto"/>
          <w:szCs w:val="21"/>
          <w:highlight w:val="none"/>
        </w:rPr>
        <w:t>.</w:t>
      </w:r>
      <w:r>
        <w:rPr>
          <w:rFonts w:hint="eastAsia" w:ascii="Times New Roman" w:hAnsi="Times New Roman"/>
          <w:color w:val="auto"/>
          <w:szCs w:val="21"/>
          <w:highlight w:val="none"/>
          <w:lang w:eastAsia="zh-CN"/>
        </w:rPr>
        <w:t>2</w:t>
      </w:r>
      <w:r>
        <w:rPr>
          <w:rFonts w:hint="eastAsia" w:ascii="宋体" w:hAnsi="宋体"/>
          <w:color w:val="auto"/>
          <w:szCs w:val="21"/>
          <w:highlight w:val="none"/>
        </w:rPr>
        <w:t>采购文件、中标投标人的投标文件及采购过程中有关澄清、承诺文件均应作为合同附件。</w:t>
      </w:r>
    </w:p>
    <w:p>
      <w:pPr>
        <w:spacing w:line="360" w:lineRule="auto"/>
        <w:ind w:firstLine="525" w:firstLineChars="250"/>
        <w:rPr>
          <w:rFonts w:ascii="宋体" w:hAnsi="宋体"/>
          <w:color w:val="auto"/>
          <w:szCs w:val="21"/>
          <w:highlight w:val="none"/>
        </w:rPr>
      </w:pPr>
      <w:r>
        <w:rPr>
          <w:rFonts w:hint="eastAsia" w:ascii="Times New Roman" w:hAnsi="Times New Roman"/>
          <w:color w:val="auto"/>
          <w:szCs w:val="21"/>
          <w:highlight w:val="none"/>
          <w:lang w:eastAsia="zh-CN"/>
        </w:rPr>
        <w:t>32</w:t>
      </w:r>
      <w:r>
        <w:rPr>
          <w:rFonts w:hint="eastAsia" w:ascii="宋体" w:hAnsi="宋体"/>
          <w:color w:val="auto"/>
          <w:szCs w:val="21"/>
          <w:highlight w:val="none"/>
        </w:rPr>
        <w:t>.</w:t>
      </w:r>
      <w:r>
        <w:rPr>
          <w:rFonts w:hint="eastAsia" w:ascii="Times New Roman" w:hAnsi="Times New Roman"/>
          <w:color w:val="auto"/>
          <w:szCs w:val="21"/>
          <w:highlight w:val="none"/>
          <w:lang w:eastAsia="zh-CN"/>
        </w:rPr>
        <w:t>3</w:t>
      </w:r>
      <w:r>
        <w:rPr>
          <w:rFonts w:hint="eastAsia" w:ascii="宋体" w:hAnsi="宋体"/>
          <w:color w:val="auto"/>
          <w:szCs w:val="21"/>
          <w:highlight w:val="none"/>
        </w:rPr>
        <w:t xml:space="preserve"> 签订合同后，</w:t>
      </w:r>
      <w:r>
        <w:rPr>
          <w:rFonts w:hint="eastAsia" w:ascii="宋体" w:hAnsi="宋体"/>
          <w:i/>
          <w:color w:val="auto"/>
          <w:szCs w:val="21"/>
          <w:highlight w:val="none"/>
          <w:u w:val="single"/>
        </w:rPr>
        <w:t>中标投标人不得将货物及其他相关服务进行转包</w:t>
      </w:r>
      <w:r>
        <w:rPr>
          <w:rFonts w:hint="eastAsia" w:ascii="宋体" w:hAnsi="宋体"/>
          <w:color w:val="auto"/>
          <w:szCs w:val="21"/>
          <w:highlight w:val="none"/>
        </w:rPr>
        <w:t>。未经采购人同意，中标投标人也不得采用分包的形式履行合同，否则采购人有权终止合同，中标投标人应承担赔偿责任。转包或分包造成采购人损失或致使合同履行中发生违约现象的，中标投标人应承担赔偿责任。</w:t>
      </w:r>
    </w:p>
    <w:p>
      <w:pPr>
        <w:spacing w:line="360" w:lineRule="auto"/>
        <w:ind w:firstLine="525" w:firstLineChars="250"/>
        <w:rPr>
          <w:rFonts w:ascii="宋体" w:hAnsi="宋体"/>
          <w:color w:val="auto"/>
          <w:szCs w:val="21"/>
          <w:highlight w:val="none"/>
        </w:rPr>
      </w:pPr>
      <w:r>
        <w:rPr>
          <w:rFonts w:hint="eastAsia" w:ascii="Times New Roman" w:hAnsi="Times New Roman"/>
          <w:color w:val="auto"/>
          <w:szCs w:val="21"/>
          <w:highlight w:val="none"/>
          <w:lang w:eastAsia="zh-CN"/>
        </w:rPr>
        <w:t>32</w:t>
      </w:r>
      <w:r>
        <w:rPr>
          <w:rFonts w:hint="eastAsia" w:ascii="宋体" w:hAnsi="宋体"/>
          <w:color w:val="auto"/>
          <w:szCs w:val="21"/>
          <w:highlight w:val="none"/>
        </w:rPr>
        <w:t>.</w:t>
      </w:r>
      <w:r>
        <w:rPr>
          <w:rFonts w:hint="eastAsia" w:ascii="Times New Roman" w:hAnsi="Times New Roman"/>
          <w:color w:val="auto"/>
          <w:szCs w:val="21"/>
          <w:highlight w:val="none"/>
          <w:lang w:eastAsia="zh-CN"/>
        </w:rPr>
        <w:t>4</w:t>
      </w:r>
      <w:r>
        <w:rPr>
          <w:rFonts w:hint="eastAsia" w:ascii="宋体" w:hAnsi="宋体"/>
          <w:color w:val="auto"/>
          <w:szCs w:val="21"/>
          <w:highlight w:val="none"/>
        </w:rPr>
        <w:t>采购人不得向中标人提出任何不合理的要求作为签订合同的条件，不得与中标人私下订立背离合同实质性内容的协议。所签订的合同不得对采购文件确定事项和中标人投标文件作实质性修改。</w:t>
      </w:r>
    </w:p>
    <w:p>
      <w:pPr>
        <w:pStyle w:val="8"/>
        <w:tabs>
          <w:tab w:val="left" w:pos="0"/>
        </w:tabs>
        <w:spacing w:line="360" w:lineRule="auto"/>
        <w:rPr>
          <w:rFonts w:cs="宋体"/>
          <w:color w:val="auto"/>
          <w:sz w:val="21"/>
          <w:szCs w:val="21"/>
          <w:highlight w:val="none"/>
        </w:rPr>
      </w:pPr>
      <w:r>
        <w:rPr>
          <w:rFonts w:hint="eastAsia" w:ascii="Times New Roman" w:hAnsi="Times New Roman" w:cs="宋体"/>
          <w:color w:val="auto"/>
          <w:sz w:val="21"/>
          <w:szCs w:val="21"/>
          <w:highlight w:val="none"/>
          <w:lang w:eastAsia="zh-CN"/>
        </w:rPr>
        <w:t>33</w:t>
      </w:r>
      <w:r>
        <w:rPr>
          <w:rFonts w:hint="eastAsia" w:cs="宋体"/>
          <w:color w:val="auto"/>
          <w:sz w:val="21"/>
          <w:szCs w:val="21"/>
          <w:highlight w:val="none"/>
        </w:rPr>
        <w:t>、货物和服务的追加、减少和添购</w:t>
      </w:r>
    </w:p>
    <w:p>
      <w:pPr>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ascii="宋体" w:hAnsi="宋体"/>
          <w:color w:val="auto"/>
          <w:szCs w:val="21"/>
          <w:highlight w:val="none"/>
        </w:rPr>
      </w:pPr>
      <w:r>
        <w:rPr>
          <w:rFonts w:hint="eastAsia" w:ascii="Times New Roman" w:hAnsi="Times New Roman"/>
          <w:color w:val="auto"/>
          <w:szCs w:val="21"/>
          <w:highlight w:val="none"/>
          <w:lang w:eastAsia="zh-CN"/>
        </w:rPr>
        <w:t>33</w:t>
      </w:r>
      <w:r>
        <w:rPr>
          <w:rFonts w:hint="eastAsia" w:ascii="宋体" w:hAnsi="宋体"/>
          <w:color w:val="auto"/>
          <w:szCs w:val="21"/>
          <w:highlight w:val="none"/>
        </w:rPr>
        <w:t>.</w:t>
      </w:r>
      <w:r>
        <w:rPr>
          <w:rFonts w:hint="eastAsia" w:ascii="Times New Roman" w:hAnsi="Times New Roman"/>
          <w:color w:val="auto"/>
          <w:szCs w:val="21"/>
          <w:highlight w:val="none"/>
          <w:lang w:eastAsia="zh-CN"/>
        </w:rPr>
        <w:t>1</w:t>
      </w:r>
      <w:r>
        <w:rPr>
          <w:rFonts w:hint="eastAsia" w:ascii="宋体" w:hAnsi="宋体"/>
          <w:color w:val="auto"/>
          <w:szCs w:val="21"/>
          <w:highlight w:val="none"/>
        </w:rPr>
        <w:t>政府采购合同履行中，采购人需追加与合同标的相同的货物和服务的，在不改变合同其他条款的前提下，可以与中标投标人协商签订补充合同，但所有补充合同的采购金额不超过原合同金额</w:t>
      </w:r>
      <w:r>
        <w:rPr>
          <w:rFonts w:hint="eastAsia" w:ascii="Times New Roman" w:hAnsi="Times New Roman"/>
          <w:color w:val="auto"/>
          <w:szCs w:val="21"/>
          <w:highlight w:val="none"/>
          <w:lang w:eastAsia="zh-CN"/>
        </w:rPr>
        <w:t>10</w:t>
      </w:r>
      <w:r>
        <w:rPr>
          <w:rFonts w:hint="eastAsia" w:ascii="宋体" w:hAnsi="宋体"/>
          <w:color w:val="auto"/>
          <w:szCs w:val="21"/>
          <w:highlight w:val="none"/>
        </w:rPr>
        <w:t>%。</w:t>
      </w:r>
    </w:p>
    <w:p>
      <w:pPr>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ascii="宋体" w:hAnsi="宋体"/>
          <w:b/>
          <w:color w:val="auto"/>
          <w:szCs w:val="21"/>
          <w:highlight w:val="none"/>
        </w:rPr>
      </w:pPr>
      <w:r>
        <w:rPr>
          <w:rFonts w:hint="eastAsia" w:ascii="Times New Roman" w:hAnsi="Times New Roman"/>
          <w:color w:val="auto"/>
          <w:szCs w:val="21"/>
          <w:highlight w:val="none"/>
          <w:lang w:eastAsia="zh-CN"/>
        </w:rPr>
        <w:t>33</w:t>
      </w:r>
      <w:r>
        <w:rPr>
          <w:rFonts w:hint="eastAsia" w:ascii="宋体" w:hAnsi="宋体"/>
          <w:color w:val="auto"/>
          <w:szCs w:val="21"/>
          <w:highlight w:val="none"/>
        </w:rPr>
        <w:t>.</w:t>
      </w:r>
      <w:r>
        <w:rPr>
          <w:rFonts w:hint="eastAsia" w:ascii="Times New Roman" w:hAnsi="Times New Roman"/>
          <w:color w:val="auto"/>
          <w:szCs w:val="21"/>
          <w:highlight w:val="none"/>
          <w:lang w:eastAsia="zh-CN"/>
        </w:rPr>
        <w:t>2</w:t>
      </w:r>
      <w:r>
        <w:rPr>
          <w:rFonts w:hint="eastAsia" w:ascii="宋体" w:hAnsi="宋体"/>
          <w:color w:val="auto"/>
          <w:szCs w:val="21"/>
          <w:highlight w:val="none"/>
        </w:rPr>
        <w:t>采购结束后，采购人若由于各种客观原因，必须对采购项目所牵涉的货物和服务进行适当的减少时，在双方协商一致的前提下，可以按照采购采购时的价格水平做相应的调减，并据此签订补充合同。</w:t>
      </w:r>
    </w:p>
    <w:p>
      <w:pPr>
        <w:pageBreakBefore w:val="0"/>
        <w:widowControl w:val="0"/>
        <w:tabs>
          <w:tab w:val="left" w:pos="0"/>
        </w:tabs>
        <w:kinsoku/>
        <w:wordWrap/>
        <w:overflowPunct/>
        <w:topLinePunct w:val="0"/>
        <w:autoSpaceDE/>
        <w:autoSpaceDN/>
        <w:bidi w:val="0"/>
        <w:adjustRightInd/>
        <w:snapToGrid/>
        <w:spacing w:line="360" w:lineRule="auto"/>
        <w:textAlignment w:val="auto"/>
        <w:outlineLvl w:val="9"/>
        <w:rPr>
          <w:rFonts w:cs="宋体"/>
          <w:color w:val="auto"/>
          <w:sz w:val="21"/>
          <w:szCs w:val="21"/>
          <w:highlight w:val="none"/>
        </w:rPr>
      </w:pPr>
      <w:r>
        <w:rPr>
          <w:rFonts w:hint="eastAsia" w:ascii="Times New Roman" w:hAnsi="Times New Roman" w:cs="宋体"/>
          <w:color w:val="auto"/>
          <w:sz w:val="21"/>
          <w:szCs w:val="21"/>
          <w:highlight w:val="none"/>
          <w:lang w:eastAsia="zh-CN"/>
        </w:rPr>
        <w:t>34</w:t>
      </w:r>
      <w:r>
        <w:rPr>
          <w:rFonts w:hint="eastAsia" w:cs="宋体"/>
          <w:color w:val="auto"/>
          <w:sz w:val="21"/>
          <w:szCs w:val="21"/>
          <w:highlight w:val="none"/>
        </w:rPr>
        <w:t>、履约保证金</w:t>
      </w:r>
    </w:p>
    <w:bookmarkEnd w:id="126"/>
    <w:bookmarkEnd w:id="127"/>
    <w:bookmarkEnd w:id="128"/>
    <w:p>
      <w:pPr>
        <w:pageBreakBefore w:val="0"/>
        <w:widowControl w:val="0"/>
        <w:kinsoku/>
        <w:wordWrap/>
        <w:overflowPunct/>
        <w:topLinePunct w:val="0"/>
        <w:autoSpaceDE/>
        <w:autoSpaceDN/>
        <w:bidi w:val="0"/>
        <w:adjustRightInd/>
        <w:snapToGrid/>
        <w:spacing w:before="0" w:after="0" w:line="360" w:lineRule="auto"/>
        <w:ind w:firstLine="420" w:firstLineChars="200"/>
        <w:jc w:val="left"/>
        <w:textAlignment w:val="auto"/>
        <w:outlineLvl w:val="9"/>
        <w:rPr>
          <w:rFonts w:ascii="宋体" w:hAnsi="宋体" w:cs="宋体"/>
          <w:b w:val="0"/>
          <w:bCs w:val="0"/>
          <w:color w:val="auto"/>
          <w:sz w:val="21"/>
          <w:szCs w:val="21"/>
          <w:highlight w:val="none"/>
        </w:rPr>
      </w:pPr>
      <w:bookmarkStart w:id="129" w:name="_Toc25422"/>
      <w:r>
        <w:rPr>
          <w:rFonts w:hint="eastAsia" w:ascii="Times New Roman" w:hAnsi="Times New Roman" w:cs="宋体"/>
          <w:b w:val="0"/>
          <w:bCs w:val="0"/>
          <w:color w:val="auto"/>
          <w:sz w:val="21"/>
          <w:szCs w:val="21"/>
          <w:highlight w:val="none"/>
          <w:lang w:eastAsia="zh-CN"/>
        </w:rPr>
        <w:t>34</w:t>
      </w:r>
      <w:r>
        <w:rPr>
          <w:rFonts w:hint="eastAsia" w:ascii="宋体" w:hAnsi="宋体" w:cs="宋体"/>
          <w:b w:val="0"/>
          <w:bCs w:val="0"/>
          <w:color w:val="auto"/>
          <w:sz w:val="21"/>
          <w:szCs w:val="21"/>
          <w:highlight w:val="none"/>
        </w:rPr>
        <w:t>.</w:t>
      </w:r>
      <w:r>
        <w:rPr>
          <w:rFonts w:hint="eastAsia" w:ascii="Times New Roman" w:hAnsi="Times New Roman" w:cs="宋体"/>
          <w:b w:val="0"/>
          <w:bCs w:val="0"/>
          <w:color w:val="auto"/>
          <w:sz w:val="21"/>
          <w:szCs w:val="21"/>
          <w:highlight w:val="none"/>
          <w:lang w:eastAsia="zh-CN"/>
        </w:rPr>
        <w:t>1</w:t>
      </w:r>
      <w:r>
        <w:rPr>
          <w:rFonts w:hint="eastAsia" w:ascii="宋体" w:hAnsi="宋体" w:cs="宋体"/>
          <w:b w:val="0"/>
          <w:bCs w:val="0"/>
          <w:color w:val="auto"/>
          <w:sz w:val="21"/>
          <w:szCs w:val="21"/>
          <w:highlight w:val="none"/>
        </w:rPr>
        <w:t>中标供应商</w:t>
      </w:r>
      <w:r>
        <w:rPr>
          <w:rFonts w:hint="eastAsia" w:ascii="宋体" w:hAnsi="宋体" w:cs="宋体"/>
          <w:b w:val="0"/>
          <w:bCs w:val="0"/>
          <w:color w:val="auto"/>
          <w:sz w:val="21"/>
          <w:szCs w:val="21"/>
          <w:highlight w:val="none"/>
          <w:lang w:val="en-US" w:eastAsia="zh-CN"/>
        </w:rPr>
        <w:t>应当在</w:t>
      </w:r>
      <w:r>
        <w:rPr>
          <w:color w:val="auto"/>
          <w:highlight w:val="none"/>
          <w:lang w:eastAsia="zh-CN"/>
        </w:rPr>
        <w:t xml:space="preserve">签订合同后 </w:t>
      </w:r>
      <w:r>
        <w:rPr>
          <w:rFonts w:hint="eastAsia" w:ascii="Times New Roman" w:hAnsi="Times New Roman"/>
          <w:color w:val="auto"/>
          <w:highlight w:val="none"/>
          <w:lang w:eastAsia="zh-CN"/>
        </w:rPr>
        <w:t>10</w:t>
      </w:r>
      <w:r>
        <w:rPr>
          <w:color w:val="auto"/>
          <w:highlight w:val="none"/>
          <w:lang w:eastAsia="zh-CN"/>
        </w:rPr>
        <w:t xml:space="preserve"> 日内，向甲方提交履约保证金【</w:t>
      </w:r>
      <w:r>
        <w:rPr>
          <w:rFonts w:hint="eastAsia"/>
          <w:color w:val="auto"/>
          <w:highlight w:val="none"/>
          <w:lang w:val="en-US" w:eastAsia="zh-CN"/>
        </w:rPr>
        <w:t>伍佰</w:t>
      </w:r>
      <w:r>
        <w:rPr>
          <w:color w:val="auto"/>
          <w:highlight w:val="none"/>
          <w:lang w:eastAsia="zh-CN"/>
        </w:rPr>
        <w:t>】万元整（</w:t>
      </w:r>
      <w:r>
        <w:rPr>
          <w:rFonts w:hint="eastAsia" w:ascii="Times New Roman" w:hAnsi="Times New Roman"/>
          <w:color w:val="auto"/>
          <w:highlight w:val="none"/>
          <w:lang w:eastAsia="zh-CN"/>
        </w:rPr>
        <w:t>RMB</w:t>
      </w:r>
      <w:r>
        <w:rPr>
          <w:rFonts w:hint="eastAsia" w:ascii="Times New Roman" w:hAnsi="Times New Roman"/>
          <w:color w:val="auto"/>
          <w:highlight w:val="none"/>
          <w:lang w:val="en-US" w:eastAsia="zh-CN"/>
        </w:rPr>
        <w:t>500</w:t>
      </w:r>
      <w:r>
        <w:rPr>
          <w:rFonts w:hint="eastAsia"/>
          <w:color w:val="auto"/>
          <w:highlight w:val="none"/>
          <w:lang w:val="en-US" w:eastAsia="zh-CN"/>
        </w:rPr>
        <w:t>万元</w:t>
      </w:r>
      <w:r>
        <w:rPr>
          <w:color w:val="auto"/>
          <w:highlight w:val="none"/>
          <w:lang w:eastAsia="zh-CN"/>
        </w:rPr>
        <w:t>）</w:t>
      </w:r>
      <w:r>
        <w:rPr>
          <w:rFonts w:hint="eastAsia" w:ascii="宋体" w:hAnsi="宋体" w:cs="宋体"/>
          <w:b w:val="0"/>
          <w:bCs w:val="0"/>
          <w:color w:val="auto"/>
          <w:sz w:val="21"/>
          <w:szCs w:val="21"/>
          <w:highlight w:val="none"/>
        </w:rPr>
        <w:t>。中标供应商自主选择</w:t>
      </w:r>
      <w:r>
        <w:rPr>
          <w:color w:val="auto"/>
          <w:highlight w:val="none"/>
          <w:lang w:eastAsia="zh-CN"/>
        </w:rPr>
        <w:t>以支票、汇票、本票或者金融机构、担保机构出具的保函（见索即付）等非现金形式提交</w:t>
      </w:r>
      <w:r>
        <w:rPr>
          <w:rFonts w:hint="eastAsia" w:ascii="宋体" w:hAnsi="宋体" w:cs="宋体"/>
          <w:b w:val="0"/>
          <w:bCs w:val="0"/>
          <w:color w:val="auto"/>
          <w:sz w:val="21"/>
          <w:szCs w:val="21"/>
          <w:highlight w:val="none"/>
        </w:rPr>
        <w:t>，应当在采购合同中约定履约保证金退还的方式、时间、条件和不予退还的情形，明确逾期退还履约保证金的违约责任。履约保证金用以约束中标人在合同履行中的行为，弥补合同执行中由于自身行为可能给采购人带来的各种损失。如果中标人不同意按照规定去做，采购人有权取消本次采购中标决定。</w:t>
      </w:r>
      <w:bookmarkEnd w:id="129"/>
    </w:p>
    <w:p>
      <w:pPr>
        <w:pageBreakBefore w:val="0"/>
        <w:widowControl w:val="0"/>
        <w:kinsoku/>
        <w:wordWrap/>
        <w:overflowPunct/>
        <w:topLinePunct w:val="0"/>
        <w:autoSpaceDE/>
        <w:autoSpaceDN/>
        <w:bidi w:val="0"/>
        <w:adjustRightInd/>
        <w:snapToGrid/>
        <w:spacing w:before="0" w:after="0" w:line="360" w:lineRule="auto"/>
        <w:ind w:firstLine="420" w:firstLineChars="200"/>
        <w:jc w:val="left"/>
        <w:textAlignment w:val="auto"/>
        <w:outlineLvl w:val="9"/>
        <w:rPr>
          <w:rFonts w:ascii="宋体" w:hAnsi="宋体" w:cs="宋体"/>
          <w:b w:val="0"/>
          <w:bCs w:val="0"/>
          <w:color w:val="auto"/>
          <w:sz w:val="21"/>
          <w:szCs w:val="21"/>
          <w:highlight w:val="none"/>
        </w:rPr>
      </w:pPr>
      <w:bookmarkStart w:id="130" w:name="_Toc1351"/>
      <w:r>
        <w:rPr>
          <w:rFonts w:hint="eastAsia" w:ascii="Times New Roman" w:hAnsi="Times New Roman" w:cs="宋体"/>
          <w:b w:val="0"/>
          <w:bCs w:val="0"/>
          <w:color w:val="auto"/>
          <w:sz w:val="21"/>
          <w:szCs w:val="21"/>
          <w:highlight w:val="none"/>
          <w:lang w:eastAsia="zh-CN"/>
        </w:rPr>
        <w:t>34</w:t>
      </w:r>
      <w:r>
        <w:rPr>
          <w:rFonts w:hint="eastAsia" w:ascii="宋体" w:hAnsi="宋体" w:cs="宋体"/>
          <w:b w:val="0"/>
          <w:bCs w:val="0"/>
          <w:color w:val="auto"/>
          <w:sz w:val="21"/>
          <w:szCs w:val="21"/>
          <w:highlight w:val="none"/>
        </w:rPr>
        <w:t>.</w:t>
      </w:r>
      <w:r>
        <w:rPr>
          <w:rFonts w:hint="eastAsia" w:ascii="Times New Roman" w:hAnsi="Times New Roman" w:cs="宋体"/>
          <w:b w:val="0"/>
          <w:bCs w:val="0"/>
          <w:color w:val="auto"/>
          <w:sz w:val="21"/>
          <w:szCs w:val="21"/>
          <w:highlight w:val="none"/>
          <w:lang w:eastAsia="zh-CN"/>
        </w:rPr>
        <w:t>2</w:t>
      </w:r>
      <w:r>
        <w:rPr>
          <w:rFonts w:hint="eastAsia" w:ascii="宋体" w:hAnsi="宋体" w:cs="宋体"/>
          <w:b w:val="0"/>
          <w:bCs w:val="0"/>
          <w:color w:val="auto"/>
          <w:sz w:val="21"/>
          <w:szCs w:val="21"/>
          <w:highlight w:val="none"/>
        </w:rPr>
        <w:t>履约保证金的退还：</w:t>
      </w:r>
      <w:r>
        <w:rPr>
          <w:color w:val="auto"/>
          <w:highlight w:val="none"/>
          <w:lang w:eastAsia="zh-CN"/>
        </w:rPr>
        <w:t>履约保证金在乙方按合同约定完成</w:t>
      </w:r>
      <w:r>
        <w:rPr>
          <w:rFonts w:hint="eastAsia"/>
          <w:color w:val="auto"/>
          <w:highlight w:val="none"/>
          <w:lang w:eastAsia="zh-CN"/>
        </w:rPr>
        <w:t>开发管理服务</w:t>
      </w:r>
      <w:r>
        <w:rPr>
          <w:color w:val="auto"/>
          <w:highlight w:val="none"/>
          <w:lang w:eastAsia="zh-CN"/>
        </w:rPr>
        <w:t xml:space="preserve">后 </w:t>
      </w:r>
      <w:r>
        <w:rPr>
          <w:rFonts w:hint="eastAsia" w:ascii="Times New Roman" w:hAnsi="Times New Roman"/>
          <w:color w:val="auto"/>
          <w:highlight w:val="none"/>
          <w:lang w:eastAsia="zh-CN"/>
        </w:rPr>
        <w:t>30</w:t>
      </w:r>
      <w:r>
        <w:rPr>
          <w:color w:val="auto"/>
          <w:highlight w:val="none"/>
          <w:lang w:eastAsia="zh-CN"/>
        </w:rPr>
        <w:t xml:space="preserve"> 天内不计息退还</w:t>
      </w:r>
      <w:r>
        <w:rPr>
          <w:rFonts w:hint="eastAsia" w:ascii="宋体" w:hAnsi="宋体" w:cs="宋体"/>
          <w:b w:val="0"/>
          <w:bCs w:val="0"/>
          <w:color w:val="auto"/>
          <w:sz w:val="21"/>
          <w:szCs w:val="21"/>
          <w:highlight w:val="none"/>
        </w:rPr>
        <w:t>（乙方自主选择</w:t>
      </w:r>
      <w:r>
        <w:rPr>
          <w:color w:val="auto"/>
          <w:highlight w:val="none"/>
          <w:lang w:eastAsia="zh-CN"/>
        </w:rPr>
        <w:t>支票、汇票、本票或者金融机构、担保机构出具的保函等非现金形式提交</w:t>
      </w:r>
      <w:r>
        <w:rPr>
          <w:rFonts w:hint="eastAsia" w:ascii="宋体" w:hAnsi="宋体" w:cs="宋体"/>
          <w:b w:val="0"/>
          <w:bCs w:val="0"/>
          <w:color w:val="auto"/>
          <w:sz w:val="21"/>
          <w:szCs w:val="21"/>
          <w:highlight w:val="none"/>
        </w:rPr>
        <w:t>）。</w:t>
      </w:r>
      <w:bookmarkEnd w:id="130"/>
    </w:p>
    <w:p>
      <w:pPr>
        <w:pageBreakBefore w:val="0"/>
        <w:widowControl w:val="0"/>
        <w:tabs>
          <w:tab w:val="left" w:pos="0"/>
        </w:tabs>
        <w:kinsoku/>
        <w:wordWrap/>
        <w:overflowPunct/>
        <w:topLinePunct w:val="0"/>
        <w:autoSpaceDE/>
        <w:autoSpaceDN/>
        <w:bidi w:val="0"/>
        <w:adjustRightInd/>
        <w:snapToGrid/>
        <w:spacing w:line="360" w:lineRule="auto"/>
        <w:textAlignment w:val="auto"/>
        <w:outlineLvl w:val="9"/>
        <w:rPr>
          <w:rFonts w:cs="宋体"/>
          <w:color w:val="auto"/>
          <w:sz w:val="21"/>
          <w:szCs w:val="21"/>
          <w:highlight w:val="none"/>
        </w:rPr>
      </w:pPr>
      <w:r>
        <w:rPr>
          <w:rFonts w:hint="eastAsia" w:ascii="Times New Roman" w:hAnsi="Times New Roman" w:cs="宋体"/>
          <w:color w:val="auto"/>
          <w:sz w:val="21"/>
          <w:szCs w:val="21"/>
          <w:highlight w:val="none"/>
          <w:lang w:eastAsia="zh-CN"/>
        </w:rPr>
        <w:t>35</w:t>
      </w:r>
      <w:r>
        <w:rPr>
          <w:rFonts w:hint="eastAsia" w:cs="宋体"/>
          <w:color w:val="auto"/>
          <w:sz w:val="21"/>
          <w:szCs w:val="21"/>
          <w:highlight w:val="none"/>
        </w:rPr>
        <w:t>、样品</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default" w:eastAsia="宋体"/>
          <w:color w:val="auto"/>
          <w:highlight w:val="none"/>
          <w:lang w:val="en-US" w:eastAsia="zh-CN"/>
        </w:rPr>
        <w:sectPr>
          <w:footerReference r:id="rId5" w:type="default"/>
          <w:pgSz w:w="11849" w:h="16792"/>
          <w:pgMar w:top="1417" w:right="850" w:bottom="1417" w:left="850" w:header="850" w:footer="850"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宋体" w:hAnsi="宋体"/>
          <w:color w:val="auto"/>
          <w:szCs w:val="21"/>
          <w:highlight w:val="none"/>
        </w:rPr>
        <w:t>若项目要求提供样品的，中标人的样品由采购人负责保管、封存，并作为履约验收的参考。未中标人的样品将</w:t>
      </w:r>
      <w:r>
        <w:rPr>
          <w:rFonts w:hint="eastAsia" w:ascii="宋体" w:hAnsi="宋体"/>
          <w:color w:val="auto"/>
          <w:szCs w:val="21"/>
          <w:highlight w:val="none"/>
          <w:lang w:val="en-US" w:eastAsia="zh-CN"/>
        </w:rPr>
        <w:t>及时退还。</w:t>
      </w:r>
    </w:p>
    <w:p>
      <w:pPr>
        <w:pStyle w:val="7"/>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ascii="黑体"/>
          <w:b/>
          <w:color w:val="auto"/>
          <w:sz w:val="42"/>
          <w:highlight w:val="none"/>
          <w:lang w:eastAsia="zh-CN"/>
        </w:rPr>
      </w:pPr>
      <w:bookmarkStart w:id="131" w:name="_Toc24141"/>
      <w:bookmarkStart w:id="132" w:name="_Toc22040"/>
      <w:bookmarkStart w:id="133" w:name="_Toc10108"/>
      <w:r>
        <w:rPr>
          <w:rFonts w:hint="eastAsia" w:ascii="宋体" w:hAnsi="宋体" w:cs="宋体"/>
          <w:color w:val="auto"/>
          <w:sz w:val="36"/>
          <w:highlight w:val="none"/>
          <w:lang w:val="en-US" w:eastAsia="zh-CN"/>
        </w:rPr>
        <w:t>第三章、</w:t>
      </w:r>
      <w:r>
        <w:rPr>
          <w:rFonts w:hint="eastAsia" w:ascii="宋体" w:hAnsi="宋体" w:cs="宋体"/>
          <w:color w:val="auto"/>
          <w:sz w:val="36"/>
          <w:highlight w:val="none"/>
        </w:rPr>
        <w:t>合同条款及格式</w:t>
      </w:r>
      <w:bookmarkEnd w:id="131"/>
      <w:bookmarkEnd w:id="132"/>
      <w:bookmarkEnd w:id="133"/>
      <w:bookmarkStart w:id="134" w:name="_bookmark7"/>
      <w:bookmarkEnd w:id="134"/>
      <w:bookmarkStart w:id="135" w:name="第五章_发包人要求"/>
      <w:bookmarkEnd w:id="135"/>
      <w:bookmarkStart w:id="136" w:name="_Toc21582"/>
      <w:bookmarkStart w:id="137" w:name="_Toc25433"/>
    </w:p>
    <w:p>
      <w:pPr>
        <w:pStyle w:val="17"/>
        <w:spacing w:before="1"/>
        <w:ind w:left="0"/>
        <w:rPr>
          <w:rFonts w:hint="eastAsia" w:ascii="黑体"/>
          <w:b/>
          <w:color w:val="auto"/>
          <w:sz w:val="42"/>
          <w:highlight w:val="none"/>
          <w:lang w:eastAsia="zh-CN"/>
        </w:rPr>
      </w:pPr>
    </w:p>
    <w:p>
      <w:pPr>
        <w:ind w:left="375" w:right="376"/>
        <w:jc w:val="center"/>
        <w:rPr>
          <w:rFonts w:ascii="黑体" w:eastAsia="黑体"/>
          <w:color w:val="auto"/>
          <w:sz w:val="36"/>
          <w:highlight w:val="none"/>
          <w:lang w:eastAsia="zh-CN"/>
        </w:rPr>
      </w:pPr>
      <w:r>
        <w:rPr>
          <w:rFonts w:hint="eastAsia" w:ascii="黑体" w:eastAsia="黑体"/>
          <w:color w:val="auto"/>
          <w:sz w:val="36"/>
          <w:highlight w:val="none"/>
          <w:lang w:eastAsia="zh-CN"/>
        </w:rPr>
        <w:t>开发管理服务采购合同书</w:t>
      </w:r>
    </w:p>
    <w:p>
      <w:pPr>
        <w:pStyle w:val="17"/>
        <w:spacing w:before="1"/>
        <w:ind w:left="0"/>
        <w:rPr>
          <w:rFonts w:ascii="黑体"/>
          <w:color w:val="auto"/>
          <w:sz w:val="52"/>
          <w:highlight w:val="none"/>
          <w:lang w:eastAsia="zh-CN"/>
        </w:rPr>
      </w:pPr>
    </w:p>
    <w:p>
      <w:pPr>
        <w:spacing w:line="364" w:lineRule="auto"/>
        <w:ind w:left="1260" w:right="3495"/>
        <w:rPr>
          <w:color w:val="auto"/>
          <w:highlight w:val="none"/>
          <w:lang w:eastAsia="zh-CN"/>
        </w:rPr>
      </w:pPr>
      <w:r>
        <w:rPr>
          <w:rFonts w:hint="eastAsia"/>
          <w:color w:val="auto"/>
          <w:highlight w:val="none"/>
          <w:lang w:eastAsia="zh-CN"/>
        </w:rPr>
        <w:t>甲方</w:t>
      </w:r>
      <w:r>
        <w:rPr>
          <w:b/>
          <w:color w:val="auto"/>
          <w:highlight w:val="none"/>
          <w:lang w:eastAsia="zh-CN"/>
        </w:rPr>
        <w:t>：</w:t>
      </w:r>
      <w:r>
        <w:rPr>
          <w:color w:val="auto"/>
          <w:highlight w:val="none"/>
          <w:lang w:eastAsia="zh-CN"/>
        </w:rPr>
        <w:t xml:space="preserve"> </w:t>
      </w:r>
    </w:p>
    <w:p>
      <w:pPr>
        <w:spacing w:line="364" w:lineRule="auto"/>
        <w:ind w:left="1260" w:right="3495"/>
        <w:rPr>
          <w:b/>
          <w:color w:val="auto"/>
          <w:highlight w:val="none"/>
          <w:lang w:eastAsia="zh-CN"/>
        </w:rPr>
      </w:pPr>
      <w:r>
        <w:rPr>
          <w:color w:val="auto"/>
          <w:highlight w:val="none"/>
          <w:lang w:eastAsia="zh-CN"/>
        </w:rPr>
        <w:t>公司地址</w:t>
      </w:r>
      <w:r>
        <w:rPr>
          <w:b/>
          <w:color w:val="auto"/>
          <w:highlight w:val="none"/>
          <w:lang w:eastAsia="zh-CN"/>
        </w:rPr>
        <w:t xml:space="preserve">： </w:t>
      </w:r>
    </w:p>
    <w:p>
      <w:pPr>
        <w:pStyle w:val="17"/>
        <w:spacing w:line="279" w:lineRule="exact"/>
        <w:ind w:left="1260"/>
        <w:rPr>
          <w:b/>
          <w:color w:val="auto"/>
          <w:highlight w:val="none"/>
          <w:lang w:eastAsia="zh-CN"/>
        </w:rPr>
      </w:pPr>
      <w:r>
        <w:rPr>
          <w:color w:val="auto"/>
          <w:highlight w:val="none"/>
          <w:lang w:eastAsia="zh-CN"/>
        </w:rPr>
        <w:t>法定代表人</w:t>
      </w:r>
      <w:r>
        <w:rPr>
          <w:b/>
          <w:color w:val="auto"/>
          <w:highlight w:val="none"/>
          <w:lang w:eastAsia="zh-CN"/>
        </w:rPr>
        <w:t>：</w:t>
      </w:r>
    </w:p>
    <w:p>
      <w:pPr>
        <w:pStyle w:val="17"/>
        <w:ind w:left="0"/>
        <w:rPr>
          <w:b/>
          <w:color w:val="auto"/>
          <w:highlight w:val="none"/>
          <w:lang w:eastAsia="zh-CN"/>
        </w:rPr>
      </w:pPr>
    </w:p>
    <w:p>
      <w:pPr>
        <w:pStyle w:val="17"/>
        <w:spacing w:before="11"/>
        <w:ind w:left="0"/>
        <w:rPr>
          <w:b/>
          <w:color w:val="auto"/>
          <w:highlight w:val="none"/>
          <w:lang w:eastAsia="zh-CN"/>
        </w:rPr>
      </w:pPr>
    </w:p>
    <w:p>
      <w:pPr>
        <w:pStyle w:val="17"/>
        <w:spacing w:line="364" w:lineRule="auto"/>
        <w:ind w:left="1260" w:right="6145"/>
        <w:rPr>
          <w:b/>
          <w:color w:val="auto"/>
          <w:highlight w:val="none"/>
          <w:lang w:eastAsia="zh-CN"/>
        </w:rPr>
      </w:pPr>
      <w:r>
        <w:rPr>
          <w:rFonts w:hint="eastAsia"/>
          <w:color w:val="auto"/>
          <w:highlight w:val="none"/>
          <w:lang w:eastAsia="zh-CN"/>
        </w:rPr>
        <w:t>乙方</w:t>
      </w:r>
      <w:r>
        <w:rPr>
          <w:b/>
          <w:color w:val="auto"/>
          <w:highlight w:val="none"/>
          <w:lang w:eastAsia="zh-CN"/>
        </w:rPr>
        <w:t>：</w:t>
      </w:r>
    </w:p>
    <w:p>
      <w:pPr>
        <w:pStyle w:val="17"/>
        <w:spacing w:line="364" w:lineRule="auto"/>
        <w:ind w:left="1260" w:right="6145"/>
        <w:rPr>
          <w:b/>
          <w:color w:val="auto"/>
          <w:highlight w:val="none"/>
          <w:lang w:eastAsia="zh-CN"/>
        </w:rPr>
      </w:pPr>
      <w:r>
        <w:rPr>
          <w:color w:val="auto"/>
          <w:highlight w:val="none"/>
          <w:lang w:eastAsia="zh-CN"/>
        </w:rPr>
        <w:t>公司地址</w:t>
      </w:r>
      <w:r>
        <w:rPr>
          <w:b/>
          <w:color w:val="auto"/>
          <w:highlight w:val="none"/>
          <w:lang w:eastAsia="zh-CN"/>
        </w:rPr>
        <w:t>：</w:t>
      </w:r>
    </w:p>
    <w:p>
      <w:pPr>
        <w:pStyle w:val="17"/>
        <w:ind w:left="1260"/>
        <w:rPr>
          <w:b/>
          <w:color w:val="auto"/>
          <w:highlight w:val="none"/>
          <w:lang w:eastAsia="zh-CN"/>
        </w:rPr>
      </w:pPr>
      <w:r>
        <w:rPr>
          <w:color w:val="auto"/>
          <w:highlight w:val="none"/>
          <w:lang w:eastAsia="zh-CN"/>
        </w:rPr>
        <w:t>法定代表人</w:t>
      </w:r>
      <w:r>
        <w:rPr>
          <w:b/>
          <w:color w:val="auto"/>
          <w:highlight w:val="none"/>
          <w:lang w:eastAsia="zh-CN"/>
        </w:rPr>
        <w:t>：</w:t>
      </w:r>
    </w:p>
    <w:p>
      <w:pPr>
        <w:pStyle w:val="17"/>
        <w:ind w:left="0"/>
        <w:rPr>
          <w:b/>
          <w:color w:val="auto"/>
          <w:highlight w:val="none"/>
          <w:lang w:eastAsia="zh-CN"/>
        </w:rPr>
      </w:pPr>
    </w:p>
    <w:p>
      <w:pPr>
        <w:pStyle w:val="17"/>
        <w:spacing w:before="10"/>
        <w:ind w:left="0"/>
        <w:rPr>
          <w:b/>
          <w:color w:val="auto"/>
          <w:highlight w:val="none"/>
          <w:lang w:eastAsia="zh-CN"/>
        </w:rPr>
      </w:pPr>
    </w:p>
    <w:p>
      <w:pPr>
        <w:tabs>
          <w:tab w:val="left" w:pos="2237"/>
        </w:tabs>
        <w:ind w:left="639"/>
        <w:jc w:val="center"/>
        <w:rPr>
          <w:rFonts w:ascii="黑体" w:eastAsia="黑体"/>
          <w:color w:val="auto"/>
          <w:sz w:val="32"/>
          <w:highlight w:val="none"/>
          <w:lang w:eastAsia="zh-CN"/>
        </w:rPr>
      </w:pPr>
      <w:bookmarkStart w:id="138" w:name="第一部分__协议书"/>
      <w:bookmarkEnd w:id="138"/>
      <w:r>
        <w:rPr>
          <w:rFonts w:hint="eastAsia" w:ascii="黑体" w:eastAsia="黑体"/>
          <w:color w:val="auto"/>
          <w:sz w:val="32"/>
          <w:highlight w:val="none"/>
          <w:lang w:eastAsia="zh-CN"/>
        </w:rPr>
        <w:t>第一部分</w:t>
      </w:r>
      <w:r>
        <w:rPr>
          <w:rFonts w:hint="eastAsia" w:ascii="黑体" w:eastAsia="黑体"/>
          <w:color w:val="auto"/>
          <w:sz w:val="32"/>
          <w:highlight w:val="none"/>
          <w:lang w:eastAsia="zh-CN"/>
        </w:rPr>
        <w:tab/>
      </w:r>
      <w:r>
        <w:rPr>
          <w:rFonts w:hint="eastAsia" w:ascii="黑体" w:eastAsia="黑体"/>
          <w:color w:val="auto"/>
          <w:sz w:val="32"/>
          <w:highlight w:val="none"/>
          <w:lang w:eastAsia="zh-CN"/>
        </w:rPr>
        <w:t>协议书</w:t>
      </w:r>
    </w:p>
    <w:p>
      <w:pPr>
        <w:pStyle w:val="17"/>
        <w:ind w:left="0"/>
        <w:rPr>
          <w:rFonts w:ascii="黑体"/>
          <w:color w:val="auto"/>
          <w:sz w:val="32"/>
          <w:highlight w:val="none"/>
          <w:lang w:eastAsia="zh-CN"/>
        </w:rPr>
      </w:pPr>
    </w:p>
    <w:p>
      <w:pPr>
        <w:pStyle w:val="17"/>
        <w:spacing w:before="1"/>
        <w:ind w:left="0"/>
        <w:rPr>
          <w:rFonts w:ascii="黑体"/>
          <w:color w:val="auto"/>
          <w:sz w:val="28"/>
          <w:highlight w:val="none"/>
          <w:lang w:eastAsia="zh-CN"/>
        </w:rPr>
      </w:pPr>
    </w:p>
    <w:p>
      <w:pPr>
        <w:pStyle w:val="13"/>
        <w:jc w:val="both"/>
        <w:rPr>
          <w:color w:val="auto"/>
          <w:highlight w:val="none"/>
          <w:lang w:eastAsia="zh-CN"/>
        </w:rPr>
      </w:pPr>
      <w:r>
        <w:rPr>
          <w:color w:val="auto"/>
          <w:highlight w:val="none"/>
          <w:lang w:eastAsia="zh-CN"/>
        </w:rPr>
        <w:t>第一条 项目基本情况</w:t>
      </w:r>
    </w:p>
    <w:p>
      <w:pPr>
        <w:pStyle w:val="17"/>
        <w:spacing w:before="160" w:line="374" w:lineRule="auto"/>
        <w:ind w:right="817" w:firstLine="439"/>
        <w:jc w:val="both"/>
        <w:rPr>
          <w:color w:val="auto"/>
          <w:highlight w:val="none"/>
          <w:lang w:eastAsia="zh-CN"/>
        </w:rPr>
      </w:pPr>
      <w:r>
        <w:rPr>
          <w:rFonts w:hint="eastAsia" w:ascii="Times New Roman" w:hAnsi="Times New Roman"/>
          <w:color w:val="auto"/>
          <w:highlight w:val="none"/>
          <w:lang w:eastAsia="zh-CN"/>
        </w:rPr>
        <w:t>1</w:t>
      </w:r>
      <w:r>
        <w:rPr>
          <w:color w:val="auto"/>
          <w:highlight w:val="none"/>
          <w:lang w:eastAsia="zh-CN"/>
        </w:rPr>
        <w:t>、项目地点和土地四至：</w:t>
      </w:r>
      <w:r>
        <w:rPr>
          <w:rFonts w:hint="eastAsia" w:ascii="Times New Roman" w:hAnsi="Times New Roman"/>
          <w:color w:val="auto"/>
          <w:highlight w:val="none"/>
          <w:lang w:eastAsia="zh-CN"/>
        </w:rPr>
        <w:t>GZ427</w:t>
      </w:r>
      <w:r>
        <w:rPr>
          <w:rFonts w:hint="eastAsia"/>
          <w:color w:val="auto"/>
          <w:highlight w:val="none"/>
          <w:lang w:eastAsia="zh-CN"/>
        </w:rPr>
        <w:t>地块</w:t>
      </w:r>
      <w:r>
        <w:rPr>
          <w:color w:val="auto"/>
          <w:highlight w:val="none"/>
          <w:lang w:eastAsia="zh-CN"/>
        </w:rPr>
        <w:t>位于【</w:t>
      </w:r>
      <w:r>
        <w:rPr>
          <w:rFonts w:hint="eastAsia"/>
          <w:color w:val="auto"/>
          <w:highlight w:val="none"/>
          <w:lang w:eastAsia="zh-CN"/>
        </w:rPr>
        <w:t>扬州市</w:t>
      </w:r>
      <w:r>
        <w:rPr>
          <w:rFonts w:hint="eastAsia" w:ascii="Times New Roman" w:hAnsi="Times New Roman"/>
          <w:color w:val="auto"/>
          <w:highlight w:val="none"/>
          <w:lang w:eastAsia="zh-CN"/>
        </w:rPr>
        <w:t>W1</w:t>
      </w:r>
      <w:r>
        <w:rPr>
          <w:color w:val="auto"/>
          <w:highlight w:val="none"/>
          <w:lang w:eastAsia="zh-CN"/>
        </w:rPr>
        <w:t>双桥南片区控制性详细规划单</w:t>
      </w:r>
      <w:r>
        <w:rPr>
          <w:rFonts w:hint="eastAsia"/>
          <w:color w:val="auto"/>
          <w:highlight w:val="none"/>
          <w:lang w:eastAsia="zh-CN"/>
        </w:rPr>
        <w:t>元内</w:t>
      </w:r>
      <w:r>
        <w:rPr>
          <w:color w:val="auto"/>
          <w:highlight w:val="none"/>
          <w:lang w:eastAsia="zh-CN"/>
        </w:rPr>
        <w:t>】，四至为【</w:t>
      </w:r>
      <w:r>
        <w:rPr>
          <w:rFonts w:hint="eastAsia"/>
          <w:color w:val="auto"/>
          <w:highlight w:val="none"/>
          <w:lang w:eastAsia="zh-CN"/>
        </w:rPr>
        <w:t>东至纵一路、南至文汇西路、西至规划支路、北至横一路</w:t>
      </w:r>
      <w:r>
        <w:rPr>
          <w:color w:val="auto"/>
          <w:highlight w:val="none"/>
          <w:lang w:eastAsia="zh-CN"/>
        </w:rPr>
        <w:t>】，</w:t>
      </w:r>
      <w:r>
        <w:rPr>
          <w:rFonts w:hint="eastAsia" w:ascii="Times New Roman" w:hAnsi="Times New Roman"/>
          <w:color w:val="auto"/>
          <w:highlight w:val="none"/>
          <w:lang w:eastAsia="zh-CN"/>
        </w:rPr>
        <w:t>GZ428</w:t>
      </w:r>
      <w:r>
        <w:rPr>
          <w:rFonts w:hint="eastAsia"/>
          <w:color w:val="auto"/>
          <w:highlight w:val="none"/>
          <w:lang w:eastAsia="zh-CN"/>
        </w:rPr>
        <w:t>地块位于【扬州市</w:t>
      </w:r>
      <w:r>
        <w:rPr>
          <w:rFonts w:hint="eastAsia" w:ascii="Times New Roman" w:hAnsi="Times New Roman"/>
          <w:color w:val="auto"/>
          <w:highlight w:val="none"/>
          <w:lang w:eastAsia="zh-CN"/>
        </w:rPr>
        <w:t>W1</w:t>
      </w:r>
      <w:r>
        <w:rPr>
          <w:color w:val="auto"/>
          <w:highlight w:val="none"/>
          <w:lang w:eastAsia="zh-CN"/>
        </w:rPr>
        <w:t>【双桥南片区】控制性详细规划单元内</w:t>
      </w:r>
      <w:r>
        <w:rPr>
          <w:rFonts w:hint="eastAsia"/>
          <w:color w:val="auto"/>
          <w:highlight w:val="none"/>
          <w:lang w:eastAsia="zh-CN"/>
        </w:rPr>
        <w:t>】，</w:t>
      </w:r>
      <w:r>
        <w:rPr>
          <w:color w:val="auto"/>
          <w:highlight w:val="none"/>
          <w:lang w:eastAsia="zh-CN"/>
        </w:rPr>
        <w:t>四至为【</w:t>
      </w:r>
      <w:r>
        <w:rPr>
          <w:rFonts w:hint="eastAsia"/>
          <w:color w:val="auto"/>
          <w:highlight w:val="none"/>
          <w:lang w:eastAsia="zh-CN"/>
        </w:rPr>
        <w:t>东至维扬路、南至文汇西路、西至纵一路、北至横一路】。</w:t>
      </w:r>
      <w:r>
        <w:rPr>
          <w:color w:val="auto"/>
          <w:highlight w:val="none"/>
          <w:lang w:eastAsia="zh-CN"/>
        </w:rPr>
        <w:t>界址点坐标最终以《国有建设用地使用权出让合同》附件之《出让宗地界址图》为准。</w:t>
      </w:r>
    </w:p>
    <w:p>
      <w:pPr>
        <w:pStyle w:val="17"/>
        <w:spacing w:before="1" w:line="374" w:lineRule="auto"/>
        <w:ind w:right="820" w:firstLine="439"/>
        <w:rPr>
          <w:color w:val="auto"/>
          <w:highlight w:val="none"/>
          <w:lang w:eastAsia="zh-CN"/>
        </w:rPr>
      </w:pPr>
      <w:r>
        <w:rPr>
          <w:rFonts w:hint="eastAsia" w:ascii="Times New Roman" w:hAnsi="Times New Roman"/>
          <w:color w:val="auto"/>
          <w:highlight w:val="none"/>
          <w:lang w:eastAsia="zh-CN"/>
        </w:rPr>
        <w:t>2</w:t>
      </w:r>
      <w:r>
        <w:rPr>
          <w:color w:val="auto"/>
          <w:highlight w:val="none"/>
          <w:lang w:eastAsia="zh-CN"/>
        </w:rPr>
        <w:t>、项目名称和用地性质：项目名称为【</w:t>
      </w:r>
      <w:r>
        <w:rPr>
          <w:rFonts w:hint="eastAsia"/>
          <w:color w:val="auto"/>
          <w:highlight w:val="none"/>
          <w:lang w:eastAsia="zh-CN"/>
        </w:rPr>
        <w:t>扬州</w:t>
      </w:r>
      <w:r>
        <w:rPr>
          <w:rFonts w:hint="eastAsia" w:ascii="Times New Roman" w:hAnsi="Times New Roman"/>
          <w:color w:val="auto"/>
          <w:highlight w:val="none"/>
          <w:lang w:eastAsia="zh-CN"/>
        </w:rPr>
        <w:t>GZ427</w:t>
      </w:r>
      <w:r>
        <w:rPr>
          <w:color w:val="auto"/>
          <w:highlight w:val="none"/>
          <w:lang w:eastAsia="zh-CN"/>
        </w:rPr>
        <w:t>&amp;</w:t>
      </w:r>
      <w:r>
        <w:rPr>
          <w:rFonts w:hint="eastAsia" w:ascii="Times New Roman" w:hAnsi="Times New Roman"/>
          <w:color w:val="auto"/>
          <w:highlight w:val="none"/>
          <w:lang w:eastAsia="zh-CN"/>
        </w:rPr>
        <w:t>428</w:t>
      </w:r>
      <w:r>
        <w:rPr>
          <w:rFonts w:hint="eastAsia"/>
          <w:color w:val="auto"/>
          <w:highlight w:val="none"/>
          <w:lang w:eastAsia="zh-CN"/>
        </w:rPr>
        <w:t>项目</w:t>
      </w:r>
      <w:r>
        <w:rPr>
          <w:color w:val="auto"/>
          <w:highlight w:val="none"/>
          <w:lang w:eastAsia="zh-CN"/>
        </w:rPr>
        <w:t>（暂名）】，用地性质为【</w:t>
      </w:r>
      <w:r>
        <w:rPr>
          <w:rFonts w:hint="eastAsia"/>
          <w:color w:val="auto"/>
          <w:highlight w:val="none"/>
          <w:lang w:eastAsia="zh-CN"/>
        </w:rPr>
        <w:t>居住</w:t>
      </w:r>
      <w:r>
        <w:rPr>
          <w:color w:val="auto"/>
          <w:highlight w:val="none"/>
          <w:lang w:eastAsia="zh-CN"/>
        </w:rPr>
        <w:t>用地</w:t>
      </w:r>
      <w:r>
        <w:rPr>
          <w:rFonts w:hint="eastAsia"/>
          <w:color w:val="auto"/>
          <w:highlight w:val="none"/>
          <w:lang w:eastAsia="zh-CN"/>
        </w:rPr>
        <w:t>、商业用地</w:t>
      </w:r>
      <w:r>
        <w:rPr>
          <w:color w:val="auto"/>
          <w:highlight w:val="none"/>
          <w:lang w:eastAsia="zh-CN"/>
        </w:rPr>
        <w:t>】。</w:t>
      </w:r>
    </w:p>
    <w:p>
      <w:pPr>
        <w:pStyle w:val="17"/>
        <w:spacing w:line="281" w:lineRule="exact"/>
        <w:ind w:firstLine="420" w:firstLineChars="200"/>
        <w:rPr>
          <w:color w:val="auto"/>
          <w:highlight w:val="none"/>
          <w:lang w:eastAsia="zh-CN"/>
        </w:rPr>
      </w:pPr>
      <w:r>
        <w:rPr>
          <w:rFonts w:hint="eastAsia" w:ascii="Times New Roman" w:hAnsi="Times New Roman"/>
          <w:color w:val="auto"/>
          <w:highlight w:val="none"/>
          <w:lang w:eastAsia="zh-CN"/>
        </w:rPr>
        <w:t>3</w:t>
      </w:r>
      <w:r>
        <w:rPr>
          <w:color w:val="auto"/>
          <w:highlight w:val="none"/>
          <w:lang w:eastAsia="zh-CN"/>
        </w:rPr>
        <w:t>、土地使用权获取方式：于【</w:t>
      </w:r>
      <w:r>
        <w:rPr>
          <w:rFonts w:hint="eastAsia" w:ascii="Times New Roman" w:hAnsi="Times New Roman"/>
          <w:color w:val="auto"/>
          <w:highlight w:val="none"/>
          <w:lang w:eastAsia="zh-CN"/>
        </w:rPr>
        <w:t>2022</w:t>
      </w:r>
      <w:r>
        <w:rPr>
          <w:color w:val="auto"/>
          <w:highlight w:val="none"/>
          <w:lang w:eastAsia="zh-CN"/>
        </w:rPr>
        <w:t>年</w:t>
      </w:r>
      <w:r>
        <w:rPr>
          <w:rFonts w:hint="eastAsia" w:ascii="Times New Roman" w:hAnsi="Times New Roman"/>
          <w:color w:val="auto"/>
          <w:highlight w:val="none"/>
          <w:lang w:eastAsia="zh-CN"/>
        </w:rPr>
        <w:t>12</w:t>
      </w:r>
      <w:r>
        <w:rPr>
          <w:color w:val="auto"/>
          <w:highlight w:val="none"/>
          <w:lang w:eastAsia="zh-CN"/>
        </w:rPr>
        <w:t>月】通过【挂牌】方式取得。</w:t>
      </w:r>
    </w:p>
    <w:p>
      <w:pPr>
        <w:pStyle w:val="17"/>
        <w:spacing w:before="160" w:line="374" w:lineRule="auto"/>
        <w:ind w:right="817" w:firstLine="439"/>
        <w:jc w:val="both"/>
        <w:rPr>
          <w:rFonts w:hint="eastAsia"/>
          <w:color w:val="auto"/>
          <w:highlight w:val="none"/>
          <w:lang w:eastAsia="zh-CN"/>
        </w:rPr>
      </w:pPr>
      <w:r>
        <w:rPr>
          <w:rFonts w:hint="eastAsia" w:ascii="Times New Roman" w:hAnsi="Times New Roman"/>
          <w:color w:val="auto"/>
          <w:highlight w:val="none"/>
          <w:lang w:eastAsia="zh-CN"/>
        </w:rPr>
        <w:t>4</w:t>
      </w:r>
      <w:r>
        <w:rPr>
          <w:rFonts w:hint="eastAsia"/>
          <w:color w:val="auto"/>
          <w:highlight w:val="none"/>
          <w:lang w:eastAsia="zh-CN"/>
        </w:rPr>
        <w:t>、土地使用年限：住宅用地使用权年限为【</w:t>
      </w:r>
      <w:r>
        <w:rPr>
          <w:rFonts w:hint="eastAsia" w:ascii="Times New Roman" w:hAnsi="Times New Roman"/>
          <w:color w:val="auto"/>
          <w:highlight w:val="none"/>
          <w:lang w:eastAsia="zh-CN"/>
        </w:rPr>
        <w:t>70</w:t>
      </w:r>
      <w:r>
        <w:rPr>
          <w:rFonts w:hint="eastAsia"/>
          <w:color w:val="auto"/>
          <w:highlight w:val="none"/>
          <w:lang w:eastAsia="zh-CN"/>
        </w:rPr>
        <w:t>】年，商业用地使用权年限为【</w:t>
      </w:r>
      <w:r>
        <w:rPr>
          <w:rFonts w:hint="eastAsia" w:ascii="Times New Roman" w:hAnsi="Times New Roman"/>
          <w:color w:val="auto"/>
          <w:highlight w:val="none"/>
          <w:lang w:eastAsia="zh-CN"/>
        </w:rPr>
        <w:t>40</w:t>
      </w:r>
      <w:r>
        <w:rPr>
          <w:rFonts w:hint="eastAsia"/>
          <w:color w:val="auto"/>
          <w:highlight w:val="none"/>
          <w:lang w:eastAsia="zh-CN"/>
        </w:rPr>
        <w:t>】年。</w:t>
      </w:r>
    </w:p>
    <w:p>
      <w:pPr>
        <w:pStyle w:val="17"/>
        <w:spacing w:before="160" w:line="374" w:lineRule="auto"/>
        <w:ind w:right="817" w:firstLine="439"/>
        <w:jc w:val="both"/>
        <w:rPr>
          <w:rFonts w:hint="eastAsia"/>
          <w:color w:val="auto"/>
          <w:highlight w:val="none"/>
          <w:lang w:eastAsia="zh-CN"/>
        </w:rPr>
      </w:pPr>
      <w:r>
        <w:rPr>
          <w:rFonts w:hint="eastAsia" w:ascii="Times New Roman" w:hAnsi="Times New Roman"/>
          <w:color w:val="auto"/>
          <w:highlight w:val="none"/>
          <w:lang w:eastAsia="zh-CN"/>
        </w:rPr>
        <w:t>5</w:t>
      </w:r>
      <w:r>
        <w:rPr>
          <w:rFonts w:hint="eastAsia"/>
          <w:color w:val="auto"/>
          <w:highlight w:val="none"/>
          <w:lang w:eastAsia="zh-CN"/>
        </w:rPr>
        <w:t>、地块面积：</w:t>
      </w:r>
      <w:r>
        <w:rPr>
          <w:rFonts w:hint="eastAsia" w:ascii="Times New Roman" w:hAnsi="Times New Roman"/>
          <w:color w:val="auto"/>
          <w:highlight w:val="none"/>
          <w:lang w:eastAsia="zh-CN"/>
        </w:rPr>
        <w:t>GZ427</w:t>
      </w:r>
      <w:r>
        <w:rPr>
          <w:rFonts w:hint="eastAsia"/>
          <w:color w:val="auto"/>
          <w:highlight w:val="none"/>
          <w:lang w:eastAsia="zh-CN"/>
        </w:rPr>
        <w:t>宗地面积约【</w:t>
      </w:r>
      <w:r>
        <w:rPr>
          <w:rFonts w:hint="eastAsia" w:ascii="Times New Roman" w:hAnsi="Times New Roman"/>
          <w:color w:val="auto"/>
          <w:highlight w:val="none"/>
          <w:lang w:eastAsia="zh-CN"/>
        </w:rPr>
        <w:t>51240</w:t>
      </w:r>
      <w:r>
        <w:rPr>
          <w:rFonts w:hint="eastAsia"/>
          <w:color w:val="auto"/>
          <w:highlight w:val="none"/>
          <w:lang w:eastAsia="zh-CN"/>
        </w:rPr>
        <w:t>】平方米，约【</w:t>
      </w:r>
      <w:r>
        <w:rPr>
          <w:rFonts w:hint="eastAsia" w:ascii="Times New Roman" w:hAnsi="Times New Roman"/>
          <w:color w:val="auto"/>
          <w:highlight w:val="none"/>
          <w:lang w:eastAsia="zh-CN"/>
        </w:rPr>
        <w:t>77</w:t>
      </w:r>
      <w:r>
        <w:rPr>
          <w:rFonts w:hint="eastAsia"/>
          <w:color w:val="auto"/>
          <w:highlight w:val="none"/>
          <w:lang w:eastAsia="zh-CN"/>
        </w:rPr>
        <w:t>】亩，其中建设用地面积约【</w:t>
      </w:r>
      <w:r>
        <w:rPr>
          <w:rFonts w:hint="eastAsia" w:ascii="Times New Roman" w:hAnsi="Times New Roman"/>
          <w:color w:val="auto"/>
          <w:highlight w:val="none"/>
          <w:lang w:eastAsia="zh-CN"/>
        </w:rPr>
        <w:t>51240</w:t>
      </w:r>
      <w:r>
        <w:rPr>
          <w:rFonts w:hint="eastAsia"/>
          <w:color w:val="auto"/>
          <w:highlight w:val="none"/>
          <w:lang w:eastAsia="zh-CN"/>
        </w:rPr>
        <w:t>】平方米；</w:t>
      </w:r>
      <w:r>
        <w:rPr>
          <w:rFonts w:hint="eastAsia" w:ascii="Times New Roman" w:hAnsi="Times New Roman"/>
          <w:color w:val="auto"/>
          <w:highlight w:val="none"/>
          <w:lang w:eastAsia="zh-CN"/>
        </w:rPr>
        <w:t>GZ428</w:t>
      </w:r>
      <w:r>
        <w:rPr>
          <w:rFonts w:hint="eastAsia"/>
          <w:color w:val="auto"/>
          <w:highlight w:val="none"/>
          <w:lang w:eastAsia="zh-CN"/>
        </w:rPr>
        <w:t>宗地面积约【</w:t>
      </w:r>
      <w:r>
        <w:rPr>
          <w:rFonts w:hint="eastAsia" w:ascii="Times New Roman" w:hAnsi="Times New Roman"/>
          <w:color w:val="auto"/>
          <w:highlight w:val="none"/>
          <w:lang w:eastAsia="zh-CN"/>
        </w:rPr>
        <w:t>35360</w:t>
      </w:r>
      <w:r>
        <w:rPr>
          <w:rFonts w:hint="eastAsia"/>
          <w:color w:val="auto"/>
          <w:highlight w:val="none"/>
          <w:lang w:eastAsia="zh-CN"/>
        </w:rPr>
        <w:t>】平方米，约【</w:t>
      </w:r>
      <w:r>
        <w:rPr>
          <w:rFonts w:hint="eastAsia" w:ascii="Times New Roman" w:hAnsi="Times New Roman"/>
          <w:color w:val="auto"/>
          <w:highlight w:val="none"/>
          <w:lang w:eastAsia="zh-CN"/>
        </w:rPr>
        <w:t>53</w:t>
      </w:r>
      <w:r>
        <w:rPr>
          <w:rFonts w:hint="eastAsia"/>
          <w:color w:val="auto"/>
          <w:highlight w:val="none"/>
          <w:lang w:eastAsia="zh-CN"/>
        </w:rPr>
        <w:t>】亩，其中建设用地面积约【</w:t>
      </w:r>
      <w:r>
        <w:rPr>
          <w:rFonts w:hint="eastAsia" w:ascii="Times New Roman" w:hAnsi="Times New Roman"/>
          <w:color w:val="auto"/>
          <w:highlight w:val="none"/>
          <w:lang w:eastAsia="zh-CN"/>
        </w:rPr>
        <w:t>35360</w:t>
      </w:r>
      <w:r>
        <w:rPr>
          <w:rFonts w:hint="eastAsia"/>
          <w:color w:val="auto"/>
          <w:highlight w:val="none"/>
          <w:lang w:eastAsia="zh-CN"/>
        </w:rPr>
        <w:t>】平方米最终以国有土地使用证上登载的面积为准。</w:t>
      </w:r>
    </w:p>
    <w:p>
      <w:pPr>
        <w:pStyle w:val="17"/>
        <w:spacing w:before="1" w:line="374" w:lineRule="auto"/>
        <w:ind w:right="820" w:firstLine="439"/>
        <w:rPr>
          <w:color w:val="auto"/>
          <w:highlight w:val="none"/>
          <w:lang w:eastAsia="zh-CN"/>
        </w:rPr>
      </w:pPr>
      <w:r>
        <w:rPr>
          <w:rFonts w:hint="eastAsia" w:ascii="Times New Roman" w:hAnsi="Times New Roman"/>
          <w:color w:val="auto"/>
          <w:highlight w:val="none"/>
          <w:lang w:eastAsia="zh-CN"/>
        </w:rPr>
        <w:t>6</w:t>
      </w:r>
      <w:r>
        <w:rPr>
          <w:color w:val="auto"/>
          <w:highlight w:val="none"/>
          <w:lang w:eastAsia="zh-CN"/>
        </w:rPr>
        <w:t>、土地现状与交付情况：【净地已交付】</w:t>
      </w:r>
    </w:p>
    <w:p>
      <w:pPr>
        <w:pStyle w:val="17"/>
        <w:spacing w:before="1" w:line="374" w:lineRule="auto"/>
        <w:ind w:right="820" w:firstLine="439"/>
        <w:rPr>
          <w:color w:val="auto"/>
          <w:highlight w:val="none"/>
          <w:lang w:eastAsia="zh-CN"/>
        </w:rPr>
      </w:pPr>
      <w:r>
        <w:rPr>
          <w:rFonts w:hint="eastAsia" w:ascii="Times New Roman" w:hAnsi="Times New Roman"/>
          <w:color w:val="auto"/>
          <w:highlight w:val="none"/>
          <w:lang w:eastAsia="zh-CN"/>
        </w:rPr>
        <w:t>7</w:t>
      </w:r>
      <w:r>
        <w:rPr>
          <w:color w:val="auto"/>
          <w:highlight w:val="none"/>
          <w:lang w:eastAsia="zh-CN"/>
        </w:rPr>
        <w:t>、主要规划建设指标：</w:t>
      </w:r>
    </w:p>
    <w:p>
      <w:pPr>
        <w:pStyle w:val="17"/>
        <w:spacing w:before="1" w:line="374" w:lineRule="auto"/>
        <w:ind w:right="820" w:firstLine="439"/>
        <w:rPr>
          <w:color w:val="auto"/>
          <w:highlight w:val="none"/>
          <w:lang w:eastAsia="zh-CN"/>
        </w:rPr>
      </w:pPr>
      <w:r>
        <w:rPr>
          <w:rFonts w:hint="eastAsia" w:ascii="Times New Roman" w:hAnsi="Times New Roman"/>
          <w:color w:val="auto"/>
          <w:highlight w:val="none"/>
          <w:lang w:eastAsia="zh-CN"/>
        </w:rPr>
        <w:t>GZ427</w:t>
      </w:r>
      <w:r>
        <w:rPr>
          <w:rFonts w:hint="eastAsia"/>
          <w:color w:val="auto"/>
          <w:highlight w:val="none"/>
          <w:lang w:eastAsia="zh-CN"/>
        </w:rPr>
        <w:t>地块</w:t>
      </w:r>
      <w:r>
        <w:rPr>
          <w:color w:val="auto"/>
          <w:highlight w:val="none"/>
          <w:lang w:eastAsia="zh-CN"/>
        </w:rPr>
        <w:t>容积率为</w:t>
      </w:r>
      <w:r>
        <w:rPr>
          <w:b/>
          <w:color w:val="auto"/>
          <w:highlight w:val="none"/>
          <w:lang w:eastAsia="zh-CN"/>
        </w:rPr>
        <w:t>【</w:t>
      </w:r>
      <w:r>
        <w:rPr>
          <w:rFonts w:hint="eastAsia" w:ascii="Times New Roman" w:hAnsi="Times New Roman"/>
          <w:b/>
          <w:color w:val="auto"/>
          <w:highlight w:val="none"/>
          <w:lang w:eastAsia="zh-CN"/>
        </w:rPr>
        <w:t>1</w:t>
      </w:r>
      <w:r>
        <w:rPr>
          <w:b/>
          <w:color w:val="auto"/>
          <w:highlight w:val="none"/>
          <w:lang w:eastAsia="zh-CN"/>
        </w:rPr>
        <w:t>.</w:t>
      </w:r>
      <w:r>
        <w:rPr>
          <w:rFonts w:hint="eastAsia" w:ascii="Times New Roman" w:hAnsi="Times New Roman"/>
          <w:b/>
          <w:color w:val="auto"/>
          <w:highlight w:val="none"/>
          <w:lang w:eastAsia="zh-CN"/>
        </w:rPr>
        <w:t>0</w:t>
      </w:r>
      <w:r>
        <w:rPr>
          <w:b/>
          <w:color w:val="auto"/>
          <w:highlight w:val="none"/>
          <w:lang w:eastAsia="zh-CN"/>
        </w:rPr>
        <w:t>-</w:t>
      </w:r>
      <w:r>
        <w:rPr>
          <w:rFonts w:hint="eastAsia" w:ascii="Times New Roman" w:hAnsi="Times New Roman"/>
          <w:b/>
          <w:color w:val="auto"/>
          <w:highlight w:val="none"/>
          <w:lang w:eastAsia="zh-CN"/>
        </w:rPr>
        <w:t>1</w:t>
      </w:r>
      <w:r>
        <w:rPr>
          <w:b/>
          <w:color w:val="auto"/>
          <w:highlight w:val="none"/>
          <w:lang w:eastAsia="zh-CN"/>
        </w:rPr>
        <w:t>.</w:t>
      </w:r>
      <w:r>
        <w:rPr>
          <w:rFonts w:hint="eastAsia" w:ascii="Times New Roman" w:hAnsi="Times New Roman"/>
          <w:b/>
          <w:color w:val="auto"/>
          <w:highlight w:val="none"/>
          <w:lang w:eastAsia="zh-CN"/>
        </w:rPr>
        <w:t>6</w:t>
      </w:r>
      <w:r>
        <w:rPr>
          <w:b/>
          <w:color w:val="auto"/>
          <w:highlight w:val="none"/>
          <w:lang w:eastAsia="zh-CN"/>
        </w:rPr>
        <w:t>】，</w:t>
      </w:r>
      <w:r>
        <w:rPr>
          <w:color w:val="auto"/>
          <w:highlight w:val="none"/>
          <w:lang w:eastAsia="zh-CN"/>
        </w:rPr>
        <w:t>建筑密度为【不高于</w:t>
      </w:r>
      <w:r>
        <w:rPr>
          <w:rFonts w:hint="eastAsia" w:ascii="Times New Roman" w:hAnsi="Times New Roman"/>
          <w:color w:val="auto"/>
          <w:highlight w:val="none"/>
          <w:lang w:eastAsia="zh-CN"/>
        </w:rPr>
        <w:t>25</w:t>
      </w:r>
      <w:r>
        <w:rPr>
          <w:color w:val="auto"/>
          <w:highlight w:val="none"/>
          <w:lang w:eastAsia="zh-CN"/>
        </w:rPr>
        <w:t xml:space="preserve">%】，绿地率为【不低于 </w:t>
      </w:r>
      <w:r>
        <w:rPr>
          <w:rFonts w:hint="eastAsia" w:ascii="Times New Roman" w:hAnsi="Times New Roman"/>
          <w:color w:val="auto"/>
          <w:highlight w:val="none"/>
          <w:lang w:eastAsia="zh-CN"/>
        </w:rPr>
        <w:t>30</w:t>
      </w:r>
      <w:r>
        <w:rPr>
          <w:color w:val="auto"/>
          <w:highlight w:val="none"/>
          <w:lang w:eastAsia="zh-CN"/>
        </w:rPr>
        <w:t>%】，详见地块规划设计条件书。</w:t>
      </w:r>
    </w:p>
    <w:p>
      <w:pPr>
        <w:pStyle w:val="17"/>
        <w:spacing w:before="1" w:line="374" w:lineRule="auto"/>
        <w:ind w:right="820" w:firstLine="439"/>
        <w:rPr>
          <w:color w:val="auto"/>
          <w:highlight w:val="none"/>
          <w:lang w:eastAsia="zh-CN"/>
        </w:rPr>
      </w:pPr>
      <w:r>
        <w:rPr>
          <w:rFonts w:hint="eastAsia" w:ascii="Times New Roman" w:hAnsi="Times New Roman"/>
          <w:color w:val="auto"/>
          <w:highlight w:val="none"/>
          <w:lang w:eastAsia="zh-CN"/>
        </w:rPr>
        <w:t>GZ428</w:t>
      </w:r>
      <w:r>
        <w:rPr>
          <w:rFonts w:hint="eastAsia"/>
          <w:color w:val="auto"/>
          <w:highlight w:val="none"/>
          <w:lang w:eastAsia="zh-CN"/>
        </w:rPr>
        <w:t>地块</w:t>
      </w:r>
      <w:r>
        <w:rPr>
          <w:color w:val="auto"/>
          <w:highlight w:val="none"/>
          <w:lang w:eastAsia="zh-CN"/>
        </w:rPr>
        <w:t>容积率为</w:t>
      </w:r>
      <w:r>
        <w:rPr>
          <w:b/>
          <w:color w:val="auto"/>
          <w:highlight w:val="none"/>
          <w:lang w:eastAsia="zh-CN"/>
        </w:rPr>
        <w:t>【</w:t>
      </w:r>
      <w:r>
        <w:rPr>
          <w:rFonts w:hint="eastAsia" w:ascii="Times New Roman" w:hAnsi="Times New Roman"/>
          <w:b/>
          <w:color w:val="auto"/>
          <w:highlight w:val="none"/>
          <w:lang w:eastAsia="zh-CN"/>
        </w:rPr>
        <w:t>1</w:t>
      </w:r>
      <w:r>
        <w:rPr>
          <w:b/>
          <w:color w:val="auto"/>
          <w:highlight w:val="none"/>
          <w:lang w:eastAsia="zh-CN"/>
        </w:rPr>
        <w:t>.</w:t>
      </w:r>
      <w:r>
        <w:rPr>
          <w:rFonts w:hint="eastAsia" w:ascii="Times New Roman" w:hAnsi="Times New Roman"/>
          <w:b/>
          <w:color w:val="auto"/>
          <w:highlight w:val="none"/>
          <w:lang w:eastAsia="zh-CN"/>
        </w:rPr>
        <w:t>0</w:t>
      </w:r>
      <w:r>
        <w:rPr>
          <w:b/>
          <w:color w:val="auto"/>
          <w:highlight w:val="none"/>
          <w:lang w:eastAsia="zh-CN"/>
        </w:rPr>
        <w:t>-</w:t>
      </w:r>
      <w:r>
        <w:rPr>
          <w:rFonts w:hint="eastAsia" w:ascii="Times New Roman" w:hAnsi="Times New Roman"/>
          <w:b/>
          <w:color w:val="auto"/>
          <w:highlight w:val="none"/>
          <w:lang w:eastAsia="zh-CN"/>
        </w:rPr>
        <w:t>1</w:t>
      </w:r>
      <w:r>
        <w:rPr>
          <w:b/>
          <w:color w:val="auto"/>
          <w:highlight w:val="none"/>
          <w:lang w:eastAsia="zh-CN"/>
        </w:rPr>
        <w:t>.</w:t>
      </w:r>
      <w:r>
        <w:rPr>
          <w:rFonts w:hint="eastAsia" w:ascii="Times New Roman" w:hAnsi="Times New Roman"/>
          <w:b/>
          <w:color w:val="auto"/>
          <w:highlight w:val="none"/>
          <w:lang w:eastAsia="zh-CN"/>
        </w:rPr>
        <w:t>6</w:t>
      </w:r>
      <w:r>
        <w:rPr>
          <w:b/>
          <w:color w:val="auto"/>
          <w:highlight w:val="none"/>
          <w:lang w:eastAsia="zh-CN"/>
        </w:rPr>
        <w:t>】，</w:t>
      </w:r>
      <w:r>
        <w:rPr>
          <w:color w:val="auto"/>
          <w:highlight w:val="none"/>
          <w:lang w:eastAsia="zh-CN"/>
        </w:rPr>
        <w:t>建筑密度为【不高于</w:t>
      </w:r>
      <w:r>
        <w:rPr>
          <w:rFonts w:hint="eastAsia" w:ascii="Times New Roman" w:hAnsi="Times New Roman"/>
          <w:color w:val="auto"/>
          <w:highlight w:val="none"/>
          <w:lang w:eastAsia="zh-CN"/>
        </w:rPr>
        <w:t>25</w:t>
      </w:r>
      <w:r>
        <w:rPr>
          <w:color w:val="auto"/>
          <w:highlight w:val="none"/>
          <w:lang w:eastAsia="zh-CN"/>
        </w:rPr>
        <w:t xml:space="preserve">%】，绿地率为【不低于 </w:t>
      </w:r>
      <w:r>
        <w:rPr>
          <w:rFonts w:hint="eastAsia" w:ascii="Times New Roman" w:hAnsi="Times New Roman"/>
          <w:color w:val="auto"/>
          <w:highlight w:val="none"/>
          <w:lang w:eastAsia="zh-CN"/>
        </w:rPr>
        <w:t>30</w:t>
      </w:r>
      <w:r>
        <w:rPr>
          <w:color w:val="auto"/>
          <w:highlight w:val="none"/>
          <w:lang w:eastAsia="zh-CN"/>
        </w:rPr>
        <w:t>%】，详见地块规划设计条件书。</w:t>
      </w:r>
    </w:p>
    <w:p>
      <w:pPr>
        <w:pStyle w:val="17"/>
        <w:spacing w:before="1" w:line="374" w:lineRule="auto"/>
        <w:ind w:right="820" w:firstLine="439"/>
        <w:rPr>
          <w:color w:val="auto"/>
          <w:highlight w:val="none"/>
          <w:lang w:eastAsia="zh-CN"/>
        </w:rPr>
      </w:pPr>
      <w:r>
        <w:rPr>
          <w:color w:val="auto"/>
          <w:highlight w:val="none"/>
          <w:lang w:eastAsia="zh-CN"/>
        </w:rPr>
        <w:t>项目预计</w:t>
      </w:r>
      <w:r>
        <w:rPr>
          <w:rFonts w:hint="eastAsia"/>
          <w:color w:val="auto"/>
          <w:highlight w:val="none"/>
          <w:lang w:eastAsia="zh-CN"/>
        </w:rPr>
        <w:t>总</w:t>
      </w:r>
      <w:r>
        <w:rPr>
          <w:color w:val="auto"/>
          <w:highlight w:val="none"/>
          <w:lang w:eastAsia="zh-CN"/>
        </w:rPr>
        <w:t>规划计容建筑面积【</w:t>
      </w:r>
      <w:r>
        <w:rPr>
          <w:rFonts w:hint="eastAsia" w:ascii="Times New Roman" w:hAnsi="Times New Roman"/>
          <w:color w:val="auto"/>
          <w:highlight w:val="none"/>
          <w:lang w:eastAsia="zh-CN"/>
        </w:rPr>
        <w:t>138470</w:t>
      </w:r>
      <w:r>
        <w:rPr>
          <w:color w:val="auto"/>
          <w:highlight w:val="none"/>
          <w:lang w:eastAsia="zh-CN"/>
        </w:rPr>
        <w:t>】平方米（最终以规划部门核准的指标为准）。</w:t>
      </w:r>
    </w:p>
    <w:p>
      <w:pPr>
        <w:pStyle w:val="17"/>
        <w:spacing w:before="1" w:line="374" w:lineRule="auto"/>
        <w:ind w:right="820" w:firstLine="439"/>
        <w:rPr>
          <w:color w:val="auto"/>
          <w:highlight w:val="none"/>
          <w:lang w:eastAsia="zh-CN"/>
        </w:rPr>
      </w:pPr>
      <w:r>
        <w:rPr>
          <w:rFonts w:hint="eastAsia" w:ascii="Times New Roman" w:hAnsi="Times New Roman"/>
          <w:color w:val="auto"/>
          <w:highlight w:val="none"/>
          <w:lang w:eastAsia="zh-CN"/>
        </w:rPr>
        <w:t>8</w:t>
      </w:r>
      <w:r>
        <w:rPr>
          <w:color w:val="auto"/>
          <w:highlight w:val="none"/>
          <w:lang w:eastAsia="zh-CN"/>
        </w:rPr>
        <w:t>、建设内容和建设标准：</w:t>
      </w:r>
    </w:p>
    <w:p>
      <w:pPr>
        <w:pStyle w:val="17"/>
        <w:spacing w:before="1" w:line="374" w:lineRule="auto"/>
        <w:ind w:right="820" w:firstLine="439"/>
        <w:rPr>
          <w:color w:val="auto"/>
          <w:highlight w:val="none"/>
          <w:lang w:eastAsia="zh-CN"/>
        </w:rPr>
      </w:pPr>
      <w:r>
        <w:rPr>
          <w:color w:val="auto"/>
          <w:highlight w:val="none"/>
          <w:lang w:eastAsia="zh-CN"/>
        </w:rPr>
        <w:t>项目建设内容包括【住宅、商业】；</w:t>
      </w:r>
    </w:p>
    <w:p>
      <w:pPr>
        <w:pStyle w:val="17"/>
        <w:spacing w:before="1" w:line="374" w:lineRule="auto"/>
        <w:ind w:right="820" w:firstLine="439"/>
        <w:rPr>
          <w:color w:val="auto"/>
          <w:highlight w:val="none"/>
          <w:lang w:eastAsia="zh-CN"/>
        </w:rPr>
      </w:pPr>
      <w:r>
        <w:rPr>
          <w:color w:val="auto"/>
          <w:highlight w:val="none"/>
          <w:lang w:eastAsia="zh-CN"/>
        </w:rPr>
        <w:t>项目建设交付标准为：住宅为【毛坯</w:t>
      </w:r>
      <w:r>
        <w:rPr>
          <w:rFonts w:hint="eastAsia"/>
          <w:color w:val="auto"/>
          <w:highlight w:val="none"/>
          <w:lang w:eastAsia="zh-CN"/>
        </w:rPr>
        <w:t>\精装</w:t>
      </w:r>
      <w:r>
        <w:rPr>
          <w:color w:val="auto"/>
          <w:highlight w:val="none"/>
          <w:lang w:eastAsia="zh-CN"/>
        </w:rPr>
        <w:t>】，商业为【毛坯】，其他物业为【毛坯】。</w:t>
      </w:r>
    </w:p>
    <w:p>
      <w:pPr>
        <w:pStyle w:val="17"/>
        <w:spacing w:before="1" w:line="374" w:lineRule="auto"/>
        <w:ind w:right="820" w:firstLine="439"/>
        <w:rPr>
          <w:color w:val="auto"/>
          <w:highlight w:val="none"/>
          <w:lang w:eastAsia="zh-CN"/>
        </w:rPr>
      </w:pPr>
      <w:r>
        <w:rPr>
          <w:rFonts w:hint="eastAsia" w:ascii="Times New Roman" w:hAnsi="Times New Roman"/>
          <w:color w:val="auto"/>
          <w:highlight w:val="none"/>
          <w:lang w:eastAsia="zh-CN"/>
        </w:rPr>
        <w:t>9</w:t>
      </w:r>
      <w:r>
        <w:rPr>
          <w:color w:val="auto"/>
          <w:highlight w:val="none"/>
          <w:lang w:eastAsia="zh-CN"/>
        </w:rPr>
        <w:t>、项目进展情况：【未动工】。</w:t>
      </w:r>
    </w:p>
    <w:p>
      <w:pPr>
        <w:pStyle w:val="13"/>
        <w:spacing w:line="278" w:lineRule="exact"/>
        <w:ind w:left="0" w:leftChars="0" w:firstLine="410" w:firstLineChars="200"/>
        <w:rPr>
          <w:color w:val="auto"/>
          <w:highlight w:val="none"/>
          <w:lang w:eastAsia="zh-CN"/>
        </w:rPr>
      </w:pPr>
      <w:r>
        <w:rPr>
          <w:color w:val="auto"/>
          <w:spacing w:val="-3"/>
          <w:highlight w:val="none"/>
          <w:lang w:eastAsia="zh-CN"/>
        </w:rPr>
        <w:t>第二条 项目</w:t>
      </w:r>
      <w:r>
        <w:rPr>
          <w:rFonts w:hint="eastAsia"/>
          <w:color w:val="auto"/>
          <w:spacing w:val="-3"/>
          <w:highlight w:val="none"/>
          <w:lang w:eastAsia="zh-CN"/>
        </w:rPr>
        <w:t>开发管理服务</w:t>
      </w:r>
      <w:r>
        <w:rPr>
          <w:color w:val="auto"/>
          <w:spacing w:val="-3"/>
          <w:highlight w:val="none"/>
          <w:lang w:eastAsia="zh-CN"/>
        </w:rPr>
        <w:t>基本原则</w:t>
      </w:r>
    </w:p>
    <w:p>
      <w:pPr>
        <w:pStyle w:val="17"/>
        <w:spacing w:before="157" w:line="374" w:lineRule="auto"/>
        <w:ind w:right="817" w:firstLine="439"/>
        <w:jc w:val="both"/>
        <w:rPr>
          <w:color w:val="auto"/>
          <w:highlight w:val="none"/>
          <w:lang w:eastAsia="zh-CN"/>
        </w:rPr>
      </w:pPr>
      <w:r>
        <w:rPr>
          <w:rFonts w:hint="eastAsia" w:ascii="Times New Roman" w:hAnsi="Times New Roman"/>
          <w:color w:val="auto"/>
          <w:highlight w:val="none"/>
          <w:lang w:eastAsia="zh-CN"/>
        </w:rPr>
        <w:t>1</w:t>
      </w:r>
      <w:r>
        <w:rPr>
          <w:color w:val="auto"/>
          <w:highlight w:val="none"/>
          <w:lang w:eastAsia="zh-CN"/>
        </w:rPr>
        <w:t>、为了提高管理效率、降低管理成本，本项目的</w:t>
      </w:r>
      <w:r>
        <w:rPr>
          <w:rFonts w:hint="eastAsia"/>
          <w:color w:val="auto"/>
          <w:highlight w:val="none"/>
          <w:lang w:eastAsia="zh-CN"/>
        </w:rPr>
        <w:t>开发管理服务</w:t>
      </w:r>
      <w:r>
        <w:rPr>
          <w:color w:val="auto"/>
          <w:highlight w:val="none"/>
          <w:lang w:eastAsia="zh-CN"/>
        </w:rPr>
        <w:t>实行有限制的授权管理模式。即在项目</w:t>
      </w:r>
      <w:r>
        <w:rPr>
          <w:rFonts w:hint="eastAsia"/>
          <w:color w:val="auto"/>
          <w:highlight w:val="none"/>
          <w:lang w:eastAsia="zh-CN"/>
        </w:rPr>
        <w:t>开发</w:t>
      </w:r>
      <w:r>
        <w:rPr>
          <w:color w:val="auto"/>
          <w:highlight w:val="none"/>
          <w:lang w:eastAsia="zh-CN"/>
        </w:rPr>
        <w:t>管理</w:t>
      </w:r>
      <w:r>
        <w:rPr>
          <w:rFonts w:hint="eastAsia"/>
          <w:color w:val="auto"/>
          <w:highlight w:val="none"/>
          <w:lang w:eastAsia="zh-CN"/>
        </w:rPr>
        <w:t>服务</w:t>
      </w:r>
      <w:r>
        <w:rPr>
          <w:color w:val="auto"/>
          <w:highlight w:val="none"/>
          <w:lang w:eastAsia="zh-CN"/>
        </w:rPr>
        <w:t>范围内，并在按审批权限表完成审批后</w:t>
      </w:r>
      <w:r>
        <w:rPr>
          <w:rFonts w:hint="eastAsia"/>
          <w:color w:val="auto"/>
          <w:highlight w:val="none"/>
          <w:lang w:eastAsia="zh-CN"/>
        </w:rPr>
        <w:t>，经甲方用章</w:t>
      </w:r>
      <w:r>
        <w:rPr>
          <w:color w:val="auto"/>
          <w:highlight w:val="none"/>
          <w:lang w:eastAsia="zh-CN"/>
        </w:rPr>
        <w:t>以甲方名义行使该等权利。上述授权范围根据本合同的约定确定，未经双方同意不得随意变更。但若乙方未按规定权限执行或依据权限执行不当给甲方造成损失时，甲方有权就相关权限进行调整，而无须经得乙方另行同意。</w:t>
      </w:r>
    </w:p>
    <w:p>
      <w:pPr>
        <w:pStyle w:val="17"/>
        <w:spacing w:before="2" w:line="374" w:lineRule="auto"/>
        <w:ind w:right="817" w:firstLine="439"/>
        <w:jc w:val="both"/>
        <w:rPr>
          <w:color w:val="auto"/>
          <w:highlight w:val="none"/>
          <w:lang w:eastAsia="zh-CN"/>
        </w:rPr>
      </w:pPr>
      <w:r>
        <w:rPr>
          <w:rFonts w:hint="eastAsia" w:ascii="Times New Roman" w:hAnsi="Times New Roman"/>
          <w:color w:val="auto"/>
          <w:highlight w:val="none"/>
          <w:lang w:eastAsia="zh-CN"/>
        </w:rPr>
        <w:t>2</w:t>
      </w:r>
      <w:r>
        <w:rPr>
          <w:color w:val="auto"/>
          <w:highlight w:val="none"/>
          <w:lang w:eastAsia="zh-CN"/>
        </w:rPr>
        <w:t>、甲方作为项目的开发建设单位，负责筹措项目开发建设所需的全部资金，拥有项目开发中知情权、监督权</w:t>
      </w:r>
      <w:r>
        <w:rPr>
          <w:rFonts w:hint="eastAsia"/>
          <w:color w:val="auto"/>
          <w:highlight w:val="none"/>
          <w:lang w:eastAsia="zh-CN"/>
        </w:rPr>
        <w:t>、</w:t>
      </w:r>
      <w:r>
        <w:rPr>
          <w:color w:val="auto"/>
          <w:highlight w:val="none"/>
          <w:lang w:eastAsia="zh-CN"/>
        </w:rPr>
        <w:t>建议权</w:t>
      </w:r>
      <w:r>
        <w:rPr>
          <w:rFonts w:hint="eastAsia"/>
          <w:color w:val="auto"/>
          <w:highlight w:val="none"/>
          <w:lang w:eastAsia="zh-CN"/>
        </w:rPr>
        <w:t>和决策权</w:t>
      </w:r>
      <w:r>
        <w:rPr>
          <w:color w:val="auto"/>
          <w:highlight w:val="none"/>
          <w:lang w:eastAsia="zh-CN"/>
        </w:rPr>
        <w:t>，并在项目定位、项目方案、项目重大设计变更、目标成本设定、计划节点设定、</w:t>
      </w:r>
      <w:r>
        <w:rPr>
          <w:rFonts w:hint="eastAsia"/>
          <w:color w:val="auto"/>
          <w:highlight w:val="none"/>
          <w:lang w:eastAsia="zh-CN"/>
        </w:rPr>
        <w:t>项目</w:t>
      </w:r>
      <w:r>
        <w:rPr>
          <w:color w:val="auto"/>
          <w:highlight w:val="none"/>
          <w:lang w:eastAsia="zh-CN"/>
        </w:rPr>
        <w:t>招标、项目定价、营销方案等环节具有最终决策权。甲方依法享有项目的投资收益，承担项目投资风险。</w:t>
      </w:r>
    </w:p>
    <w:p>
      <w:pPr>
        <w:pStyle w:val="17"/>
        <w:spacing w:before="3" w:line="374" w:lineRule="auto"/>
        <w:ind w:right="817" w:firstLine="439"/>
        <w:jc w:val="both"/>
        <w:rPr>
          <w:color w:val="auto"/>
          <w:highlight w:val="none"/>
          <w:lang w:eastAsia="zh-CN"/>
        </w:rPr>
      </w:pPr>
      <w:r>
        <w:rPr>
          <w:rFonts w:hint="eastAsia" w:ascii="Times New Roman" w:hAnsi="Times New Roman"/>
          <w:color w:val="auto"/>
          <w:highlight w:val="none"/>
          <w:lang w:eastAsia="zh-CN"/>
        </w:rPr>
        <w:t>3</w:t>
      </w:r>
      <w:r>
        <w:rPr>
          <w:color w:val="auto"/>
          <w:highlight w:val="none"/>
          <w:lang w:eastAsia="zh-CN"/>
        </w:rPr>
        <w:t>、乙方根据本合同的约定履行</w:t>
      </w:r>
      <w:r>
        <w:rPr>
          <w:rFonts w:hint="eastAsia"/>
          <w:color w:val="auto"/>
          <w:highlight w:val="none"/>
          <w:lang w:eastAsia="zh-CN"/>
        </w:rPr>
        <w:t>开发管理服务</w:t>
      </w:r>
      <w:r>
        <w:rPr>
          <w:color w:val="auto"/>
          <w:highlight w:val="none"/>
          <w:lang w:eastAsia="zh-CN"/>
        </w:rPr>
        <w:t>职责和义务，组建项目管理</w:t>
      </w:r>
      <w:r>
        <w:rPr>
          <w:rFonts w:hint="eastAsia"/>
          <w:color w:val="auto"/>
          <w:highlight w:val="none"/>
          <w:lang w:eastAsia="zh-CN"/>
        </w:rPr>
        <w:t>服务</w:t>
      </w:r>
      <w:r>
        <w:rPr>
          <w:color w:val="auto"/>
          <w:highlight w:val="none"/>
          <w:lang w:eastAsia="zh-CN"/>
        </w:rPr>
        <w:t>团队，对甲方负责，在本合同约定或甲方的特别授权许可范围内代表甲方行使项目经营管理权，努力实现项目管理各项目标，并有权获得本合同约定的管理服务费等收益。</w:t>
      </w:r>
    </w:p>
    <w:p>
      <w:pPr>
        <w:pStyle w:val="17"/>
        <w:spacing w:before="1" w:line="374" w:lineRule="auto"/>
        <w:ind w:right="820" w:firstLine="439"/>
        <w:rPr>
          <w:color w:val="auto"/>
          <w:highlight w:val="none"/>
          <w:lang w:eastAsia="zh-CN"/>
        </w:rPr>
      </w:pPr>
      <w:r>
        <w:rPr>
          <w:rFonts w:hint="eastAsia" w:ascii="Times New Roman" w:hAnsi="Times New Roman"/>
          <w:color w:val="auto"/>
          <w:highlight w:val="none"/>
          <w:lang w:eastAsia="zh-CN"/>
        </w:rPr>
        <w:t>4</w:t>
      </w:r>
      <w:r>
        <w:rPr>
          <w:color w:val="auto"/>
          <w:highlight w:val="none"/>
          <w:lang w:eastAsia="zh-CN"/>
        </w:rPr>
        <w:t>、本项目的</w:t>
      </w:r>
      <w:r>
        <w:rPr>
          <w:rFonts w:hint="eastAsia"/>
          <w:color w:val="auto"/>
          <w:highlight w:val="none"/>
          <w:lang w:eastAsia="zh-CN"/>
        </w:rPr>
        <w:t>开发管理服务</w:t>
      </w:r>
      <w:r>
        <w:rPr>
          <w:color w:val="auto"/>
          <w:highlight w:val="none"/>
          <w:lang w:eastAsia="zh-CN"/>
        </w:rPr>
        <w:t>实行合同制管理，项目开发建设过程中的各类合同以甲方名义签订，由乙方进行合同履行的全过程管理</w:t>
      </w:r>
      <w:r>
        <w:rPr>
          <w:rFonts w:hint="eastAsia"/>
          <w:color w:val="auto"/>
          <w:highlight w:val="none"/>
          <w:lang w:eastAsia="zh-CN"/>
        </w:rPr>
        <w:t>，对甲方负责，并履职尽责</w:t>
      </w:r>
      <w:r>
        <w:rPr>
          <w:color w:val="auto"/>
          <w:highlight w:val="none"/>
          <w:lang w:eastAsia="zh-CN"/>
        </w:rPr>
        <w:t>。</w:t>
      </w:r>
    </w:p>
    <w:p>
      <w:pPr>
        <w:pStyle w:val="13"/>
        <w:spacing w:line="281" w:lineRule="exact"/>
        <w:ind w:left="0" w:leftChars="0" w:firstLine="422" w:firstLineChars="200"/>
        <w:rPr>
          <w:color w:val="auto"/>
          <w:highlight w:val="none"/>
          <w:lang w:eastAsia="zh-CN"/>
        </w:rPr>
      </w:pPr>
      <w:r>
        <w:rPr>
          <w:color w:val="auto"/>
          <w:highlight w:val="none"/>
          <w:lang w:eastAsia="zh-CN"/>
        </w:rPr>
        <w:t>第三条 管理范围及服务期限</w:t>
      </w:r>
    </w:p>
    <w:p>
      <w:pPr>
        <w:pStyle w:val="13"/>
        <w:spacing w:line="281" w:lineRule="exact"/>
        <w:rPr>
          <w:color w:val="auto"/>
          <w:highlight w:val="none"/>
          <w:lang w:eastAsia="zh-CN"/>
        </w:rPr>
      </w:pPr>
    </w:p>
    <w:p>
      <w:pPr>
        <w:pStyle w:val="17"/>
        <w:spacing w:before="159" w:line="374" w:lineRule="auto"/>
        <w:ind w:right="820" w:firstLine="439"/>
        <w:rPr>
          <w:color w:val="auto"/>
          <w:highlight w:val="none"/>
          <w:lang w:eastAsia="zh-CN"/>
        </w:rPr>
      </w:pPr>
      <w:r>
        <w:rPr>
          <w:rFonts w:hint="eastAsia" w:ascii="Times New Roman" w:hAnsi="Times New Roman"/>
          <w:color w:val="auto"/>
          <w:highlight w:val="none"/>
          <w:lang w:eastAsia="zh-CN"/>
        </w:rPr>
        <w:t>1</w:t>
      </w:r>
      <w:r>
        <w:rPr>
          <w:color w:val="auto"/>
          <w:highlight w:val="none"/>
          <w:lang w:eastAsia="zh-CN"/>
        </w:rPr>
        <w:t>、</w:t>
      </w:r>
      <w:r>
        <w:rPr>
          <w:rFonts w:hint="eastAsia"/>
          <w:color w:val="auto"/>
          <w:highlight w:val="none"/>
          <w:lang w:eastAsia="zh-CN"/>
        </w:rPr>
        <w:t>本合同约定的开发管理服务涵盖</w:t>
      </w:r>
      <w:r>
        <w:rPr>
          <w:color w:val="auto"/>
          <w:highlight w:val="none"/>
          <w:lang w:eastAsia="zh-CN"/>
        </w:rPr>
        <w:t>项目的全过程开发管理工作，乙方对管理范围内应该从事的具体管理事项</w:t>
      </w:r>
      <w:r>
        <w:rPr>
          <w:rFonts w:hint="eastAsia"/>
          <w:color w:val="auto"/>
          <w:highlight w:val="none"/>
          <w:lang w:eastAsia="zh-CN"/>
        </w:rPr>
        <w:t>包含但不限于以下主要</w:t>
      </w:r>
      <w:r>
        <w:rPr>
          <w:color w:val="auto"/>
          <w:highlight w:val="none"/>
          <w:lang w:eastAsia="zh-CN"/>
        </w:rPr>
        <w:t>列举：</w:t>
      </w:r>
    </w:p>
    <w:p>
      <w:pPr>
        <w:pStyle w:val="90"/>
        <w:numPr>
          <w:ilvl w:val="0"/>
          <w:numId w:val="0"/>
        </w:numPr>
        <w:tabs>
          <w:tab w:val="left" w:pos="1824"/>
        </w:tabs>
        <w:spacing w:line="376" w:lineRule="auto"/>
        <w:ind w:right="817" w:rightChars="0" w:firstLine="204" w:firstLineChars="100"/>
        <w:rPr>
          <w:color w:val="auto"/>
          <w:highlight w:val="none"/>
          <w:lang w:eastAsia="zh-CN"/>
        </w:rPr>
      </w:pPr>
      <w:r>
        <w:rPr>
          <w:rFonts w:hint="default" w:ascii="宋体" w:hAnsi="宋体" w:eastAsia="宋体" w:cs="宋体"/>
          <w:color w:val="auto"/>
          <w:spacing w:val="2"/>
          <w:w w:val="100"/>
          <w:kern w:val="2"/>
          <w:sz w:val="20"/>
          <w:szCs w:val="20"/>
          <w:highlight w:val="none"/>
          <w:lang w:val="en-US" w:eastAsia="zh-CN" w:bidi="ar-SA"/>
        </w:rPr>
        <w:t>（</w:t>
      </w:r>
      <w:r>
        <w:rPr>
          <w:rFonts w:hint="eastAsia" w:ascii="Times New Roman" w:hAnsi="Times New Roman" w:cs="宋体"/>
          <w:color w:val="auto"/>
          <w:spacing w:val="2"/>
          <w:w w:val="100"/>
          <w:kern w:val="2"/>
          <w:sz w:val="20"/>
          <w:szCs w:val="20"/>
          <w:highlight w:val="none"/>
          <w:lang w:val="en-US" w:eastAsia="zh-CN" w:bidi="ar-SA"/>
        </w:rPr>
        <w:t>1</w:t>
      </w:r>
      <w:r>
        <w:rPr>
          <w:rFonts w:hint="default" w:ascii="宋体" w:hAnsi="宋体" w:eastAsia="宋体" w:cs="宋体"/>
          <w:color w:val="auto"/>
          <w:spacing w:val="2"/>
          <w:w w:val="100"/>
          <w:kern w:val="2"/>
          <w:sz w:val="20"/>
          <w:szCs w:val="20"/>
          <w:highlight w:val="none"/>
          <w:lang w:val="en-US" w:eastAsia="zh-CN" w:bidi="ar-SA"/>
        </w:rPr>
        <w:t>）</w:t>
      </w:r>
      <w:r>
        <w:rPr>
          <w:rFonts w:hint="eastAsia"/>
          <w:color w:val="auto"/>
          <w:highlight w:val="none"/>
          <w:lang w:eastAsia="zh-CN"/>
        </w:rPr>
        <w:t>管理系统工作：项目公司各项管理制度的建立，并协助甲方建立项目公司财务管理系统、</w:t>
      </w:r>
      <w:r>
        <w:rPr>
          <w:rFonts w:hint="eastAsia" w:ascii="Times New Roman" w:hAnsi="Times New Roman"/>
          <w:color w:val="auto"/>
          <w:highlight w:val="none"/>
          <w:lang w:eastAsia="zh-CN"/>
        </w:rPr>
        <w:t>ERP</w:t>
      </w:r>
      <w:r>
        <w:rPr>
          <w:rFonts w:hint="eastAsia"/>
          <w:color w:val="auto"/>
          <w:highlight w:val="none"/>
          <w:lang w:eastAsia="zh-CN"/>
        </w:rPr>
        <w:t>管理系统等，并做好日常维护。</w:t>
      </w:r>
    </w:p>
    <w:p>
      <w:pPr>
        <w:pStyle w:val="90"/>
        <w:numPr>
          <w:ilvl w:val="0"/>
          <w:numId w:val="0"/>
        </w:numPr>
        <w:tabs>
          <w:tab w:val="left" w:pos="1824"/>
        </w:tabs>
        <w:spacing w:line="376" w:lineRule="auto"/>
        <w:ind w:right="817" w:rightChars="0" w:firstLine="204" w:firstLineChars="100"/>
        <w:rPr>
          <w:color w:val="auto"/>
          <w:highlight w:val="none"/>
          <w:lang w:eastAsia="zh-CN"/>
        </w:rPr>
      </w:pPr>
      <w:r>
        <w:rPr>
          <w:rFonts w:hint="default" w:ascii="宋体" w:hAnsi="宋体" w:eastAsia="宋体" w:cs="宋体"/>
          <w:color w:val="auto"/>
          <w:spacing w:val="2"/>
          <w:w w:val="100"/>
          <w:kern w:val="2"/>
          <w:sz w:val="20"/>
          <w:szCs w:val="20"/>
          <w:highlight w:val="none"/>
          <w:lang w:val="en-US" w:eastAsia="zh-CN" w:bidi="ar-SA"/>
        </w:rPr>
        <w:t>（</w:t>
      </w:r>
      <w:r>
        <w:rPr>
          <w:rFonts w:hint="eastAsia" w:ascii="Times New Roman" w:hAnsi="Times New Roman" w:cs="宋体"/>
          <w:color w:val="auto"/>
          <w:spacing w:val="2"/>
          <w:w w:val="100"/>
          <w:kern w:val="2"/>
          <w:sz w:val="20"/>
          <w:szCs w:val="20"/>
          <w:highlight w:val="none"/>
          <w:lang w:val="en-US" w:eastAsia="zh-CN" w:bidi="ar-SA"/>
        </w:rPr>
        <w:t>2</w:t>
      </w:r>
      <w:r>
        <w:rPr>
          <w:rFonts w:hint="default" w:ascii="宋体" w:hAnsi="宋体" w:eastAsia="宋体" w:cs="宋体"/>
          <w:color w:val="auto"/>
          <w:spacing w:val="2"/>
          <w:w w:val="100"/>
          <w:kern w:val="2"/>
          <w:sz w:val="20"/>
          <w:szCs w:val="20"/>
          <w:highlight w:val="none"/>
          <w:lang w:val="en-US" w:eastAsia="zh-CN" w:bidi="ar-SA"/>
        </w:rPr>
        <w:t>）</w:t>
      </w:r>
      <w:r>
        <w:rPr>
          <w:color w:val="auto"/>
          <w:highlight w:val="none"/>
          <w:lang w:eastAsia="zh-CN"/>
        </w:rPr>
        <w:t>前期管理工作：对项目的运营思路和方案进行统筹规划，乙方负责办理项目</w:t>
      </w:r>
      <w:r>
        <w:rPr>
          <w:color w:val="auto"/>
          <w:spacing w:val="-3"/>
          <w:highlight w:val="none"/>
          <w:lang w:eastAsia="zh-CN"/>
        </w:rPr>
        <w:t>开发建设所需的具体审批和许可手续（但本合同另有约定的除外）</w:t>
      </w:r>
      <w:r>
        <w:rPr>
          <w:color w:val="auto"/>
          <w:highlight w:val="none"/>
          <w:lang w:eastAsia="zh-CN"/>
        </w:rPr>
        <w:t>。</w:t>
      </w:r>
    </w:p>
    <w:p>
      <w:pPr>
        <w:pStyle w:val="90"/>
        <w:numPr>
          <w:ilvl w:val="0"/>
          <w:numId w:val="0"/>
        </w:numPr>
        <w:tabs>
          <w:tab w:val="left" w:pos="1824"/>
        </w:tabs>
        <w:spacing w:line="374" w:lineRule="auto"/>
        <w:ind w:right="817" w:rightChars="0" w:firstLine="204" w:firstLineChars="100"/>
        <w:jc w:val="both"/>
        <w:rPr>
          <w:color w:val="auto"/>
          <w:highlight w:val="none"/>
          <w:lang w:eastAsia="zh-CN"/>
        </w:rPr>
      </w:pPr>
      <w:r>
        <w:rPr>
          <w:rFonts w:hint="default" w:ascii="宋体" w:hAnsi="宋体" w:eastAsia="宋体" w:cs="宋体"/>
          <w:color w:val="auto"/>
          <w:spacing w:val="2"/>
          <w:w w:val="100"/>
          <w:kern w:val="2"/>
          <w:sz w:val="20"/>
          <w:szCs w:val="20"/>
          <w:highlight w:val="none"/>
          <w:lang w:val="en-US" w:eastAsia="zh-CN" w:bidi="ar-SA"/>
        </w:rPr>
        <w:t>（</w:t>
      </w:r>
      <w:r>
        <w:rPr>
          <w:rFonts w:hint="eastAsia" w:ascii="Times New Roman" w:hAnsi="Times New Roman" w:cs="宋体"/>
          <w:color w:val="auto"/>
          <w:spacing w:val="2"/>
          <w:w w:val="100"/>
          <w:kern w:val="2"/>
          <w:sz w:val="20"/>
          <w:szCs w:val="20"/>
          <w:highlight w:val="none"/>
          <w:lang w:val="en-US" w:eastAsia="zh-CN" w:bidi="ar-SA"/>
        </w:rPr>
        <w:t>3</w:t>
      </w:r>
      <w:r>
        <w:rPr>
          <w:rFonts w:hint="default" w:ascii="宋体" w:hAnsi="宋体" w:eastAsia="宋体" w:cs="宋体"/>
          <w:color w:val="auto"/>
          <w:spacing w:val="2"/>
          <w:w w:val="100"/>
          <w:kern w:val="2"/>
          <w:sz w:val="20"/>
          <w:szCs w:val="20"/>
          <w:highlight w:val="none"/>
          <w:lang w:val="en-US" w:eastAsia="zh-CN" w:bidi="ar-SA"/>
        </w:rPr>
        <w:t>）</w:t>
      </w:r>
      <w:r>
        <w:rPr>
          <w:color w:val="auto"/>
          <w:highlight w:val="none"/>
          <w:lang w:eastAsia="zh-CN"/>
        </w:rPr>
        <w:t>规划设计管理：根据项目类型和实际情况负责各阶段设计单位</w:t>
      </w:r>
      <w:r>
        <w:rPr>
          <w:color w:val="auto"/>
          <w:spacing w:val="4"/>
          <w:highlight w:val="none"/>
          <w:lang w:eastAsia="zh-CN"/>
        </w:rPr>
        <w:t>（</w:t>
      </w:r>
      <w:r>
        <w:rPr>
          <w:color w:val="auto"/>
          <w:highlight w:val="none"/>
          <w:lang w:eastAsia="zh-CN"/>
        </w:rPr>
        <w:t>包括但不限于规划设计、建筑设计、景观设计、装修装饰设计等）的设计管理工作，把控设计进度</w:t>
      </w:r>
      <w:r>
        <w:rPr>
          <w:color w:val="auto"/>
          <w:spacing w:val="-3"/>
          <w:highlight w:val="none"/>
          <w:lang w:eastAsia="zh-CN"/>
        </w:rPr>
        <w:t>及设计成果质量。</w:t>
      </w:r>
    </w:p>
    <w:p>
      <w:pPr>
        <w:pStyle w:val="90"/>
        <w:numPr>
          <w:ilvl w:val="0"/>
          <w:numId w:val="0"/>
        </w:numPr>
        <w:tabs>
          <w:tab w:val="left" w:pos="1863"/>
        </w:tabs>
        <w:spacing w:line="374" w:lineRule="auto"/>
        <w:ind w:right="817" w:rightChars="0" w:firstLine="204" w:firstLineChars="100"/>
        <w:rPr>
          <w:color w:val="auto"/>
          <w:highlight w:val="none"/>
          <w:lang w:eastAsia="zh-CN"/>
        </w:rPr>
      </w:pPr>
      <w:r>
        <w:rPr>
          <w:rFonts w:hint="default" w:ascii="宋体" w:hAnsi="宋体" w:eastAsia="宋体" w:cs="宋体"/>
          <w:color w:val="auto"/>
          <w:spacing w:val="2"/>
          <w:w w:val="100"/>
          <w:kern w:val="2"/>
          <w:sz w:val="20"/>
          <w:szCs w:val="20"/>
          <w:highlight w:val="none"/>
          <w:lang w:val="en-US" w:eastAsia="zh-CN" w:bidi="ar-SA"/>
        </w:rPr>
        <w:t>（</w:t>
      </w:r>
      <w:r>
        <w:rPr>
          <w:rFonts w:hint="eastAsia" w:ascii="Times New Roman" w:hAnsi="Times New Roman" w:cs="宋体"/>
          <w:color w:val="auto"/>
          <w:spacing w:val="2"/>
          <w:w w:val="100"/>
          <w:kern w:val="2"/>
          <w:sz w:val="20"/>
          <w:szCs w:val="20"/>
          <w:highlight w:val="none"/>
          <w:lang w:val="en-US" w:eastAsia="zh-CN" w:bidi="ar-SA"/>
        </w:rPr>
        <w:t>4</w:t>
      </w:r>
      <w:r>
        <w:rPr>
          <w:rFonts w:hint="default" w:ascii="宋体" w:hAnsi="宋体" w:eastAsia="宋体" w:cs="宋体"/>
          <w:color w:val="auto"/>
          <w:spacing w:val="2"/>
          <w:w w:val="100"/>
          <w:kern w:val="2"/>
          <w:sz w:val="20"/>
          <w:szCs w:val="20"/>
          <w:highlight w:val="none"/>
          <w:lang w:val="en-US" w:eastAsia="zh-CN" w:bidi="ar-SA"/>
        </w:rPr>
        <w:t>）</w:t>
      </w:r>
      <w:r>
        <w:rPr>
          <w:color w:val="auto"/>
          <w:spacing w:val="16"/>
          <w:highlight w:val="none"/>
          <w:lang w:eastAsia="zh-CN"/>
        </w:rPr>
        <w:t>成本管理：制订合理的项目成本管理目标（</w:t>
      </w:r>
      <w:r>
        <w:rPr>
          <w:color w:val="auto"/>
          <w:spacing w:val="14"/>
          <w:highlight w:val="none"/>
          <w:lang w:eastAsia="zh-CN"/>
        </w:rPr>
        <w:t>需经甲乙双方按合同约定确认）</w:t>
      </w:r>
      <w:r>
        <w:rPr>
          <w:color w:val="auto"/>
          <w:spacing w:val="-3"/>
          <w:highlight w:val="none"/>
          <w:lang w:eastAsia="zh-CN"/>
        </w:rPr>
        <w:t>，</w:t>
      </w:r>
      <w:r>
        <w:rPr>
          <w:rFonts w:hint="eastAsia"/>
          <w:color w:val="auto"/>
          <w:spacing w:val="-3"/>
          <w:highlight w:val="none"/>
          <w:lang w:eastAsia="zh-CN"/>
        </w:rPr>
        <w:t>免费提供乙方集采资源，</w:t>
      </w:r>
      <w:r>
        <w:rPr>
          <w:color w:val="auto"/>
          <w:spacing w:val="-3"/>
          <w:highlight w:val="none"/>
          <w:lang w:eastAsia="zh-CN"/>
        </w:rPr>
        <w:t>并在项目开发建设全过程中实行有效的成本管理。</w:t>
      </w:r>
    </w:p>
    <w:p>
      <w:pPr>
        <w:pStyle w:val="90"/>
        <w:numPr>
          <w:ilvl w:val="0"/>
          <w:numId w:val="0"/>
        </w:numPr>
        <w:tabs>
          <w:tab w:val="left" w:pos="1824"/>
        </w:tabs>
        <w:spacing w:before="158" w:line="374" w:lineRule="auto"/>
        <w:ind w:right="817" w:rightChars="0" w:firstLine="204" w:firstLineChars="100"/>
        <w:jc w:val="both"/>
        <w:rPr>
          <w:color w:val="auto"/>
          <w:highlight w:val="none"/>
          <w:lang w:eastAsia="zh-CN"/>
        </w:rPr>
      </w:pPr>
      <w:r>
        <w:rPr>
          <w:rFonts w:hint="default" w:ascii="宋体" w:hAnsi="宋体" w:eastAsia="宋体" w:cs="宋体"/>
          <w:color w:val="auto"/>
          <w:spacing w:val="2"/>
          <w:w w:val="100"/>
          <w:kern w:val="2"/>
          <w:sz w:val="20"/>
          <w:szCs w:val="20"/>
          <w:highlight w:val="none"/>
          <w:lang w:val="en-US" w:eastAsia="zh-CN" w:bidi="ar-SA"/>
        </w:rPr>
        <w:t>（</w:t>
      </w:r>
      <w:r>
        <w:rPr>
          <w:rFonts w:hint="eastAsia" w:ascii="Times New Roman" w:hAnsi="Times New Roman" w:cs="宋体"/>
          <w:color w:val="auto"/>
          <w:spacing w:val="2"/>
          <w:w w:val="100"/>
          <w:kern w:val="2"/>
          <w:sz w:val="20"/>
          <w:szCs w:val="20"/>
          <w:highlight w:val="none"/>
          <w:lang w:val="en-US" w:eastAsia="zh-CN" w:bidi="ar-SA"/>
        </w:rPr>
        <w:t>5</w:t>
      </w:r>
      <w:r>
        <w:rPr>
          <w:rFonts w:hint="default" w:ascii="宋体" w:hAnsi="宋体" w:eastAsia="宋体" w:cs="宋体"/>
          <w:color w:val="auto"/>
          <w:spacing w:val="2"/>
          <w:w w:val="100"/>
          <w:kern w:val="2"/>
          <w:sz w:val="20"/>
          <w:szCs w:val="20"/>
          <w:highlight w:val="none"/>
          <w:lang w:val="en-US" w:eastAsia="zh-CN" w:bidi="ar-SA"/>
        </w:rPr>
        <w:t>）</w:t>
      </w:r>
      <w:r>
        <w:rPr>
          <w:color w:val="auto"/>
          <w:highlight w:val="none"/>
          <w:lang w:eastAsia="zh-CN"/>
        </w:rPr>
        <w:t>工程管理：依据甲方合规招采流程选择各类</w:t>
      </w:r>
      <w:r>
        <w:rPr>
          <w:rFonts w:hint="eastAsia"/>
          <w:color w:val="auto"/>
          <w:highlight w:val="none"/>
          <w:lang w:eastAsia="zh-CN"/>
        </w:rPr>
        <w:t>参建单位，包括</w:t>
      </w:r>
      <w:r>
        <w:rPr>
          <w:color w:val="auto"/>
          <w:highlight w:val="none"/>
          <w:lang w:eastAsia="zh-CN"/>
        </w:rPr>
        <w:t>施工单位、材料设备供应单位和监理单位并进行统筹管理，对项目工程建设阶段的安全生产、质量、工期、文明施工等进行全面管理，对项目建设过程中出现的各类突发事件进行妥善处理。</w:t>
      </w:r>
    </w:p>
    <w:p>
      <w:pPr>
        <w:pStyle w:val="90"/>
        <w:numPr>
          <w:ilvl w:val="0"/>
          <w:numId w:val="0"/>
        </w:numPr>
        <w:tabs>
          <w:tab w:val="left" w:pos="1824"/>
        </w:tabs>
        <w:spacing w:before="158" w:line="374" w:lineRule="auto"/>
        <w:ind w:right="817" w:rightChars="0" w:firstLine="204" w:firstLineChars="100"/>
        <w:jc w:val="both"/>
        <w:rPr>
          <w:color w:val="auto"/>
          <w:highlight w:val="none"/>
          <w:lang w:eastAsia="zh-CN"/>
        </w:rPr>
      </w:pPr>
      <w:r>
        <w:rPr>
          <w:rFonts w:hint="default" w:ascii="宋体" w:hAnsi="宋体" w:eastAsia="宋体" w:cs="宋体"/>
          <w:color w:val="auto"/>
          <w:spacing w:val="2"/>
          <w:w w:val="100"/>
          <w:kern w:val="2"/>
          <w:sz w:val="20"/>
          <w:szCs w:val="20"/>
          <w:highlight w:val="none"/>
          <w:lang w:val="en-US" w:eastAsia="zh-CN" w:bidi="ar-SA"/>
        </w:rPr>
        <w:t>（</w:t>
      </w:r>
      <w:r>
        <w:rPr>
          <w:rFonts w:hint="eastAsia" w:ascii="Times New Roman" w:hAnsi="Times New Roman" w:cs="宋体"/>
          <w:color w:val="auto"/>
          <w:spacing w:val="2"/>
          <w:w w:val="100"/>
          <w:kern w:val="2"/>
          <w:sz w:val="20"/>
          <w:szCs w:val="20"/>
          <w:highlight w:val="none"/>
          <w:lang w:val="en-US" w:eastAsia="zh-CN" w:bidi="ar-SA"/>
        </w:rPr>
        <w:t>6</w:t>
      </w:r>
      <w:r>
        <w:rPr>
          <w:rFonts w:hint="default" w:ascii="宋体" w:hAnsi="宋体" w:eastAsia="宋体" w:cs="宋体"/>
          <w:color w:val="auto"/>
          <w:spacing w:val="2"/>
          <w:w w:val="100"/>
          <w:kern w:val="2"/>
          <w:sz w:val="20"/>
          <w:szCs w:val="20"/>
          <w:highlight w:val="none"/>
          <w:lang w:val="en-US" w:eastAsia="zh-CN" w:bidi="ar-SA"/>
        </w:rPr>
        <w:t>）</w:t>
      </w:r>
      <w:r>
        <w:rPr>
          <w:color w:val="auto"/>
          <w:highlight w:val="none"/>
          <w:lang w:eastAsia="zh-CN"/>
        </w:rPr>
        <w:t>营销管理：对项目房产市场定位进行规划并制订销售目标和营销计划（</w:t>
      </w:r>
      <w:r>
        <w:rPr>
          <w:color w:val="auto"/>
          <w:spacing w:val="2"/>
          <w:highlight w:val="none"/>
          <w:lang w:eastAsia="zh-CN"/>
        </w:rPr>
        <w:t>需经甲乙双方按合同约定确认），选择各类营销专业服务单位并进行统筹管理，对项目的定位</w:t>
      </w:r>
      <w:r>
        <w:rPr>
          <w:color w:val="auto"/>
          <w:spacing w:val="-3"/>
          <w:highlight w:val="none"/>
          <w:lang w:eastAsia="zh-CN"/>
        </w:rPr>
        <w:t>（</w:t>
      </w:r>
      <w:r>
        <w:rPr>
          <w:color w:val="auto"/>
          <w:spacing w:val="-1"/>
          <w:highlight w:val="none"/>
          <w:lang w:eastAsia="zh-CN"/>
        </w:rPr>
        <w:t>含客户研究</w:t>
      </w:r>
      <w:r>
        <w:rPr>
          <w:color w:val="auto"/>
          <w:spacing w:val="-3"/>
          <w:highlight w:val="none"/>
          <w:lang w:eastAsia="zh-CN"/>
        </w:rPr>
        <w:t>）、策划、推广、销售过程进行全面管理，实现项目销售目标。</w:t>
      </w:r>
    </w:p>
    <w:p>
      <w:pPr>
        <w:pStyle w:val="90"/>
        <w:numPr>
          <w:ilvl w:val="0"/>
          <w:numId w:val="0"/>
        </w:numPr>
        <w:tabs>
          <w:tab w:val="left" w:pos="1824"/>
        </w:tabs>
        <w:spacing w:before="1" w:line="374" w:lineRule="auto"/>
        <w:ind w:right="817" w:rightChars="0" w:firstLine="204" w:firstLineChars="100"/>
        <w:rPr>
          <w:color w:val="auto"/>
          <w:highlight w:val="none"/>
          <w:lang w:eastAsia="zh-CN"/>
        </w:rPr>
      </w:pPr>
      <w:r>
        <w:rPr>
          <w:rFonts w:hint="default" w:ascii="宋体" w:hAnsi="宋体" w:eastAsia="宋体" w:cs="宋体"/>
          <w:color w:val="auto"/>
          <w:spacing w:val="2"/>
          <w:w w:val="100"/>
          <w:kern w:val="2"/>
          <w:sz w:val="20"/>
          <w:szCs w:val="20"/>
          <w:highlight w:val="none"/>
          <w:lang w:val="en-US" w:eastAsia="zh-CN" w:bidi="ar-SA"/>
        </w:rPr>
        <w:t>（</w:t>
      </w:r>
      <w:r>
        <w:rPr>
          <w:rFonts w:hint="eastAsia" w:ascii="Times New Roman" w:hAnsi="Times New Roman" w:cs="宋体"/>
          <w:color w:val="auto"/>
          <w:spacing w:val="2"/>
          <w:w w:val="100"/>
          <w:kern w:val="2"/>
          <w:sz w:val="20"/>
          <w:szCs w:val="20"/>
          <w:highlight w:val="none"/>
          <w:lang w:val="en-US" w:eastAsia="zh-CN" w:bidi="ar-SA"/>
        </w:rPr>
        <w:t>7</w:t>
      </w:r>
      <w:r>
        <w:rPr>
          <w:rFonts w:hint="default" w:ascii="宋体" w:hAnsi="宋体" w:eastAsia="宋体" w:cs="宋体"/>
          <w:color w:val="auto"/>
          <w:spacing w:val="2"/>
          <w:w w:val="100"/>
          <w:kern w:val="2"/>
          <w:sz w:val="20"/>
          <w:szCs w:val="20"/>
          <w:highlight w:val="none"/>
          <w:lang w:val="en-US" w:eastAsia="zh-CN" w:bidi="ar-SA"/>
        </w:rPr>
        <w:t>）</w:t>
      </w:r>
      <w:r>
        <w:rPr>
          <w:color w:val="auto"/>
          <w:highlight w:val="none"/>
          <w:lang w:eastAsia="zh-CN"/>
        </w:rPr>
        <w:t>竣工验收和交付管理：组织各类工程节点中间验收、竣工验收，完成竣工验</w:t>
      </w:r>
      <w:r>
        <w:rPr>
          <w:color w:val="auto"/>
          <w:spacing w:val="-3"/>
          <w:highlight w:val="none"/>
          <w:lang w:eastAsia="zh-CN"/>
        </w:rPr>
        <w:t>收备案工作，组织实施项目房产的集中交付工作。</w:t>
      </w:r>
    </w:p>
    <w:p>
      <w:pPr>
        <w:pStyle w:val="90"/>
        <w:numPr>
          <w:ilvl w:val="0"/>
          <w:numId w:val="0"/>
        </w:numPr>
        <w:tabs>
          <w:tab w:val="left" w:pos="1824"/>
        </w:tabs>
        <w:spacing w:before="1" w:line="374" w:lineRule="auto"/>
        <w:ind w:right="817" w:rightChars="0" w:firstLine="204" w:firstLineChars="100"/>
        <w:rPr>
          <w:color w:val="auto"/>
          <w:highlight w:val="none"/>
          <w:lang w:eastAsia="zh-CN"/>
        </w:rPr>
      </w:pPr>
      <w:r>
        <w:rPr>
          <w:rFonts w:hint="default" w:ascii="宋体" w:hAnsi="宋体" w:eastAsia="宋体" w:cs="宋体"/>
          <w:color w:val="auto"/>
          <w:spacing w:val="2"/>
          <w:w w:val="100"/>
          <w:kern w:val="2"/>
          <w:sz w:val="20"/>
          <w:szCs w:val="20"/>
          <w:highlight w:val="none"/>
          <w:lang w:val="en-US" w:eastAsia="zh-CN" w:bidi="ar-SA"/>
        </w:rPr>
        <w:t>（</w:t>
      </w:r>
      <w:r>
        <w:rPr>
          <w:rFonts w:hint="eastAsia" w:ascii="Times New Roman" w:hAnsi="Times New Roman" w:cs="宋体"/>
          <w:color w:val="auto"/>
          <w:spacing w:val="2"/>
          <w:w w:val="100"/>
          <w:kern w:val="2"/>
          <w:sz w:val="20"/>
          <w:szCs w:val="20"/>
          <w:highlight w:val="none"/>
          <w:lang w:val="en-US" w:eastAsia="zh-CN" w:bidi="ar-SA"/>
        </w:rPr>
        <w:t>8</w:t>
      </w:r>
      <w:r>
        <w:rPr>
          <w:rFonts w:hint="default" w:ascii="宋体" w:hAnsi="宋体" w:eastAsia="宋体" w:cs="宋体"/>
          <w:color w:val="auto"/>
          <w:spacing w:val="2"/>
          <w:w w:val="100"/>
          <w:kern w:val="2"/>
          <w:sz w:val="20"/>
          <w:szCs w:val="20"/>
          <w:highlight w:val="none"/>
          <w:lang w:val="en-US" w:eastAsia="zh-CN" w:bidi="ar-SA"/>
        </w:rPr>
        <w:t>）</w:t>
      </w:r>
      <w:r>
        <w:rPr>
          <w:color w:val="auto"/>
          <w:highlight w:val="none"/>
          <w:lang w:eastAsia="zh-CN"/>
        </w:rPr>
        <w:t xml:space="preserve">客户服务及房产保修管理：设置或聘任客户服务组织，有效处理客户投诉， </w:t>
      </w:r>
      <w:r>
        <w:rPr>
          <w:color w:val="auto"/>
          <w:spacing w:val="-3"/>
          <w:highlight w:val="none"/>
          <w:lang w:eastAsia="zh-CN"/>
        </w:rPr>
        <w:t>提升客户满意度；负责项目房产在本合同约定期限内质量保修的管理工作。</w:t>
      </w:r>
    </w:p>
    <w:p>
      <w:pPr>
        <w:pStyle w:val="90"/>
        <w:numPr>
          <w:ilvl w:val="0"/>
          <w:numId w:val="0"/>
        </w:numPr>
        <w:tabs>
          <w:tab w:val="left" w:pos="1811"/>
        </w:tabs>
        <w:spacing w:line="374" w:lineRule="auto"/>
        <w:ind w:right="865" w:rightChars="0" w:firstLine="204" w:firstLineChars="100"/>
        <w:rPr>
          <w:color w:val="auto"/>
          <w:highlight w:val="none"/>
          <w:lang w:eastAsia="zh-CN"/>
        </w:rPr>
      </w:pPr>
      <w:r>
        <w:rPr>
          <w:rFonts w:hint="default" w:ascii="宋体" w:hAnsi="宋体" w:eastAsia="宋体" w:cs="宋体"/>
          <w:color w:val="auto"/>
          <w:spacing w:val="2"/>
          <w:w w:val="100"/>
          <w:kern w:val="2"/>
          <w:sz w:val="20"/>
          <w:szCs w:val="20"/>
          <w:highlight w:val="none"/>
          <w:lang w:val="en-US" w:eastAsia="zh-CN" w:bidi="ar-SA"/>
        </w:rPr>
        <w:t>（</w:t>
      </w:r>
      <w:r>
        <w:rPr>
          <w:rFonts w:hint="eastAsia" w:ascii="Times New Roman" w:hAnsi="Times New Roman" w:cs="宋体"/>
          <w:color w:val="auto"/>
          <w:spacing w:val="2"/>
          <w:w w:val="100"/>
          <w:kern w:val="2"/>
          <w:sz w:val="20"/>
          <w:szCs w:val="20"/>
          <w:highlight w:val="none"/>
          <w:lang w:val="en-US" w:eastAsia="zh-CN" w:bidi="ar-SA"/>
        </w:rPr>
        <w:t>9</w:t>
      </w:r>
      <w:r>
        <w:rPr>
          <w:rFonts w:hint="default" w:ascii="宋体" w:hAnsi="宋体" w:eastAsia="宋体" w:cs="宋体"/>
          <w:color w:val="auto"/>
          <w:spacing w:val="2"/>
          <w:w w:val="100"/>
          <w:kern w:val="2"/>
          <w:sz w:val="20"/>
          <w:szCs w:val="20"/>
          <w:highlight w:val="none"/>
          <w:lang w:val="en-US" w:eastAsia="zh-CN" w:bidi="ar-SA"/>
        </w:rPr>
        <w:t>）</w:t>
      </w:r>
      <w:r>
        <w:rPr>
          <w:color w:val="auto"/>
          <w:spacing w:val="-3"/>
          <w:highlight w:val="none"/>
          <w:lang w:eastAsia="zh-CN"/>
        </w:rPr>
        <w:t>前期物业服务督导：依据</w:t>
      </w:r>
      <w:r>
        <w:rPr>
          <w:rFonts w:hint="eastAsia"/>
          <w:color w:val="auto"/>
          <w:spacing w:val="-3"/>
          <w:highlight w:val="none"/>
          <w:lang w:eastAsia="zh-CN"/>
        </w:rPr>
        <w:t>甲方合规招采流程</w:t>
      </w:r>
      <w:r>
        <w:rPr>
          <w:color w:val="auto"/>
          <w:spacing w:val="-3"/>
          <w:highlight w:val="none"/>
          <w:lang w:eastAsia="zh-CN"/>
        </w:rPr>
        <w:t>选择前期物业管理单位，协调制定物业服务方案，对前期物业服务的质量进行督导，包括房屋交付后进行物业服务督导并完成首年度监督考核工作，实现物业服务考核合格。</w:t>
      </w:r>
    </w:p>
    <w:p>
      <w:pPr>
        <w:pStyle w:val="90"/>
        <w:numPr>
          <w:ilvl w:val="0"/>
          <w:numId w:val="0"/>
        </w:numPr>
        <w:tabs>
          <w:tab w:val="left" w:pos="1824"/>
        </w:tabs>
        <w:spacing w:before="158" w:line="374" w:lineRule="auto"/>
        <w:ind w:right="817" w:rightChars="0" w:firstLine="214" w:firstLineChars="100"/>
        <w:jc w:val="both"/>
        <w:rPr>
          <w:color w:val="auto"/>
          <w:spacing w:val="2"/>
          <w:highlight w:val="none"/>
          <w:lang w:eastAsia="zh-CN"/>
        </w:rPr>
      </w:pPr>
      <w:r>
        <w:rPr>
          <w:rFonts w:hint="default"/>
          <w:color w:val="auto"/>
          <w:spacing w:val="2"/>
          <w:highlight w:val="none"/>
          <w:lang w:val="en-US" w:eastAsia="zh-CN"/>
        </w:rPr>
        <w:t>（</w:t>
      </w:r>
      <w:r>
        <w:rPr>
          <w:rFonts w:hint="eastAsia" w:ascii="Times New Roman" w:hAnsi="Times New Roman"/>
          <w:color w:val="auto"/>
          <w:spacing w:val="2"/>
          <w:highlight w:val="none"/>
          <w:lang w:val="en-US" w:eastAsia="zh-CN"/>
        </w:rPr>
        <w:t>10</w:t>
      </w:r>
      <w:r>
        <w:rPr>
          <w:rFonts w:hint="default"/>
          <w:color w:val="auto"/>
          <w:spacing w:val="2"/>
          <w:highlight w:val="none"/>
          <w:lang w:val="en-US" w:eastAsia="zh-CN"/>
        </w:rPr>
        <w:t>）</w:t>
      </w:r>
      <w:r>
        <w:rPr>
          <w:color w:val="auto"/>
          <w:spacing w:val="2"/>
          <w:highlight w:val="none"/>
          <w:lang w:eastAsia="zh-CN"/>
        </w:rPr>
        <w:t>人力资源管理：根据乙方的管理经验，建立</w:t>
      </w:r>
      <w:r>
        <w:rPr>
          <w:rFonts w:hint="eastAsia"/>
          <w:color w:val="auto"/>
          <w:spacing w:val="2"/>
          <w:highlight w:val="none"/>
          <w:lang w:eastAsia="zh-CN"/>
        </w:rPr>
        <w:t>拟开发管理</w:t>
      </w:r>
      <w:r>
        <w:rPr>
          <w:color w:val="auto"/>
          <w:spacing w:val="2"/>
          <w:highlight w:val="none"/>
          <w:lang w:eastAsia="zh-CN"/>
        </w:rPr>
        <w:t>项目的人力资源相关管理制度，并</w:t>
      </w:r>
      <w:r>
        <w:rPr>
          <w:rFonts w:hint="eastAsia"/>
          <w:color w:val="auto"/>
          <w:spacing w:val="2"/>
          <w:highlight w:val="none"/>
          <w:lang w:eastAsia="zh-CN"/>
        </w:rPr>
        <w:t>与甲方共同</w:t>
      </w:r>
      <w:r>
        <w:rPr>
          <w:color w:val="auto"/>
          <w:spacing w:val="2"/>
          <w:highlight w:val="none"/>
          <w:lang w:eastAsia="zh-CN"/>
        </w:rPr>
        <w:t>进行人力资源日常管理。负责培训甲方派驻项目的现场管理人员，包括建立培训计划、考核细则等全过程的管理培训体系。</w:t>
      </w:r>
    </w:p>
    <w:p>
      <w:pPr>
        <w:pStyle w:val="90"/>
        <w:numPr>
          <w:ilvl w:val="0"/>
          <w:numId w:val="0"/>
        </w:numPr>
        <w:tabs>
          <w:tab w:val="left" w:pos="1824"/>
        </w:tabs>
        <w:spacing w:before="158" w:line="374" w:lineRule="auto"/>
        <w:ind w:right="817" w:rightChars="0" w:firstLine="214" w:firstLineChars="100"/>
        <w:jc w:val="both"/>
        <w:rPr>
          <w:color w:val="auto"/>
          <w:spacing w:val="2"/>
          <w:highlight w:val="none"/>
          <w:lang w:eastAsia="zh-CN"/>
        </w:rPr>
      </w:pPr>
      <w:r>
        <w:rPr>
          <w:rFonts w:hint="default"/>
          <w:color w:val="auto"/>
          <w:spacing w:val="2"/>
          <w:highlight w:val="none"/>
          <w:lang w:val="en-US" w:eastAsia="zh-CN"/>
        </w:rPr>
        <w:t>（</w:t>
      </w:r>
      <w:r>
        <w:rPr>
          <w:rFonts w:hint="eastAsia" w:ascii="Times New Roman" w:hAnsi="Times New Roman"/>
          <w:color w:val="auto"/>
          <w:spacing w:val="2"/>
          <w:highlight w:val="none"/>
          <w:lang w:val="en-US" w:eastAsia="zh-CN"/>
        </w:rPr>
        <w:t>11</w:t>
      </w:r>
      <w:r>
        <w:rPr>
          <w:rFonts w:hint="default"/>
          <w:color w:val="auto"/>
          <w:spacing w:val="2"/>
          <w:highlight w:val="none"/>
          <w:lang w:val="en-US" w:eastAsia="zh-CN"/>
        </w:rPr>
        <w:t>）</w:t>
      </w:r>
      <w:r>
        <w:rPr>
          <w:color w:val="auto"/>
          <w:spacing w:val="2"/>
          <w:highlight w:val="none"/>
          <w:lang w:eastAsia="zh-CN"/>
        </w:rPr>
        <w:t>行政管理：根据乙方的管理经验，协助甲方建立</w:t>
      </w:r>
      <w:r>
        <w:rPr>
          <w:rFonts w:hint="eastAsia"/>
          <w:color w:val="auto"/>
          <w:spacing w:val="2"/>
          <w:highlight w:val="none"/>
          <w:lang w:eastAsia="zh-CN"/>
        </w:rPr>
        <w:t>开发</w:t>
      </w:r>
      <w:r>
        <w:rPr>
          <w:color w:val="auto"/>
          <w:spacing w:val="2"/>
          <w:highlight w:val="none"/>
          <w:lang w:eastAsia="zh-CN"/>
        </w:rPr>
        <w:t>管理项目的行政相关管理制度，进行行政后勤、公文管理、信息管理、档案管理等工作。</w:t>
      </w:r>
    </w:p>
    <w:p>
      <w:pPr>
        <w:pStyle w:val="17"/>
        <w:spacing w:line="360" w:lineRule="auto"/>
        <w:ind w:firstLine="210" w:firstLineChars="100"/>
        <w:rPr>
          <w:color w:val="auto"/>
          <w:highlight w:val="none"/>
        </w:rPr>
      </w:pPr>
      <w:r>
        <w:rPr>
          <w:rFonts w:hint="eastAsia" w:ascii="Times New Roman" w:hAnsi="Times New Roman"/>
          <w:color w:val="auto"/>
          <w:highlight w:val="none"/>
          <w:lang w:eastAsia="zh-CN"/>
        </w:rPr>
        <w:t>2</w:t>
      </w:r>
      <w:r>
        <w:rPr>
          <w:color w:val="auto"/>
          <w:highlight w:val="none"/>
        </w:rPr>
        <w:t>、管理服务期限</w:t>
      </w:r>
    </w:p>
    <w:p>
      <w:pPr>
        <w:pStyle w:val="90"/>
        <w:numPr>
          <w:ilvl w:val="0"/>
          <w:numId w:val="0"/>
        </w:numPr>
        <w:tabs>
          <w:tab w:val="left" w:pos="1811"/>
        </w:tabs>
        <w:spacing w:line="374" w:lineRule="auto"/>
        <w:ind w:right="865" w:rightChars="0" w:firstLine="204" w:firstLineChars="100"/>
        <w:rPr>
          <w:color w:val="auto"/>
          <w:spacing w:val="-3"/>
          <w:highlight w:val="none"/>
          <w:lang w:eastAsia="zh-CN"/>
        </w:rPr>
      </w:pPr>
      <w:r>
        <w:rPr>
          <w:rFonts w:hint="default"/>
          <w:color w:val="auto"/>
          <w:spacing w:val="-3"/>
          <w:highlight w:val="none"/>
          <w:lang w:val="en-US" w:eastAsia="zh-CN"/>
        </w:rPr>
        <w:t>（</w:t>
      </w:r>
      <w:r>
        <w:rPr>
          <w:rFonts w:hint="eastAsia" w:ascii="Times New Roman" w:hAnsi="Times New Roman"/>
          <w:color w:val="auto"/>
          <w:spacing w:val="-3"/>
          <w:highlight w:val="none"/>
          <w:lang w:val="en-US" w:eastAsia="zh-CN"/>
        </w:rPr>
        <w:t>1</w:t>
      </w:r>
      <w:r>
        <w:rPr>
          <w:rFonts w:hint="default"/>
          <w:color w:val="auto"/>
          <w:spacing w:val="-3"/>
          <w:highlight w:val="none"/>
          <w:lang w:val="en-US" w:eastAsia="zh-CN"/>
        </w:rPr>
        <w:t>）</w:t>
      </w:r>
      <w:r>
        <w:rPr>
          <w:color w:val="auto"/>
          <w:spacing w:val="-3"/>
          <w:highlight w:val="none"/>
          <w:lang w:eastAsia="zh-CN"/>
        </w:rPr>
        <w:t>本合同的整体管理服务期限暂定为：</w:t>
      </w:r>
      <w:r>
        <w:rPr>
          <w:rFonts w:hint="eastAsia" w:ascii="Times New Roman" w:hAnsi="Times New Roman"/>
          <w:color w:val="auto"/>
          <w:spacing w:val="-3"/>
          <w:highlight w:val="none"/>
          <w:lang w:eastAsia="zh-CN"/>
        </w:rPr>
        <w:t>48</w:t>
      </w:r>
      <w:r>
        <w:rPr>
          <w:color w:val="auto"/>
          <w:spacing w:val="-3"/>
          <w:highlight w:val="none"/>
          <w:lang w:eastAsia="zh-CN"/>
        </w:rPr>
        <w:t xml:space="preserve"> 个月（实际以本合同签订生效之日起至项目销售目标完成且竣工备案满一年、房屋交付后物业服务完成首年度考核为止）。管理服务期限届满，乙方有权终止管理服务工作并撤出全部管理团队，甲方应予以配合并完成交接工作。</w:t>
      </w:r>
    </w:p>
    <w:p>
      <w:pPr>
        <w:pStyle w:val="90"/>
        <w:numPr>
          <w:ilvl w:val="0"/>
          <w:numId w:val="0"/>
        </w:numPr>
        <w:tabs>
          <w:tab w:val="left" w:pos="1811"/>
        </w:tabs>
        <w:spacing w:line="374" w:lineRule="auto"/>
        <w:ind w:right="865" w:rightChars="0" w:firstLine="204" w:firstLineChars="100"/>
        <w:rPr>
          <w:color w:val="auto"/>
          <w:spacing w:val="-3"/>
          <w:highlight w:val="none"/>
          <w:lang w:eastAsia="zh-CN"/>
        </w:rPr>
      </w:pPr>
      <w:r>
        <w:rPr>
          <w:rFonts w:hint="default"/>
          <w:color w:val="auto"/>
          <w:spacing w:val="-3"/>
          <w:highlight w:val="none"/>
          <w:lang w:val="en-US" w:eastAsia="zh-CN"/>
        </w:rPr>
        <w:t>（</w:t>
      </w:r>
      <w:r>
        <w:rPr>
          <w:rFonts w:hint="eastAsia" w:ascii="Times New Roman" w:hAnsi="Times New Roman"/>
          <w:color w:val="auto"/>
          <w:spacing w:val="-3"/>
          <w:highlight w:val="none"/>
          <w:lang w:val="en-US" w:eastAsia="zh-CN"/>
        </w:rPr>
        <w:t>2</w:t>
      </w:r>
      <w:r>
        <w:rPr>
          <w:rFonts w:hint="default"/>
          <w:color w:val="auto"/>
          <w:spacing w:val="-3"/>
          <w:highlight w:val="none"/>
          <w:lang w:val="en-US" w:eastAsia="zh-CN"/>
        </w:rPr>
        <w:t>）</w:t>
      </w:r>
      <w:r>
        <w:rPr>
          <w:color w:val="auto"/>
          <w:spacing w:val="-3"/>
          <w:highlight w:val="none"/>
          <w:lang w:eastAsia="zh-CN"/>
        </w:rPr>
        <w:t>根据项目开发建设的需要，应甲方要求并由甲乙双方协商一致后，可延长项目服务期，届时根据延长期间的工作内容，由甲乙双方签订书面合同约定具体的服务内容及取费方式。</w:t>
      </w:r>
    </w:p>
    <w:p>
      <w:pPr>
        <w:spacing w:line="360" w:lineRule="auto"/>
        <w:ind w:firstLine="211" w:firstLineChars="100"/>
        <w:rPr>
          <w:b/>
          <w:color w:val="auto"/>
          <w:highlight w:val="none"/>
          <w:lang w:eastAsia="zh-CN"/>
        </w:rPr>
      </w:pPr>
      <w:r>
        <w:rPr>
          <w:b/>
          <w:color w:val="auto"/>
          <w:highlight w:val="none"/>
          <w:lang w:eastAsia="zh-CN"/>
        </w:rPr>
        <w:t xml:space="preserve">第四条 </w:t>
      </w:r>
      <w:r>
        <w:rPr>
          <w:rFonts w:hint="eastAsia"/>
          <w:b/>
          <w:color w:val="auto"/>
          <w:highlight w:val="none"/>
          <w:lang w:eastAsia="zh-CN"/>
        </w:rPr>
        <w:t>开发管理服务</w:t>
      </w:r>
      <w:r>
        <w:rPr>
          <w:b/>
          <w:color w:val="auto"/>
          <w:highlight w:val="none"/>
          <w:lang w:eastAsia="zh-CN"/>
        </w:rPr>
        <w:t>目标</w:t>
      </w:r>
    </w:p>
    <w:p>
      <w:pPr>
        <w:spacing w:line="360" w:lineRule="auto"/>
        <w:ind w:firstLine="210" w:firstLineChars="100"/>
        <w:rPr>
          <w:color w:val="auto"/>
          <w:highlight w:val="none"/>
          <w:lang w:eastAsia="zh-CN"/>
        </w:rPr>
      </w:pPr>
      <w:r>
        <w:rPr>
          <w:rFonts w:hint="eastAsia" w:ascii="Times New Roman" w:hAnsi="Times New Roman"/>
          <w:color w:val="auto"/>
          <w:highlight w:val="none"/>
          <w:lang w:eastAsia="zh-CN"/>
        </w:rPr>
        <w:t>1</w:t>
      </w:r>
      <w:r>
        <w:rPr>
          <w:color w:val="auto"/>
          <w:highlight w:val="none"/>
          <w:lang w:eastAsia="zh-CN"/>
        </w:rPr>
        <w:t>、开发建设周期目标</w:t>
      </w:r>
    </w:p>
    <w:p>
      <w:pPr>
        <w:pStyle w:val="17"/>
        <w:spacing w:line="374" w:lineRule="auto"/>
        <w:ind w:right="863" w:firstLine="420" w:firstLineChars="200"/>
        <w:rPr>
          <w:color w:val="auto"/>
          <w:spacing w:val="-3"/>
          <w:highlight w:val="none"/>
          <w:lang w:eastAsia="zh-CN"/>
        </w:rPr>
      </w:pPr>
      <w:r>
        <w:rPr>
          <w:color w:val="auto"/>
          <w:highlight w:val="none"/>
          <w:lang w:eastAsia="zh-CN"/>
        </w:rPr>
        <w:t>本项目总体开发建设周期暂定为</w:t>
      </w:r>
      <w:r>
        <w:rPr>
          <w:b/>
          <w:color w:val="auto"/>
          <w:highlight w:val="none"/>
          <w:lang w:eastAsia="zh-CN"/>
        </w:rPr>
        <w:t>【</w:t>
      </w:r>
      <w:r>
        <w:rPr>
          <w:rFonts w:hint="eastAsia" w:ascii="Times New Roman" w:hAnsi="Times New Roman"/>
          <w:b/>
          <w:color w:val="auto"/>
          <w:highlight w:val="none"/>
          <w:lang w:eastAsia="zh-CN"/>
        </w:rPr>
        <w:t>36</w:t>
      </w:r>
      <w:r>
        <w:rPr>
          <w:b/>
          <w:color w:val="auto"/>
          <w:highlight w:val="none"/>
          <w:lang w:eastAsia="zh-CN"/>
        </w:rPr>
        <w:t>】个月</w:t>
      </w:r>
      <w:r>
        <w:rPr>
          <w:color w:val="auto"/>
          <w:highlight w:val="none"/>
          <w:lang w:eastAsia="zh-CN"/>
        </w:rPr>
        <w:t xml:space="preserve">（实际以本合同签订生效之日起开始计算至物业最后完成竣工验收备案，具备交付条件为止）。项目规划方案审批通过（自本合同签订生效之日起 </w:t>
      </w:r>
      <w:r>
        <w:rPr>
          <w:rFonts w:hint="eastAsia" w:ascii="Times New Roman" w:hAnsi="Times New Roman"/>
          <w:color w:val="auto"/>
          <w:highlight w:val="none"/>
          <w:lang w:eastAsia="zh-CN"/>
        </w:rPr>
        <w:t>50</w:t>
      </w:r>
      <w:r>
        <w:rPr>
          <w:color w:val="auto"/>
          <w:highlight w:val="none"/>
          <w:lang w:eastAsia="zh-CN"/>
        </w:rPr>
        <w:t xml:space="preserve"> 日内），首批项目团队到岗后</w:t>
      </w:r>
      <w:r>
        <w:rPr>
          <w:rFonts w:hint="eastAsia" w:ascii="Times New Roman" w:hAnsi="Times New Roman"/>
          <w:color w:val="auto"/>
          <w:highlight w:val="none"/>
          <w:lang w:eastAsia="zh-CN"/>
        </w:rPr>
        <w:t>30</w:t>
      </w:r>
      <w:r>
        <w:rPr>
          <w:color w:val="auto"/>
          <w:highlight w:val="none"/>
          <w:lang w:eastAsia="zh-CN"/>
        </w:rPr>
        <w:t>日内将项目全景开发计划提交甲方确认，项目全景开发计划（包括合同履行过程中双方共同确认的调整方案）作为双方正式确定的项目开发时间目标。双方约定，合同签订后十日内乙方派驻首批项目团</w:t>
      </w:r>
      <w:r>
        <w:rPr>
          <w:color w:val="auto"/>
          <w:spacing w:val="-3"/>
          <w:highlight w:val="none"/>
          <w:lang w:eastAsia="zh-CN"/>
        </w:rPr>
        <w:t>队。</w:t>
      </w:r>
    </w:p>
    <w:p>
      <w:pPr>
        <w:pStyle w:val="17"/>
        <w:spacing w:line="374" w:lineRule="auto"/>
        <w:ind w:right="865" w:firstLine="408" w:firstLineChars="200"/>
        <w:rPr>
          <w:color w:val="auto"/>
          <w:spacing w:val="-3"/>
          <w:highlight w:val="none"/>
          <w:lang w:eastAsia="zh-CN"/>
        </w:rPr>
      </w:pPr>
      <w:r>
        <w:rPr>
          <w:rFonts w:hint="eastAsia" w:ascii="Times New Roman" w:hAnsi="Times New Roman"/>
          <w:color w:val="auto"/>
          <w:spacing w:val="-3"/>
          <w:highlight w:val="none"/>
          <w:lang w:eastAsia="zh-CN"/>
        </w:rPr>
        <w:t>2</w:t>
      </w:r>
      <w:r>
        <w:rPr>
          <w:color w:val="auto"/>
          <w:spacing w:val="-3"/>
          <w:highlight w:val="none"/>
          <w:lang w:eastAsia="zh-CN"/>
        </w:rPr>
        <w:t>、销售目标</w:t>
      </w:r>
    </w:p>
    <w:p>
      <w:pPr>
        <w:pStyle w:val="17"/>
        <w:spacing w:line="377" w:lineRule="auto"/>
        <w:ind w:right="975" w:firstLine="408" w:firstLineChars="200"/>
        <w:rPr>
          <w:color w:val="auto"/>
          <w:spacing w:val="-3"/>
          <w:highlight w:val="none"/>
          <w:lang w:eastAsia="zh-CN"/>
        </w:rPr>
      </w:pPr>
      <w:r>
        <w:rPr>
          <w:color w:val="auto"/>
          <w:spacing w:val="-3"/>
          <w:highlight w:val="none"/>
          <w:lang w:eastAsia="zh-CN"/>
        </w:rPr>
        <w:t>本项目分期开发、销售，预计项目在本合同签订生效之日起【</w:t>
      </w:r>
      <w:r>
        <w:rPr>
          <w:rFonts w:hint="eastAsia" w:ascii="Times New Roman" w:hAnsi="Times New Roman"/>
          <w:color w:val="auto"/>
          <w:spacing w:val="-3"/>
          <w:highlight w:val="none"/>
          <w:lang w:eastAsia="zh-CN"/>
        </w:rPr>
        <w:t>9</w:t>
      </w:r>
      <w:r>
        <w:rPr>
          <w:color w:val="auto"/>
          <w:spacing w:val="-3"/>
          <w:highlight w:val="none"/>
          <w:lang w:eastAsia="zh-CN"/>
        </w:rPr>
        <w:t>】个月内具备领取预售许可证的前置条件，具体开盘时间以双方正式确认的开盘方案为准。首批项目团队到岗后【</w:t>
      </w:r>
      <w:r>
        <w:rPr>
          <w:rFonts w:hint="eastAsia" w:ascii="Times New Roman" w:hAnsi="Times New Roman"/>
          <w:color w:val="auto"/>
          <w:spacing w:val="-3"/>
          <w:highlight w:val="none"/>
          <w:lang w:eastAsia="zh-CN"/>
        </w:rPr>
        <w:t>45</w:t>
      </w:r>
      <w:r>
        <w:rPr>
          <w:color w:val="auto"/>
          <w:spacing w:val="-3"/>
          <w:highlight w:val="none"/>
          <w:lang w:eastAsia="zh-CN"/>
        </w:rPr>
        <w:t>】日内将项目整体销售计划提交甲方确认，并根据项目分期情况在每一期取得施工许可证后【</w:t>
      </w:r>
      <w:r>
        <w:rPr>
          <w:rFonts w:hint="eastAsia" w:ascii="Times New Roman" w:hAnsi="Times New Roman"/>
          <w:color w:val="auto"/>
          <w:spacing w:val="-3"/>
          <w:highlight w:val="none"/>
          <w:lang w:eastAsia="zh-CN"/>
        </w:rPr>
        <w:t>30</w:t>
      </w:r>
      <w:r>
        <w:rPr>
          <w:color w:val="auto"/>
          <w:spacing w:val="-3"/>
          <w:highlight w:val="none"/>
          <w:lang w:eastAsia="zh-CN"/>
        </w:rPr>
        <w:t>】日内将当期销售计划提交甲方确认。</w:t>
      </w:r>
    </w:p>
    <w:p>
      <w:pPr>
        <w:pStyle w:val="17"/>
        <w:spacing w:line="377" w:lineRule="auto"/>
        <w:ind w:right="975" w:firstLine="420" w:firstLineChars="200"/>
        <w:rPr>
          <w:color w:val="auto"/>
          <w:highlight w:val="none"/>
          <w:lang w:eastAsia="zh-CN"/>
        </w:rPr>
      </w:pPr>
      <w:r>
        <w:rPr>
          <w:color w:val="auto"/>
          <w:highlight w:val="none"/>
          <w:lang w:eastAsia="zh-CN"/>
        </w:rPr>
        <w:t>项目住宅已销售面积达到地上住宅可销售面积的【</w:t>
      </w:r>
      <w:r>
        <w:rPr>
          <w:rFonts w:hint="eastAsia" w:ascii="Times New Roman" w:hAnsi="Times New Roman"/>
          <w:color w:val="auto"/>
          <w:highlight w:val="none"/>
          <w:lang w:eastAsia="zh-CN"/>
        </w:rPr>
        <w:t>95</w:t>
      </w:r>
      <w:r>
        <w:rPr>
          <w:color w:val="auto"/>
          <w:highlight w:val="none"/>
          <w:lang w:eastAsia="zh-CN"/>
        </w:rPr>
        <w:t xml:space="preserve">】%（自第一次领到销售许可证后至最后一期竣工备案，约 </w:t>
      </w:r>
      <w:r>
        <w:rPr>
          <w:rFonts w:hint="eastAsia" w:ascii="Times New Roman" w:hAnsi="Times New Roman"/>
          <w:color w:val="auto"/>
          <w:highlight w:val="none"/>
          <w:lang w:eastAsia="zh-CN"/>
        </w:rPr>
        <w:t>26</w:t>
      </w:r>
      <w:r>
        <w:rPr>
          <w:color w:val="auto"/>
          <w:highlight w:val="none"/>
          <w:lang w:eastAsia="zh-CN"/>
        </w:rPr>
        <w:t xml:space="preserve"> 个月，甲方保留物业计入已销售面积），同时项目</w:t>
      </w:r>
      <w:r>
        <w:rPr>
          <w:rFonts w:hint="eastAsia"/>
          <w:color w:val="auto"/>
          <w:highlight w:val="none"/>
          <w:lang w:val="en-US" w:eastAsia="zh-CN"/>
        </w:rPr>
        <w:t>的</w:t>
      </w:r>
      <w:r>
        <w:rPr>
          <w:color w:val="auto"/>
          <w:spacing w:val="-3"/>
          <w:highlight w:val="none"/>
          <w:lang w:eastAsia="zh-CN"/>
        </w:rPr>
        <w:t>商业、地库已销售面积达到</w:t>
      </w:r>
      <w:r>
        <w:rPr>
          <w:color w:val="auto"/>
          <w:highlight w:val="none"/>
          <w:lang w:eastAsia="zh-CN"/>
        </w:rPr>
        <w:t>（</w:t>
      </w:r>
      <w:r>
        <w:rPr>
          <w:color w:val="auto"/>
          <w:spacing w:val="-3"/>
          <w:highlight w:val="none"/>
          <w:lang w:eastAsia="zh-CN"/>
        </w:rPr>
        <w:t>对应物业</w:t>
      </w:r>
      <w:r>
        <w:rPr>
          <w:color w:val="auto"/>
          <w:highlight w:val="none"/>
          <w:lang w:eastAsia="zh-CN"/>
        </w:rPr>
        <w:t>）</w:t>
      </w:r>
      <w:r>
        <w:rPr>
          <w:color w:val="auto"/>
          <w:spacing w:val="-3"/>
          <w:highlight w:val="none"/>
          <w:lang w:eastAsia="zh-CN"/>
        </w:rPr>
        <w:t>可销售面积的【</w:t>
      </w:r>
      <w:r>
        <w:rPr>
          <w:rFonts w:hint="eastAsia" w:ascii="Times New Roman" w:hAnsi="Times New Roman"/>
          <w:color w:val="auto"/>
          <w:highlight w:val="none"/>
          <w:lang w:eastAsia="zh-CN"/>
        </w:rPr>
        <w:t>70</w:t>
      </w:r>
      <w:r>
        <w:rPr>
          <w:color w:val="auto"/>
          <w:highlight w:val="none"/>
          <w:lang w:eastAsia="zh-CN"/>
        </w:rPr>
        <w:t>】%（</w:t>
      </w:r>
      <w:r>
        <w:rPr>
          <w:color w:val="auto"/>
          <w:spacing w:val="-3"/>
          <w:highlight w:val="none"/>
          <w:lang w:eastAsia="zh-CN"/>
        </w:rPr>
        <w:t>自第一次领到</w:t>
      </w:r>
      <w:r>
        <w:rPr>
          <w:color w:val="auto"/>
          <w:spacing w:val="-6"/>
          <w:highlight w:val="none"/>
          <w:lang w:eastAsia="zh-CN"/>
        </w:rPr>
        <w:t xml:space="preserve">销售许可证后至最后一期竣工备案，约 </w:t>
      </w:r>
      <w:r>
        <w:rPr>
          <w:rFonts w:hint="eastAsia" w:ascii="Times New Roman" w:hAnsi="Times New Roman"/>
          <w:color w:val="auto"/>
          <w:highlight w:val="none"/>
          <w:lang w:eastAsia="zh-CN"/>
        </w:rPr>
        <w:t>26</w:t>
      </w:r>
      <w:r>
        <w:rPr>
          <w:color w:val="auto"/>
          <w:spacing w:val="-9"/>
          <w:highlight w:val="none"/>
          <w:lang w:eastAsia="zh-CN"/>
        </w:rPr>
        <w:t xml:space="preserve"> 个月，</w:t>
      </w:r>
      <w:r>
        <w:rPr>
          <w:rFonts w:hint="eastAsia"/>
          <w:color w:val="auto"/>
          <w:spacing w:val="-9"/>
          <w:highlight w:val="none"/>
          <w:lang w:eastAsia="zh-CN"/>
        </w:rPr>
        <w:t>规划设计条件中，无偿移交的</w:t>
      </w:r>
      <w:r>
        <w:rPr>
          <w:rFonts w:hint="eastAsia" w:ascii="Times New Roman" w:hAnsi="Times New Roman"/>
          <w:color w:val="auto"/>
          <w:spacing w:val="-9"/>
          <w:highlight w:val="none"/>
          <w:lang w:eastAsia="zh-CN"/>
        </w:rPr>
        <w:t>4000</w:t>
      </w:r>
      <w:r>
        <w:rPr>
          <w:rFonts w:hint="eastAsia"/>
          <w:color w:val="auto"/>
          <w:spacing w:val="-9"/>
          <w:highlight w:val="none"/>
          <w:lang w:eastAsia="zh-CN"/>
        </w:rPr>
        <w:t>平方米的商业及邻里中心不计入已售面积，其他</w:t>
      </w:r>
      <w:r>
        <w:rPr>
          <w:color w:val="auto"/>
          <w:spacing w:val="-9"/>
          <w:highlight w:val="none"/>
          <w:lang w:eastAsia="zh-CN"/>
        </w:rPr>
        <w:t>甲方保留物业计入已销售面积</w:t>
      </w:r>
      <w:r>
        <w:rPr>
          <w:color w:val="auto"/>
          <w:highlight w:val="none"/>
          <w:lang w:eastAsia="zh-CN"/>
        </w:rPr>
        <w:t>），上</w:t>
      </w:r>
      <w:r>
        <w:rPr>
          <w:color w:val="auto"/>
          <w:spacing w:val="-3"/>
          <w:highlight w:val="none"/>
          <w:lang w:eastAsia="zh-CN"/>
        </w:rPr>
        <w:t>述目标均完成后方可视为乙方完成项目销售目标。</w:t>
      </w:r>
    </w:p>
    <w:p>
      <w:pPr>
        <w:pStyle w:val="17"/>
        <w:ind w:firstLine="420" w:firstLineChars="200"/>
        <w:rPr>
          <w:color w:val="auto"/>
          <w:highlight w:val="none"/>
        </w:rPr>
      </w:pPr>
      <w:r>
        <w:rPr>
          <w:rFonts w:hint="eastAsia" w:ascii="Times New Roman" w:hAnsi="Times New Roman"/>
          <w:color w:val="auto"/>
          <w:highlight w:val="none"/>
          <w:lang w:eastAsia="zh-CN"/>
        </w:rPr>
        <w:t>3</w:t>
      </w:r>
      <w:r>
        <w:rPr>
          <w:color w:val="auto"/>
          <w:highlight w:val="none"/>
        </w:rPr>
        <w:t>、工程成本管理目标</w:t>
      </w:r>
    </w:p>
    <w:p>
      <w:pPr>
        <w:pStyle w:val="90"/>
        <w:numPr>
          <w:ilvl w:val="0"/>
          <w:numId w:val="0"/>
        </w:numPr>
        <w:tabs>
          <w:tab w:val="left" w:pos="1811"/>
        </w:tabs>
        <w:spacing w:before="154" w:line="376" w:lineRule="auto"/>
        <w:ind w:right="978" w:rightChars="0" w:firstLine="388" w:firstLineChars="200"/>
        <w:rPr>
          <w:color w:val="auto"/>
          <w:highlight w:val="none"/>
          <w:lang w:eastAsia="zh-CN"/>
        </w:rPr>
      </w:pPr>
      <w:r>
        <w:rPr>
          <w:rFonts w:hint="default" w:ascii="宋体" w:hAnsi="宋体" w:eastAsia="宋体" w:cs="宋体"/>
          <w:color w:val="auto"/>
          <w:spacing w:val="-3"/>
          <w:w w:val="100"/>
          <w:kern w:val="2"/>
          <w:sz w:val="20"/>
          <w:szCs w:val="20"/>
          <w:highlight w:val="none"/>
          <w:lang w:val="en-US" w:eastAsia="zh-CN" w:bidi="ar-SA"/>
        </w:rPr>
        <w:t>（</w:t>
      </w:r>
      <w:r>
        <w:rPr>
          <w:rFonts w:hint="eastAsia" w:ascii="Times New Roman" w:hAnsi="Times New Roman" w:cs="宋体"/>
          <w:color w:val="auto"/>
          <w:spacing w:val="-3"/>
          <w:w w:val="100"/>
          <w:kern w:val="2"/>
          <w:sz w:val="20"/>
          <w:szCs w:val="20"/>
          <w:highlight w:val="none"/>
          <w:lang w:val="en-US" w:eastAsia="zh-CN" w:bidi="ar-SA"/>
        </w:rPr>
        <w:t>1</w:t>
      </w:r>
      <w:r>
        <w:rPr>
          <w:rFonts w:hint="default" w:ascii="宋体" w:hAnsi="宋体" w:eastAsia="宋体" w:cs="宋体"/>
          <w:color w:val="auto"/>
          <w:spacing w:val="-3"/>
          <w:w w:val="100"/>
          <w:kern w:val="2"/>
          <w:sz w:val="20"/>
          <w:szCs w:val="20"/>
          <w:highlight w:val="none"/>
          <w:lang w:val="en-US" w:eastAsia="zh-CN" w:bidi="ar-SA"/>
        </w:rPr>
        <w:t>）</w:t>
      </w:r>
      <w:r>
        <w:rPr>
          <w:color w:val="auto"/>
          <w:spacing w:val="-3"/>
          <w:highlight w:val="none"/>
          <w:lang w:eastAsia="zh-CN"/>
        </w:rPr>
        <w:t>工程成本管理目标按项目【整体】确定。由甲乙双方共同确认的施工图版工程目标成本作为项目【整体】成本管理考核目标。</w:t>
      </w:r>
    </w:p>
    <w:p>
      <w:pPr>
        <w:pStyle w:val="17"/>
        <w:spacing w:line="377" w:lineRule="auto"/>
        <w:ind w:right="975" w:firstLine="408" w:firstLineChars="200"/>
        <w:rPr>
          <w:color w:val="auto"/>
          <w:spacing w:val="-3"/>
          <w:highlight w:val="none"/>
          <w:lang w:eastAsia="zh-CN"/>
        </w:rPr>
      </w:pPr>
      <w:r>
        <w:rPr>
          <w:rFonts w:hint="default"/>
          <w:color w:val="auto"/>
          <w:spacing w:val="-3"/>
          <w:highlight w:val="none"/>
          <w:lang w:val="en-US" w:eastAsia="zh-CN"/>
        </w:rPr>
        <w:t>（</w:t>
      </w:r>
      <w:r>
        <w:rPr>
          <w:rFonts w:hint="eastAsia" w:ascii="Times New Roman" w:hAnsi="Times New Roman"/>
          <w:color w:val="auto"/>
          <w:spacing w:val="-3"/>
          <w:highlight w:val="none"/>
          <w:lang w:val="en-US" w:eastAsia="zh-CN"/>
        </w:rPr>
        <w:t>2</w:t>
      </w:r>
      <w:r>
        <w:rPr>
          <w:rFonts w:hint="default"/>
          <w:color w:val="auto"/>
          <w:spacing w:val="-3"/>
          <w:highlight w:val="none"/>
          <w:lang w:val="en-US" w:eastAsia="zh-CN"/>
        </w:rPr>
        <w:t>）</w:t>
      </w:r>
      <w:r>
        <w:rPr>
          <w:color w:val="auto"/>
          <w:spacing w:val="-3"/>
          <w:highlight w:val="none"/>
          <w:lang w:eastAsia="zh-CN"/>
        </w:rPr>
        <w:t>乙方承诺项目实际工程成本的增加不超过双方确认的工程成本管理目标的【</w:t>
      </w:r>
      <w:r>
        <w:rPr>
          <w:rFonts w:hint="eastAsia" w:ascii="Times New Roman" w:hAnsi="Times New Roman"/>
          <w:color w:val="auto"/>
          <w:spacing w:val="-3"/>
          <w:highlight w:val="none"/>
          <w:lang w:eastAsia="zh-CN"/>
        </w:rPr>
        <w:t>3</w:t>
      </w:r>
      <w:r>
        <w:rPr>
          <w:color w:val="auto"/>
          <w:spacing w:val="-3"/>
          <w:highlight w:val="none"/>
          <w:lang w:eastAsia="zh-CN"/>
        </w:rPr>
        <w:t>】%。除不可抗力、相关规范标准调整而产生的设计变更、与第三方签订的各类合同中明确约定的人工和材料费用调差变动或其他甲方认可的成本变更，工程成本管理目标作相应调整外，其余工程成本管理目标均不作调整。</w:t>
      </w:r>
    </w:p>
    <w:p>
      <w:pPr>
        <w:pStyle w:val="17"/>
        <w:spacing w:line="377" w:lineRule="auto"/>
        <w:ind w:right="975" w:firstLine="408" w:firstLineChars="200"/>
        <w:rPr>
          <w:color w:val="auto"/>
          <w:spacing w:val="-3"/>
          <w:highlight w:val="none"/>
          <w:lang w:eastAsia="zh-CN"/>
        </w:rPr>
      </w:pPr>
      <w:r>
        <w:rPr>
          <w:rFonts w:hint="eastAsia" w:ascii="Times New Roman" w:hAnsi="Times New Roman"/>
          <w:color w:val="auto"/>
          <w:spacing w:val="-3"/>
          <w:highlight w:val="none"/>
          <w:lang w:eastAsia="zh-CN"/>
        </w:rPr>
        <w:t>4</w:t>
      </w:r>
      <w:r>
        <w:rPr>
          <w:color w:val="auto"/>
          <w:spacing w:val="-3"/>
          <w:highlight w:val="none"/>
          <w:lang w:eastAsia="zh-CN"/>
        </w:rPr>
        <w:t>、质量目标</w:t>
      </w:r>
    </w:p>
    <w:p>
      <w:pPr>
        <w:pStyle w:val="17"/>
        <w:spacing w:line="377" w:lineRule="auto"/>
        <w:ind w:right="975" w:firstLine="408" w:firstLineChars="200"/>
        <w:rPr>
          <w:color w:val="auto"/>
          <w:spacing w:val="-3"/>
          <w:highlight w:val="none"/>
          <w:lang w:eastAsia="zh-CN"/>
        </w:rPr>
      </w:pPr>
      <w:r>
        <w:rPr>
          <w:color w:val="auto"/>
          <w:spacing w:val="-3"/>
          <w:highlight w:val="none"/>
          <w:lang w:eastAsia="zh-CN"/>
        </w:rPr>
        <w:t>符合设计要求，符合国家和项目所在地现行相关施工质量验收规范的合格标准。</w:t>
      </w:r>
    </w:p>
    <w:p>
      <w:pPr>
        <w:pStyle w:val="17"/>
        <w:spacing w:line="377" w:lineRule="auto"/>
        <w:ind w:right="975" w:firstLine="408" w:firstLineChars="200"/>
        <w:rPr>
          <w:color w:val="auto"/>
          <w:spacing w:val="-3"/>
          <w:highlight w:val="none"/>
          <w:lang w:eastAsia="zh-CN"/>
        </w:rPr>
      </w:pPr>
      <w:r>
        <w:rPr>
          <w:rFonts w:hint="eastAsia" w:ascii="Times New Roman" w:hAnsi="Times New Roman"/>
          <w:color w:val="auto"/>
          <w:spacing w:val="-3"/>
          <w:highlight w:val="none"/>
          <w:lang w:eastAsia="zh-CN"/>
        </w:rPr>
        <w:t>5</w:t>
      </w:r>
      <w:r>
        <w:rPr>
          <w:color w:val="auto"/>
          <w:spacing w:val="-3"/>
          <w:highlight w:val="none"/>
          <w:lang w:eastAsia="zh-CN"/>
        </w:rPr>
        <w:t>、安全文明目标</w:t>
      </w:r>
    </w:p>
    <w:p>
      <w:pPr>
        <w:pStyle w:val="17"/>
        <w:spacing w:line="377" w:lineRule="auto"/>
        <w:ind w:right="975" w:firstLine="408" w:firstLineChars="200"/>
        <w:rPr>
          <w:color w:val="auto"/>
          <w:spacing w:val="-3"/>
          <w:highlight w:val="none"/>
          <w:lang w:eastAsia="zh-CN"/>
        </w:rPr>
      </w:pPr>
      <w:r>
        <w:rPr>
          <w:color w:val="auto"/>
          <w:spacing w:val="-3"/>
          <w:highlight w:val="none"/>
          <w:lang w:eastAsia="zh-CN"/>
        </w:rPr>
        <w:t>达到江苏省安全生产标准化工地。</w:t>
      </w:r>
    </w:p>
    <w:p>
      <w:pPr>
        <w:pStyle w:val="13"/>
        <w:spacing w:before="160" w:line="374" w:lineRule="auto"/>
        <w:ind w:left="0" w:leftChars="0" w:firstLine="211" w:firstLineChars="100"/>
        <w:rPr>
          <w:color w:val="auto"/>
          <w:highlight w:val="none"/>
          <w:lang w:eastAsia="zh-CN"/>
        </w:rPr>
      </w:pPr>
      <w:r>
        <w:rPr>
          <w:color w:val="auto"/>
          <w:highlight w:val="none"/>
          <w:lang w:eastAsia="zh-CN"/>
        </w:rPr>
        <w:t xml:space="preserve">第五条 </w:t>
      </w:r>
      <w:r>
        <w:rPr>
          <w:rFonts w:hint="eastAsia"/>
          <w:color w:val="auto"/>
          <w:highlight w:val="none"/>
          <w:lang w:eastAsia="zh-CN"/>
        </w:rPr>
        <w:t>开发</w:t>
      </w:r>
      <w:r>
        <w:rPr>
          <w:color w:val="auto"/>
          <w:highlight w:val="none"/>
          <w:lang w:eastAsia="zh-CN"/>
        </w:rPr>
        <w:t>管理</w:t>
      </w:r>
      <w:r>
        <w:rPr>
          <w:rFonts w:hint="eastAsia"/>
          <w:color w:val="auto"/>
          <w:highlight w:val="none"/>
          <w:lang w:eastAsia="zh-CN"/>
        </w:rPr>
        <w:t>服务</w:t>
      </w:r>
      <w:r>
        <w:rPr>
          <w:color w:val="auto"/>
          <w:highlight w:val="none"/>
          <w:lang w:eastAsia="zh-CN"/>
        </w:rPr>
        <w:t>相关费用</w:t>
      </w:r>
    </w:p>
    <w:p>
      <w:pPr>
        <w:pStyle w:val="17"/>
        <w:tabs>
          <w:tab w:val="left" w:pos="5769"/>
        </w:tabs>
        <w:spacing w:line="376" w:lineRule="auto"/>
        <w:ind w:right="867" w:firstLine="439"/>
        <w:rPr>
          <w:rFonts w:hint="eastAsia"/>
          <w:color w:val="auto"/>
          <w:spacing w:val="-3"/>
          <w:highlight w:val="none"/>
          <w:lang w:eastAsia="zh-CN"/>
        </w:rPr>
      </w:pPr>
      <w:r>
        <w:rPr>
          <w:rFonts w:hint="eastAsia"/>
          <w:color w:val="auto"/>
          <w:highlight w:val="none"/>
          <w:lang w:eastAsia="zh-CN"/>
        </w:rPr>
        <w:t>开发</w:t>
      </w:r>
      <w:r>
        <w:rPr>
          <w:color w:val="auto"/>
          <w:highlight w:val="none"/>
          <w:lang w:eastAsia="zh-CN"/>
        </w:rPr>
        <w:t>管理</w:t>
      </w:r>
      <w:r>
        <w:rPr>
          <w:rFonts w:hint="eastAsia"/>
          <w:color w:val="auto"/>
          <w:highlight w:val="none"/>
          <w:lang w:eastAsia="zh-CN"/>
        </w:rPr>
        <w:t>服务</w:t>
      </w:r>
      <w:r>
        <w:rPr>
          <w:color w:val="auto"/>
          <w:spacing w:val="-3"/>
          <w:highlight w:val="none"/>
          <w:lang w:eastAsia="zh-CN"/>
        </w:rPr>
        <w:t>相</w:t>
      </w:r>
      <w:r>
        <w:rPr>
          <w:color w:val="auto"/>
          <w:highlight w:val="none"/>
          <w:lang w:eastAsia="zh-CN"/>
        </w:rPr>
        <w:t>关费</w:t>
      </w:r>
      <w:r>
        <w:rPr>
          <w:color w:val="auto"/>
          <w:spacing w:val="-3"/>
          <w:highlight w:val="none"/>
          <w:lang w:eastAsia="zh-CN"/>
        </w:rPr>
        <w:t>用</w:t>
      </w:r>
      <w:r>
        <w:rPr>
          <w:color w:val="auto"/>
          <w:highlight w:val="none"/>
          <w:lang w:eastAsia="zh-CN"/>
        </w:rPr>
        <w:t>暂</w:t>
      </w:r>
      <w:r>
        <w:rPr>
          <w:color w:val="auto"/>
          <w:spacing w:val="-3"/>
          <w:highlight w:val="none"/>
          <w:lang w:eastAsia="zh-CN"/>
        </w:rPr>
        <w:t>定</w:t>
      </w:r>
      <w:r>
        <w:rPr>
          <w:color w:val="auto"/>
          <w:highlight w:val="none"/>
          <w:lang w:eastAsia="zh-CN"/>
        </w:rPr>
        <w:t>合同</w:t>
      </w:r>
      <w:r>
        <w:rPr>
          <w:color w:val="auto"/>
          <w:spacing w:val="-3"/>
          <w:highlight w:val="none"/>
          <w:lang w:eastAsia="zh-CN"/>
        </w:rPr>
        <w:t>价</w:t>
      </w:r>
      <w:r>
        <w:rPr>
          <w:color w:val="auto"/>
          <w:highlight w:val="none"/>
          <w:lang w:eastAsia="zh-CN"/>
        </w:rPr>
        <w:t>为【</w:t>
      </w:r>
      <w:r>
        <w:rPr>
          <w:rFonts w:hint="eastAsia"/>
          <w:color w:val="auto"/>
          <w:highlight w:val="none"/>
          <w:u w:val="single"/>
          <w:lang w:val="en-US" w:eastAsia="zh-CN"/>
        </w:rPr>
        <w:t xml:space="preserve">    </w:t>
      </w:r>
      <w:r>
        <w:rPr>
          <w:color w:val="auto"/>
          <w:highlight w:val="none"/>
          <w:lang w:eastAsia="zh-CN"/>
        </w:rPr>
        <w:t>】</w:t>
      </w:r>
      <w:r>
        <w:rPr>
          <w:rFonts w:hint="eastAsia"/>
          <w:color w:val="auto"/>
          <w:highlight w:val="none"/>
          <w:lang w:eastAsia="zh-CN"/>
        </w:rPr>
        <w:t>万</w:t>
      </w:r>
      <w:r>
        <w:rPr>
          <w:color w:val="auto"/>
          <w:spacing w:val="-3"/>
          <w:highlight w:val="none"/>
          <w:lang w:eastAsia="zh-CN"/>
        </w:rPr>
        <w:t>元</w:t>
      </w:r>
      <w:r>
        <w:rPr>
          <w:rFonts w:hint="eastAsia"/>
          <w:color w:val="auto"/>
          <w:spacing w:val="-3"/>
          <w:highlight w:val="none"/>
          <w:lang w:eastAsia="zh-CN"/>
        </w:rPr>
        <w:t>，按项目总销售额的【</w:t>
      </w:r>
      <w:r>
        <w:rPr>
          <w:rFonts w:hint="eastAsia"/>
          <w:color w:val="auto"/>
          <w:spacing w:val="-3"/>
          <w:highlight w:val="none"/>
          <w:lang w:val="en-US" w:eastAsia="zh-CN"/>
        </w:rPr>
        <w:t xml:space="preserve">    </w:t>
      </w:r>
      <w:r>
        <w:rPr>
          <w:rFonts w:hint="eastAsia"/>
          <w:color w:val="auto"/>
          <w:spacing w:val="-3"/>
          <w:highlight w:val="none"/>
          <w:lang w:eastAsia="zh-CN"/>
        </w:rPr>
        <w:t>】%计取，包括项目基本管理费【</w:t>
      </w:r>
      <w:r>
        <w:rPr>
          <w:rFonts w:hint="eastAsia"/>
          <w:color w:val="auto"/>
          <w:spacing w:val="-3"/>
          <w:highlight w:val="none"/>
          <w:lang w:val="en-US" w:eastAsia="zh-CN"/>
        </w:rPr>
        <w:t xml:space="preserve">    </w:t>
      </w:r>
      <w:r>
        <w:rPr>
          <w:rFonts w:hint="eastAsia"/>
          <w:color w:val="auto"/>
          <w:spacing w:val="-3"/>
          <w:highlight w:val="none"/>
          <w:lang w:eastAsia="zh-CN"/>
        </w:rPr>
        <w:t>】%，品牌使用费【</w:t>
      </w:r>
      <w:r>
        <w:rPr>
          <w:rFonts w:hint="eastAsia"/>
          <w:color w:val="auto"/>
          <w:spacing w:val="-3"/>
          <w:highlight w:val="none"/>
          <w:lang w:val="en-US" w:eastAsia="zh-CN"/>
        </w:rPr>
        <w:t xml:space="preserve">    </w:t>
      </w:r>
      <w:r>
        <w:rPr>
          <w:rFonts w:hint="eastAsia"/>
          <w:color w:val="auto"/>
          <w:spacing w:val="-3"/>
          <w:highlight w:val="none"/>
          <w:lang w:eastAsia="zh-CN"/>
        </w:rPr>
        <w:t>】%</w:t>
      </w:r>
      <w:r>
        <w:rPr>
          <w:color w:val="auto"/>
          <w:highlight w:val="none"/>
          <w:lang w:eastAsia="zh-CN"/>
        </w:rPr>
        <w:t>。</w:t>
      </w:r>
      <w:r>
        <w:rPr>
          <w:color w:val="auto"/>
          <w:spacing w:val="-3"/>
          <w:highlight w:val="none"/>
          <w:lang w:eastAsia="zh-CN"/>
        </w:rPr>
        <w:t>该</w:t>
      </w:r>
      <w:r>
        <w:rPr>
          <w:color w:val="auto"/>
          <w:highlight w:val="none"/>
          <w:lang w:eastAsia="zh-CN"/>
        </w:rPr>
        <w:t>项目</w:t>
      </w:r>
      <w:r>
        <w:rPr>
          <w:color w:val="auto"/>
          <w:spacing w:val="-3"/>
          <w:highlight w:val="none"/>
          <w:lang w:eastAsia="zh-CN"/>
        </w:rPr>
        <w:t>暂</w:t>
      </w:r>
      <w:r>
        <w:rPr>
          <w:color w:val="auto"/>
          <w:highlight w:val="none"/>
          <w:lang w:eastAsia="zh-CN"/>
        </w:rPr>
        <w:t>估总</w:t>
      </w:r>
      <w:r>
        <w:rPr>
          <w:color w:val="auto"/>
          <w:spacing w:val="-3"/>
          <w:highlight w:val="none"/>
          <w:lang w:eastAsia="zh-CN"/>
        </w:rPr>
        <w:t>销</w:t>
      </w:r>
      <w:r>
        <w:rPr>
          <w:color w:val="auto"/>
          <w:highlight w:val="none"/>
          <w:lang w:eastAsia="zh-CN"/>
        </w:rPr>
        <w:t>售额约</w:t>
      </w:r>
      <w:r>
        <w:rPr>
          <w:color w:val="auto"/>
          <w:spacing w:val="-53"/>
          <w:highlight w:val="none"/>
          <w:lang w:eastAsia="zh-CN"/>
        </w:rPr>
        <w:t xml:space="preserve"> </w:t>
      </w:r>
      <w:r>
        <w:rPr>
          <w:rFonts w:hint="eastAsia" w:ascii="Times New Roman" w:hAnsi="Times New Roman"/>
          <w:color w:val="auto"/>
          <w:highlight w:val="none"/>
          <w:lang w:eastAsia="zh-CN"/>
        </w:rPr>
        <w:t>27</w:t>
      </w:r>
      <w:r>
        <w:rPr>
          <w:color w:val="auto"/>
          <w:highlight w:val="none"/>
          <w:lang w:eastAsia="zh-CN"/>
        </w:rPr>
        <w:t>.</w:t>
      </w:r>
      <w:r>
        <w:rPr>
          <w:rFonts w:hint="eastAsia" w:ascii="Times New Roman" w:hAnsi="Times New Roman"/>
          <w:color w:val="auto"/>
          <w:highlight w:val="none"/>
          <w:lang w:eastAsia="zh-CN"/>
        </w:rPr>
        <w:t>8</w:t>
      </w:r>
      <w:r>
        <w:rPr>
          <w:color w:val="auto"/>
          <w:spacing w:val="-55"/>
          <w:highlight w:val="none"/>
          <w:lang w:eastAsia="zh-CN"/>
        </w:rPr>
        <w:t xml:space="preserve"> </w:t>
      </w:r>
      <w:r>
        <w:rPr>
          <w:color w:val="auto"/>
          <w:highlight w:val="none"/>
          <w:lang w:eastAsia="zh-CN"/>
        </w:rPr>
        <w:t>亿元</w:t>
      </w:r>
      <w:r>
        <w:rPr>
          <w:color w:val="auto"/>
          <w:spacing w:val="-3"/>
          <w:highlight w:val="none"/>
          <w:lang w:eastAsia="zh-CN"/>
        </w:rPr>
        <w:t>（</w:t>
      </w:r>
      <w:r>
        <w:rPr>
          <w:color w:val="auto"/>
          <w:highlight w:val="none"/>
          <w:lang w:eastAsia="zh-CN"/>
        </w:rPr>
        <w:t>含车</w:t>
      </w:r>
      <w:r>
        <w:rPr>
          <w:color w:val="auto"/>
          <w:spacing w:val="-3"/>
          <w:highlight w:val="none"/>
          <w:lang w:eastAsia="zh-CN"/>
        </w:rPr>
        <w:t>位</w:t>
      </w:r>
      <w:r>
        <w:rPr>
          <w:color w:val="auto"/>
          <w:highlight w:val="none"/>
          <w:lang w:eastAsia="zh-CN"/>
        </w:rPr>
        <w:t>）。</w:t>
      </w:r>
      <w:r>
        <w:rPr>
          <w:rFonts w:hint="eastAsia"/>
          <w:color w:val="auto"/>
          <w:spacing w:val="-3"/>
          <w:highlight w:val="none"/>
          <w:lang w:val="en-US" w:eastAsia="zh-CN"/>
        </w:rPr>
        <w:t>乙方须在甲方付款前</w:t>
      </w:r>
      <w:r>
        <w:rPr>
          <w:rFonts w:hint="eastAsia" w:ascii="Times New Roman" w:hAnsi="Times New Roman"/>
          <w:color w:val="auto"/>
          <w:spacing w:val="-3"/>
          <w:highlight w:val="none"/>
          <w:lang w:val="en-US" w:eastAsia="zh-CN"/>
        </w:rPr>
        <w:t>10</w:t>
      </w:r>
      <w:r>
        <w:rPr>
          <w:rFonts w:hint="eastAsia"/>
          <w:color w:val="auto"/>
          <w:spacing w:val="-3"/>
          <w:highlight w:val="none"/>
          <w:lang w:val="en-US" w:eastAsia="zh-CN"/>
        </w:rPr>
        <w:t>日内，提供准确、足额、真实的一般纳税人增值税专用发票，否则甲方有权拒绝付款。</w:t>
      </w:r>
    </w:p>
    <w:p>
      <w:pPr>
        <w:pStyle w:val="13"/>
        <w:spacing w:before="160"/>
        <w:ind w:left="0" w:leftChars="0" w:firstLine="211" w:firstLineChars="100"/>
        <w:rPr>
          <w:color w:val="auto"/>
          <w:highlight w:val="none"/>
          <w:lang w:eastAsia="zh-CN"/>
        </w:rPr>
      </w:pPr>
      <w:r>
        <w:rPr>
          <w:color w:val="auto"/>
          <w:highlight w:val="none"/>
          <w:lang w:eastAsia="zh-CN"/>
        </w:rPr>
        <w:t>（一）</w:t>
      </w:r>
      <w:r>
        <w:rPr>
          <w:rFonts w:hint="eastAsia"/>
          <w:color w:val="auto"/>
          <w:highlight w:val="none"/>
          <w:lang w:eastAsia="zh-CN"/>
        </w:rPr>
        <w:t>开发</w:t>
      </w:r>
      <w:r>
        <w:rPr>
          <w:color w:val="auto"/>
          <w:highlight w:val="none"/>
          <w:lang w:eastAsia="zh-CN"/>
        </w:rPr>
        <w:t>管理</w:t>
      </w:r>
      <w:r>
        <w:rPr>
          <w:rFonts w:hint="eastAsia"/>
          <w:color w:val="auto"/>
          <w:highlight w:val="none"/>
          <w:lang w:eastAsia="zh-CN"/>
        </w:rPr>
        <w:t>服务相关</w:t>
      </w:r>
      <w:r>
        <w:rPr>
          <w:color w:val="auto"/>
          <w:highlight w:val="none"/>
          <w:lang w:eastAsia="zh-CN"/>
        </w:rPr>
        <w:t>费用的定义及范畴</w:t>
      </w:r>
    </w:p>
    <w:p>
      <w:pPr>
        <w:pStyle w:val="17"/>
        <w:spacing w:line="374" w:lineRule="auto"/>
        <w:ind w:right="863" w:firstLine="420" w:firstLineChars="200"/>
        <w:rPr>
          <w:color w:val="auto"/>
          <w:highlight w:val="none"/>
          <w:lang w:eastAsia="zh-CN"/>
        </w:rPr>
      </w:pPr>
      <w:r>
        <w:rPr>
          <w:color w:val="auto"/>
          <w:highlight w:val="none"/>
          <w:lang w:eastAsia="zh-CN"/>
        </w:rPr>
        <w:t>乙方收取的</w:t>
      </w:r>
      <w:r>
        <w:rPr>
          <w:rFonts w:hint="eastAsia"/>
          <w:color w:val="auto"/>
          <w:highlight w:val="none"/>
          <w:lang w:eastAsia="zh-CN"/>
        </w:rPr>
        <w:t>开发</w:t>
      </w:r>
      <w:r>
        <w:rPr>
          <w:color w:val="auto"/>
          <w:highlight w:val="none"/>
          <w:lang w:eastAsia="zh-CN"/>
        </w:rPr>
        <w:t>管理</w:t>
      </w:r>
      <w:r>
        <w:rPr>
          <w:rFonts w:hint="eastAsia"/>
          <w:color w:val="auto"/>
          <w:highlight w:val="none"/>
          <w:lang w:eastAsia="zh-CN"/>
        </w:rPr>
        <w:t>服务</w:t>
      </w:r>
      <w:r>
        <w:rPr>
          <w:color w:val="auto"/>
          <w:highlight w:val="none"/>
          <w:lang w:eastAsia="zh-CN"/>
        </w:rPr>
        <w:t>相关费用主要包括“</w:t>
      </w:r>
      <w:r>
        <w:rPr>
          <w:rFonts w:hint="eastAsia"/>
          <w:color w:val="auto"/>
          <w:highlight w:val="none"/>
          <w:lang w:eastAsia="zh-CN"/>
        </w:rPr>
        <w:t>项目基本管理费</w:t>
      </w:r>
      <w:r>
        <w:rPr>
          <w:color w:val="auto"/>
          <w:highlight w:val="none"/>
          <w:lang w:eastAsia="zh-CN"/>
        </w:rPr>
        <w:t>”</w:t>
      </w:r>
      <w:r>
        <w:rPr>
          <w:rFonts w:hint="eastAsia"/>
          <w:color w:val="auto"/>
          <w:highlight w:val="none"/>
          <w:lang w:eastAsia="zh-CN"/>
        </w:rPr>
        <w:t>和</w:t>
      </w:r>
      <w:r>
        <w:rPr>
          <w:color w:val="auto"/>
          <w:highlight w:val="none"/>
          <w:lang w:eastAsia="zh-CN"/>
        </w:rPr>
        <w:t>“</w:t>
      </w:r>
      <w:r>
        <w:rPr>
          <w:rFonts w:hint="eastAsia"/>
          <w:color w:val="auto"/>
          <w:highlight w:val="none"/>
          <w:lang w:eastAsia="zh-CN"/>
        </w:rPr>
        <w:t>品牌使用费</w:t>
      </w:r>
      <w:r>
        <w:rPr>
          <w:color w:val="auto"/>
          <w:highlight w:val="none"/>
          <w:lang w:eastAsia="zh-CN"/>
        </w:rPr>
        <w:t>”。</w:t>
      </w:r>
      <w:r>
        <w:rPr>
          <w:rFonts w:hint="eastAsia"/>
          <w:color w:val="auto"/>
          <w:highlight w:val="none"/>
          <w:lang w:eastAsia="zh-CN"/>
        </w:rPr>
        <w:t>项目基本管理费</w:t>
      </w:r>
      <w:r>
        <w:rPr>
          <w:color w:val="auto"/>
          <w:highlight w:val="none"/>
          <w:lang w:eastAsia="zh-CN"/>
        </w:rPr>
        <w:t>具体包括但不限于：乙方委派人员（以乙方书面委派函为准）的薪酬福利，包括人员的工资、社会保险费、住房公积金、工会经费、职工教育经费和其他现金或实物形式的福利等</w:t>
      </w:r>
      <w:r>
        <w:rPr>
          <w:rFonts w:hint="eastAsia"/>
          <w:color w:val="auto"/>
          <w:highlight w:val="none"/>
          <w:lang w:eastAsia="zh-CN"/>
        </w:rPr>
        <w:t>；</w:t>
      </w:r>
      <w:r>
        <w:rPr>
          <w:color w:val="auto"/>
          <w:highlight w:val="none"/>
          <w:lang w:eastAsia="zh-CN"/>
        </w:rPr>
        <w:t>办公用房屋</w:t>
      </w:r>
      <w:r>
        <w:rPr>
          <w:rFonts w:hint="eastAsia"/>
          <w:color w:val="auto"/>
          <w:highlight w:val="none"/>
          <w:lang w:eastAsia="zh-CN"/>
        </w:rPr>
        <w:t>租赁</w:t>
      </w:r>
      <w:r>
        <w:rPr>
          <w:color w:val="auto"/>
          <w:highlight w:val="none"/>
          <w:lang w:eastAsia="zh-CN"/>
        </w:rPr>
        <w:t>及装修费用、租赁费、水电物管费、办公家具费用</w:t>
      </w:r>
      <w:r>
        <w:rPr>
          <w:rFonts w:hint="eastAsia"/>
          <w:color w:val="auto"/>
          <w:highlight w:val="none"/>
          <w:lang w:eastAsia="zh-CN"/>
        </w:rPr>
        <w:t>等；项目</w:t>
      </w:r>
      <w:r>
        <w:rPr>
          <w:color w:val="auto"/>
          <w:highlight w:val="none"/>
          <w:lang w:eastAsia="zh-CN"/>
        </w:rPr>
        <w:t xml:space="preserve">人员电脑购置、办公费用（含日常办公费，首年办公 </w:t>
      </w:r>
      <w:r>
        <w:rPr>
          <w:rFonts w:hint="eastAsia" w:ascii="Times New Roman" w:hAnsi="Times New Roman"/>
          <w:color w:val="auto"/>
          <w:highlight w:val="none"/>
          <w:lang w:eastAsia="zh-CN"/>
        </w:rPr>
        <w:t>VI</w:t>
      </w:r>
      <w:r>
        <w:rPr>
          <w:color w:val="auto"/>
          <w:highlight w:val="none"/>
          <w:lang w:eastAsia="zh-CN"/>
        </w:rPr>
        <w:t xml:space="preserve"> 制作费）、邮电通讯费（含宽带、快递，办公电话）、劳动保护费、项目公务用车车辆使用费</w:t>
      </w:r>
      <w:r>
        <w:rPr>
          <w:rFonts w:hint="eastAsia"/>
          <w:color w:val="auto"/>
          <w:highlight w:val="none"/>
          <w:lang w:eastAsia="zh-CN"/>
        </w:rPr>
        <w:t>，</w:t>
      </w:r>
      <w:r>
        <w:rPr>
          <w:color w:val="auto"/>
          <w:highlight w:val="none"/>
          <w:lang w:eastAsia="zh-CN"/>
        </w:rPr>
        <w:t>乙方组织的培训及会议产生的培训费与会务费、乙方对项目进行日常对口指导所产生的差旅费及业务费、按乙方规定发放的奖励等</w:t>
      </w:r>
      <w:r>
        <w:rPr>
          <w:rFonts w:hint="eastAsia"/>
          <w:color w:val="auto"/>
          <w:highlight w:val="none"/>
          <w:lang w:eastAsia="zh-CN"/>
        </w:rPr>
        <w:t>。项目基本管理费</w:t>
      </w:r>
      <w:r>
        <w:rPr>
          <w:color w:val="auto"/>
          <w:highlight w:val="none"/>
          <w:lang w:eastAsia="zh-CN"/>
        </w:rPr>
        <w:t>不包括：项目开发建设过程中实际发生的应由甲方承担并支付给相关第三方的费用（包括但不限于土地出让金、前期工程费、报建费、市政配套费和其他政府规费及行政收费、各类设计费、各类检测费、各类工程价款、材料设备款、招标代理费、招标交易服务费、监理费、各项税金</w:t>
      </w:r>
      <w:r>
        <w:rPr>
          <w:rFonts w:hint="eastAsia"/>
          <w:color w:val="auto"/>
          <w:highlight w:val="none"/>
          <w:lang w:eastAsia="zh-CN"/>
        </w:rPr>
        <w:t>（乙方应缴税费除外）</w:t>
      </w:r>
      <w:r>
        <w:rPr>
          <w:color w:val="auto"/>
          <w:highlight w:val="none"/>
          <w:lang w:eastAsia="zh-CN"/>
        </w:rPr>
        <w:t>、融资费用，和工程造价、财务审计、法律服务、物业服务等各类中介咨询费等，但本合同另有约定的除外）。</w:t>
      </w:r>
    </w:p>
    <w:p>
      <w:pPr>
        <w:pStyle w:val="17"/>
        <w:spacing w:line="374" w:lineRule="auto"/>
        <w:ind w:right="863" w:firstLine="420" w:firstLineChars="200"/>
        <w:rPr>
          <w:color w:val="auto"/>
          <w:highlight w:val="none"/>
          <w:lang w:eastAsia="zh-CN"/>
        </w:rPr>
      </w:pPr>
      <w:r>
        <w:rPr>
          <w:rFonts w:hint="eastAsia"/>
          <w:color w:val="auto"/>
          <w:highlight w:val="none"/>
          <w:lang w:eastAsia="zh-CN"/>
        </w:rPr>
        <w:t>品牌使用费是指</w:t>
      </w:r>
      <w:r>
        <w:rPr>
          <w:color w:val="auto"/>
          <w:highlight w:val="none"/>
          <w:lang w:eastAsia="zh-CN"/>
        </w:rPr>
        <w:t>：</w:t>
      </w:r>
      <w:r>
        <w:rPr>
          <w:rFonts w:hint="eastAsia"/>
          <w:color w:val="auto"/>
          <w:highlight w:val="none"/>
          <w:lang w:eastAsia="zh-CN"/>
        </w:rPr>
        <w:t>乙方通过其专业的项目全过程开发管理服务输出产品成果，并授权项目在开发和</w:t>
      </w:r>
      <w:r>
        <w:rPr>
          <w:color w:val="auto"/>
          <w:highlight w:val="none"/>
          <w:lang w:eastAsia="zh-CN"/>
        </w:rPr>
        <w:t>销售</w:t>
      </w:r>
      <w:r>
        <w:rPr>
          <w:rFonts w:hint="eastAsia"/>
          <w:color w:val="auto"/>
          <w:highlight w:val="none"/>
          <w:lang w:eastAsia="zh-CN"/>
        </w:rPr>
        <w:t>过程中，包括</w:t>
      </w:r>
      <w:r>
        <w:rPr>
          <w:color w:val="auto"/>
          <w:highlight w:val="none"/>
          <w:lang w:eastAsia="zh-CN"/>
        </w:rPr>
        <w:t>广告、销售资料、销售中心、销售展示现场、项目工地现场包装等推广物料中</w:t>
      </w:r>
      <w:r>
        <w:rPr>
          <w:rFonts w:hint="eastAsia"/>
          <w:color w:val="auto"/>
          <w:highlight w:val="none"/>
          <w:lang w:eastAsia="zh-CN"/>
        </w:rPr>
        <w:t>，</w:t>
      </w:r>
      <w:r>
        <w:rPr>
          <w:color w:val="auto"/>
          <w:highlight w:val="none"/>
          <w:lang w:eastAsia="zh-CN"/>
        </w:rPr>
        <w:t>使用</w:t>
      </w:r>
      <w:r>
        <w:rPr>
          <w:rFonts w:hint="eastAsia"/>
          <w:color w:val="auto"/>
          <w:highlight w:val="none"/>
          <w:lang w:eastAsia="zh-CN"/>
        </w:rPr>
        <w:t>乙方</w:t>
      </w:r>
      <w:r>
        <w:rPr>
          <w:color w:val="auto"/>
          <w:highlight w:val="none"/>
          <w:lang w:eastAsia="zh-CN"/>
        </w:rPr>
        <w:t>品牌字样和商标（包括图形）</w:t>
      </w:r>
      <w:r>
        <w:rPr>
          <w:rFonts w:hint="eastAsia"/>
          <w:color w:val="auto"/>
          <w:highlight w:val="none"/>
          <w:lang w:eastAsia="zh-CN"/>
        </w:rPr>
        <w:t>而向甲方收取的费用。</w:t>
      </w:r>
    </w:p>
    <w:p>
      <w:pPr>
        <w:pStyle w:val="13"/>
        <w:spacing w:line="281" w:lineRule="exact"/>
        <w:ind w:left="0" w:leftChars="0" w:firstLine="211" w:firstLineChars="100"/>
        <w:rPr>
          <w:color w:val="auto"/>
          <w:highlight w:val="none"/>
          <w:lang w:eastAsia="zh-CN"/>
        </w:rPr>
      </w:pPr>
      <w:r>
        <w:rPr>
          <w:color w:val="auto"/>
          <w:highlight w:val="none"/>
          <w:lang w:eastAsia="zh-CN"/>
        </w:rPr>
        <w:t>（二）</w:t>
      </w:r>
      <w:r>
        <w:rPr>
          <w:rFonts w:hint="eastAsia"/>
          <w:color w:val="auto"/>
          <w:highlight w:val="none"/>
          <w:lang w:eastAsia="zh-CN"/>
        </w:rPr>
        <w:t>项目</w:t>
      </w:r>
      <w:r>
        <w:rPr>
          <w:color w:val="auto"/>
          <w:highlight w:val="none"/>
          <w:lang w:eastAsia="zh-CN"/>
        </w:rPr>
        <w:t>基本</w:t>
      </w:r>
      <w:r>
        <w:rPr>
          <w:rFonts w:hint="eastAsia"/>
          <w:color w:val="auto"/>
          <w:highlight w:val="none"/>
          <w:lang w:eastAsia="zh-CN"/>
        </w:rPr>
        <w:t>管理</w:t>
      </w:r>
      <w:r>
        <w:rPr>
          <w:color w:val="auto"/>
          <w:highlight w:val="none"/>
          <w:lang w:eastAsia="zh-CN"/>
        </w:rPr>
        <w:t>费用的计取标准及支付方式</w:t>
      </w:r>
    </w:p>
    <w:p>
      <w:pPr>
        <w:pStyle w:val="17"/>
        <w:tabs>
          <w:tab w:val="left" w:pos="4999"/>
        </w:tabs>
        <w:spacing w:before="160" w:line="374" w:lineRule="auto"/>
        <w:ind w:right="865" w:firstLine="439"/>
        <w:rPr>
          <w:color w:val="auto"/>
          <w:highlight w:val="none"/>
          <w:lang w:eastAsia="zh-CN"/>
        </w:rPr>
      </w:pPr>
      <w:r>
        <w:rPr>
          <w:color w:val="auto"/>
          <w:highlight w:val="none"/>
          <w:lang w:eastAsia="zh-CN"/>
        </w:rPr>
        <w:t>本项目的基本</w:t>
      </w:r>
      <w:r>
        <w:rPr>
          <w:rFonts w:hint="eastAsia"/>
          <w:color w:val="auto"/>
          <w:highlight w:val="none"/>
          <w:lang w:eastAsia="zh-CN"/>
        </w:rPr>
        <w:t>管理</w:t>
      </w:r>
      <w:r>
        <w:rPr>
          <w:color w:val="auto"/>
          <w:highlight w:val="none"/>
          <w:lang w:eastAsia="zh-CN"/>
        </w:rPr>
        <w:t>费用</w:t>
      </w:r>
      <w:r>
        <w:rPr>
          <w:rFonts w:hint="eastAsia"/>
          <w:color w:val="auto"/>
          <w:highlight w:val="none"/>
          <w:lang w:eastAsia="zh-CN"/>
        </w:rPr>
        <w:t>暂</w:t>
      </w:r>
      <w:r>
        <w:rPr>
          <w:color w:val="auto"/>
          <w:highlight w:val="none"/>
          <w:lang w:eastAsia="zh-CN"/>
        </w:rPr>
        <w:t>计：</w:t>
      </w:r>
      <w:r>
        <w:rPr>
          <w:rFonts w:hint="eastAsia"/>
          <w:color w:val="auto"/>
          <w:highlight w:val="none"/>
          <w:lang w:eastAsia="zh-CN"/>
        </w:rPr>
        <w:t>【</w:t>
      </w:r>
      <w:r>
        <w:rPr>
          <w:rFonts w:hint="eastAsia"/>
          <w:color w:val="auto"/>
          <w:highlight w:val="none"/>
          <w:lang w:val="en-US" w:eastAsia="zh-CN"/>
        </w:rPr>
        <w:t xml:space="preserve">    </w:t>
      </w:r>
      <w:r>
        <w:rPr>
          <w:rFonts w:hint="eastAsia"/>
          <w:color w:val="auto"/>
          <w:highlight w:val="none"/>
          <w:lang w:eastAsia="zh-CN"/>
        </w:rPr>
        <w:t>】万</w:t>
      </w:r>
      <w:r>
        <w:rPr>
          <w:color w:val="auto"/>
          <w:highlight w:val="none"/>
          <w:lang w:eastAsia="zh-CN"/>
        </w:rPr>
        <w:t>元</w:t>
      </w:r>
      <w:r>
        <w:rPr>
          <w:rFonts w:hint="eastAsia"/>
          <w:color w:val="auto"/>
          <w:highlight w:val="none"/>
          <w:lang w:eastAsia="zh-CN"/>
        </w:rPr>
        <w:t>，按项目总销售额【</w:t>
      </w:r>
      <w:r>
        <w:rPr>
          <w:rFonts w:hint="eastAsia"/>
          <w:color w:val="auto"/>
          <w:highlight w:val="none"/>
          <w:lang w:val="en-US" w:eastAsia="zh-CN"/>
        </w:rPr>
        <w:t xml:space="preserve">    </w:t>
      </w:r>
      <w:r>
        <w:rPr>
          <w:rFonts w:hint="eastAsia"/>
          <w:color w:val="auto"/>
          <w:highlight w:val="none"/>
          <w:lang w:eastAsia="zh-CN"/>
        </w:rPr>
        <w:t>】</w:t>
      </w:r>
      <w:r>
        <w:rPr>
          <w:color w:val="auto"/>
          <w:highlight w:val="none"/>
          <w:lang w:eastAsia="zh-CN"/>
        </w:rPr>
        <w:t>%</w:t>
      </w:r>
      <w:r>
        <w:rPr>
          <w:rFonts w:hint="eastAsia"/>
          <w:color w:val="auto"/>
          <w:highlight w:val="none"/>
          <w:lang w:eastAsia="zh-CN"/>
        </w:rPr>
        <w:t>计取</w:t>
      </w:r>
      <w:r>
        <w:rPr>
          <w:color w:val="auto"/>
          <w:highlight w:val="none"/>
          <w:lang w:eastAsia="zh-CN"/>
        </w:rPr>
        <w:t>。在合同履行过程中，</w:t>
      </w:r>
      <w:r>
        <w:rPr>
          <w:rFonts w:hint="eastAsia"/>
          <w:color w:val="auto"/>
          <w:highlight w:val="none"/>
          <w:lang w:eastAsia="zh-CN"/>
        </w:rPr>
        <w:t>项目</w:t>
      </w:r>
      <w:r>
        <w:rPr>
          <w:color w:val="auto"/>
          <w:highlight w:val="none"/>
          <w:lang w:eastAsia="zh-CN"/>
        </w:rPr>
        <w:t>基本</w:t>
      </w:r>
      <w:r>
        <w:rPr>
          <w:rFonts w:hint="eastAsia"/>
          <w:color w:val="auto"/>
          <w:highlight w:val="none"/>
          <w:lang w:eastAsia="zh-CN"/>
        </w:rPr>
        <w:t>管理</w:t>
      </w:r>
      <w:r>
        <w:rPr>
          <w:color w:val="auto"/>
          <w:highlight w:val="none"/>
          <w:lang w:eastAsia="zh-CN"/>
        </w:rPr>
        <w:t>费用不因服务期延长（非甲方原因）、物价波动、人工工资涨跌及其他任何因素而调整。</w:t>
      </w:r>
    </w:p>
    <w:p>
      <w:pPr>
        <w:pStyle w:val="17"/>
        <w:tabs>
          <w:tab w:val="left" w:pos="4999"/>
        </w:tabs>
        <w:spacing w:before="160" w:line="374" w:lineRule="auto"/>
        <w:ind w:right="865" w:firstLine="439"/>
        <w:rPr>
          <w:color w:val="auto"/>
          <w:highlight w:val="none"/>
          <w:u w:val="single"/>
          <w:lang w:eastAsia="zh-CN"/>
        </w:rPr>
      </w:pPr>
      <w:r>
        <w:rPr>
          <w:color w:val="auto"/>
          <w:highlight w:val="none"/>
          <w:lang w:eastAsia="zh-CN"/>
        </w:rPr>
        <w:t>支付方式：</w:t>
      </w:r>
      <w:r>
        <w:rPr>
          <w:color w:val="auto"/>
          <w:highlight w:val="none"/>
          <w:u w:val="single"/>
          <w:lang w:eastAsia="zh-CN"/>
        </w:rPr>
        <w:t xml:space="preserve">该分项费用按每 </w:t>
      </w:r>
      <w:r>
        <w:rPr>
          <w:rFonts w:hint="eastAsia" w:ascii="Times New Roman" w:hAnsi="Times New Roman"/>
          <w:color w:val="auto"/>
          <w:highlight w:val="none"/>
          <w:u w:val="single"/>
          <w:lang w:eastAsia="zh-CN"/>
        </w:rPr>
        <w:t>3</w:t>
      </w:r>
      <w:r>
        <w:rPr>
          <w:color w:val="auto"/>
          <w:highlight w:val="none"/>
          <w:u w:val="single"/>
          <w:lang w:eastAsia="zh-CN"/>
        </w:rPr>
        <w:t>个月支付一次，每次支付金额=</w:t>
      </w:r>
      <w:r>
        <w:rPr>
          <w:rFonts w:hint="eastAsia"/>
          <w:color w:val="auto"/>
          <w:highlight w:val="none"/>
          <w:u w:val="single"/>
          <w:lang w:eastAsia="zh-CN"/>
        </w:rPr>
        <w:t>项目基本管理费用</w:t>
      </w:r>
      <w:r>
        <w:rPr>
          <w:color w:val="auto"/>
          <w:highlight w:val="none"/>
          <w:u w:val="single"/>
          <w:lang w:eastAsia="zh-CN"/>
        </w:rPr>
        <w:t>/</w:t>
      </w:r>
      <w:r>
        <w:rPr>
          <w:rFonts w:hint="eastAsia" w:ascii="Times New Roman" w:hAnsi="Times New Roman"/>
          <w:color w:val="auto"/>
          <w:highlight w:val="none"/>
          <w:u w:val="single"/>
          <w:lang w:eastAsia="zh-CN"/>
        </w:rPr>
        <w:t>16</w:t>
      </w:r>
      <w:r>
        <w:rPr>
          <w:color w:val="auto"/>
          <w:highlight w:val="none"/>
          <w:u w:val="single"/>
          <w:lang w:eastAsia="zh-CN"/>
        </w:rPr>
        <w:t>；</w:t>
      </w:r>
      <w:r>
        <w:rPr>
          <w:rFonts w:hint="eastAsia"/>
          <w:color w:val="auto"/>
          <w:highlight w:val="none"/>
          <w:u w:val="single"/>
          <w:lang w:eastAsia="zh-CN"/>
        </w:rPr>
        <w:t>支</w:t>
      </w:r>
      <w:r>
        <w:rPr>
          <w:color w:val="auto"/>
          <w:highlight w:val="none"/>
          <w:u w:val="single"/>
          <w:lang w:eastAsia="zh-CN"/>
        </w:rPr>
        <w:t xml:space="preserve">付至该分项费用的 </w:t>
      </w:r>
      <w:r>
        <w:rPr>
          <w:rFonts w:hint="eastAsia" w:ascii="Times New Roman" w:hAnsi="Times New Roman"/>
          <w:color w:val="auto"/>
          <w:highlight w:val="none"/>
          <w:u w:val="single"/>
          <w:lang w:eastAsia="zh-CN"/>
        </w:rPr>
        <w:t>70</w:t>
      </w:r>
      <w:r>
        <w:rPr>
          <w:color w:val="auto"/>
          <w:highlight w:val="none"/>
          <w:u w:val="single"/>
          <w:lang w:eastAsia="zh-CN"/>
        </w:rPr>
        <w:t>%暂停支付</w:t>
      </w:r>
      <w:r>
        <w:rPr>
          <w:rFonts w:hint="eastAsia"/>
          <w:color w:val="auto"/>
          <w:highlight w:val="none"/>
          <w:u w:val="single"/>
          <w:lang w:eastAsia="zh-CN"/>
        </w:rPr>
        <w:t>（</w:t>
      </w:r>
      <w:r>
        <w:rPr>
          <w:rFonts w:hint="eastAsia"/>
          <w:color w:val="auto"/>
          <w:highlight w:val="none"/>
          <w:u w:val="single"/>
          <w:lang w:val="en-US" w:eastAsia="zh-CN"/>
        </w:rPr>
        <w:t>甲方有权按照乙方的销售款回笼进度调整该费用的支付时间</w:t>
      </w:r>
      <w:r>
        <w:rPr>
          <w:rFonts w:hint="eastAsia"/>
          <w:color w:val="auto"/>
          <w:highlight w:val="none"/>
          <w:u w:val="single"/>
          <w:lang w:eastAsia="zh-CN"/>
        </w:rPr>
        <w:t>）</w:t>
      </w:r>
      <w:r>
        <w:rPr>
          <w:color w:val="auto"/>
          <w:highlight w:val="none"/>
          <w:u w:val="single"/>
          <w:lang w:eastAsia="zh-CN"/>
        </w:rPr>
        <w:t>；余款在</w:t>
      </w:r>
      <w:r>
        <w:rPr>
          <w:rFonts w:hint="eastAsia"/>
          <w:color w:val="auto"/>
          <w:highlight w:val="none"/>
          <w:u w:val="single"/>
          <w:lang w:eastAsia="zh-CN"/>
        </w:rPr>
        <w:t>开发</w:t>
      </w:r>
      <w:r>
        <w:rPr>
          <w:color w:val="auto"/>
          <w:highlight w:val="none"/>
          <w:u w:val="single"/>
          <w:lang w:eastAsia="zh-CN"/>
        </w:rPr>
        <w:t>管理服务期满并达到销售目标后三十日内结清。</w:t>
      </w:r>
    </w:p>
    <w:p>
      <w:pPr>
        <w:pStyle w:val="17"/>
        <w:spacing w:line="374" w:lineRule="auto"/>
        <w:ind w:right="865" w:firstLine="439"/>
        <w:rPr>
          <w:color w:val="auto"/>
          <w:highlight w:val="none"/>
          <w:lang w:eastAsia="zh-CN"/>
        </w:rPr>
      </w:pPr>
      <w:r>
        <w:rPr>
          <w:color w:val="auto"/>
          <w:spacing w:val="-6"/>
          <w:highlight w:val="none"/>
          <w:lang w:eastAsia="zh-CN"/>
        </w:rPr>
        <w:t xml:space="preserve">乙方首批派驻项目管理人员到位后 </w:t>
      </w:r>
      <w:r>
        <w:rPr>
          <w:rFonts w:hint="eastAsia" w:ascii="Times New Roman" w:hAnsi="Times New Roman"/>
          <w:color w:val="auto"/>
          <w:highlight w:val="none"/>
          <w:lang w:eastAsia="zh-CN"/>
        </w:rPr>
        <w:t>5</w:t>
      </w:r>
      <w:r>
        <w:rPr>
          <w:color w:val="auto"/>
          <w:spacing w:val="-12"/>
          <w:highlight w:val="none"/>
          <w:lang w:eastAsia="zh-CN"/>
        </w:rPr>
        <w:t xml:space="preserve"> 日内支付</w:t>
      </w:r>
      <w:r>
        <w:rPr>
          <w:color w:val="auto"/>
          <w:spacing w:val="-3"/>
          <w:highlight w:val="none"/>
          <w:lang w:eastAsia="zh-CN"/>
        </w:rPr>
        <w:t>（到位时间以乙方发出的委派函上的</w:t>
      </w:r>
      <w:r>
        <w:rPr>
          <w:color w:val="auto"/>
          <w:spacing w:val="-2"/>
          <w:highlight w:val="none"/>
          <w:lang w:eastAsia="zh-CN"/>
        </w:rPr>
        <w:t>时间为准</w:t>
      </w:r>
      <w:r>
        <w:rPr>
          <w:color w:val="auto"/>
          <w:spacing w:val="-3"/>
          <w:highlight w:val="none"/>
          <w:lang w:eastAsia="zh-CN"/>
        </w:rPr>
        <w:t>）</w:t>
      </w:r>
      <w:r>
        <w:rPr>
          <w:color w:val="auto"/>
          <w:spacing w:val="-1"/>
          <w:highlight w:val="none"/>
          <w:lang w:eastAsia="zh-CN"/>
        </w:rPr>
        <w:t>首期费用。</w:t>
      </w:r>
    </w:p>
    <w:p>
      <w:pPr>
        <w:pStyle w:val="13"/>
        <w:spacing w:line="374" w:lineRule="auto"/>
        <w:ind w:left="0" w:leftChars="0" w:firstLine="211" w:firstLineChars="100"/>
        <w:rPr>
          <w:color w:val="auto"/>
          <w:highlight w:val="none"/>
          <w:lang w:eastAsia="zh-CN"/>
        </w:rPr>
      </w:pPr>
      <w:r>
        <w:rPr>
          <w:color w:val="auto"/>
          <w:highlight w:val="none"/>
          <w:lang w:eastAsia="zh-CN"/>
        </w:rPr>
        <w:t>（三）</w:t>
      </w:r>
      <w:r>
        <w:rPr>
          <w:rFonts w:hint="eastAsia"/>
          <w:color w:val="auto"/>
          <w:highlight w:val="none"/>
          <w:lang w:eastAsia="zh-CN"/>
        </w:rPr>
        <w:t>品牌使用费</w:t>
      </w:r>
    </w:p>
    <w:p>
      <w:pPr>
        <w:pStyle w:val="17"/>
        <w:spacing w:before="1" w:line="374" w:lineRule="auto"/>
        <w:ind w:right="978" w:firstLine="439"/>
        <w:rPr>
          <w:color w:val="auto"/>
          <w:highlight w:val="none"/>
          <w:lang w:eastAsia="zh-CN"/>
        </w:rPr>
      </w:pPr>
      <w:r>
        <w:rPr>
          <w:rFonts w:hint="eastAsia" w:ascii="Times New Roman" w:hAnsi="Times New Roman"/>
          <w:color w:val="auto"/>
          <w:highlight w:val="none"/>
          <w:lang w:eastAsia="zh-CN"/>
        </w:rPr>
        <w:t>1</w:t>
      </w:r>
      <w:r>
        <w:rPr>
          <w:color w:val="auto"/>
          <w:highlight w:val="none"/>
          <w:lang w:eastAsia="zh-CN"/>
        </w:rPr>
        <w:t>、</w:t>
      </w:r>
      <w:r>
        <w:rPr>
          <w:rFonts w:hint="eastAsia"/>
          <w:color w:val="auto"/>
          <w:highlight w:val="none"/>
          <w:lang w:eastAsia="zh-CN"/>
        </w:rPr>
        <w:t>品牌使用费</w:t>
      </w:r>
      <w:r>
        <w:rPr>
          <w:color w:val="auto"/>
          <w:highlight w:val="none"/>
          <w:lang w:eastAsia="zh-CN"/>
        </w:rPr>
        <w:t>包括：</w:t>
      </w:r>
      <w:r>
        <w:rPr>
          <w:rFonts w:hint="eastAsia"/>
          <w:color w:val="auto"/>
          <w:highlight w:val="none"/>
          <w:lang w:eastAsia="zh-CN"/>
        </w:rPr>
        <w:t>基本品牌使用</w:t>
      </w:r>
      <w:r>
        <w:rPr>
          <w:color w:val="auto"/>
          <w:highlight w:val="none"/>
          <w:lang w:eastAsia="zh-CN"/>
        </w:rPr>
        <w:t>费与按销售额计取的</w:t>
      </w:r>
      <w:r>
        <w:rPr>
          <w:rFonts w:hint="eastAsia"/>
          <w:color w:val="auto"/>
          <w:highlight w:val="none"/>
          <w:lang w:eastAsia="zh-CN"/>
        </w:rPr>
        <w:t>品牌使用</w:t>
      </w:r>
      <w:r>
        <w:rPr>
          <w:color w:val="auto"/>
          <w:highlight w:val="none"/>
          <w:lang w:eastAsia="zh-CN"/>
        </w:rPr>
        <w:t>费两部分。</w:t>
      </w:r>
    </w:p>
    <w:p>
      <w:pPr>
        <w:pStyle w:val="17"/>
        <w:spacing w:before="1" w:line="374" w:lineRule="auto"/>
        <w:ind w:right="978" w:firstLine="439"/>
        <w:rPr>
          <w:color w:val="auto"/>
          <w:highlight w:val="none"/>
          <w:lang w:eastAsia="zh-CN"/>
        </w:rPr>
      </w:pPr>
      <w:r>
        <w:rPr>
          <w:rFonts w:hint="eastAsia" w:ascii="Times New Roman" w:hAnsi="Times New Roman"/>
          <w:color w:val="auto"/>
          <w:highlight w:val="none"/>
          <w:lang w:eastAsia="zh-CN"/>
        </w:rPr>
        <w:t>2</w:t>
      </w:r>
      <w:r>
        <w:rPr>
          <w:color w:val="auto"/>
          <w:highlight w:val="none"/>
          <w:lang w:eastAsia="zh-CN"/>
        </w:rPr>
        <w:t>、</w:t>
      </w:r>
      <w:r>
        <w:rPr>
          <w:rFonts w:hint="eastAsia"/>
          <w:color w:val="auto"/>
          <w:highlight w:val="none"/>
          <w:lang w:eastAsia="zh-CN"/>
        </w:rPr>
        <w:t>品牌使用</w:t>
      </w:r>
      <w:r>
        <w:rPr>
          <w:color w:val="auto"/>
          <w:highlight w:val="none"/>
          <w:lang w:eastAsia="zh-CN"/>
        </w:rPr>
        <w:t>费取费标准为：项目可售部分的</w:t>
      </w:r>
      <w:r>
        <w:rPr>
          <w:rFonts w:hint="eastAsia"/>
          <w:color w:val="auto"/>
          <w:highlight w:val="none"/>
          <w:lang w:eastAsia="zh-CN"/>
        </w:rPr>
        <w:t>品牌使用</w:t>
      </w:r>
      <w:r>
        <w:rPr>
          <w:color w:val="auto"/>
          <w:highlight w:val="none"/>
          <w:lang w:eastAsia="zh-CN"/>
        </w:rPr>
        <w:t>费按总销售额的【</w:t>
      </w:r>
      <w:r>
        <w:rPr>
          <w:rFonts w:hint="eastAsia"/>
          <w:color w:val="auto"/>
          <w:highlight w:val="none"/>
          <w:lang w:val="en-US" w:eastAsia="zh-CN"/>
        </w:rPr>
        <w:t xml:space="preserve">    </w:t>
      </w:r>
      <w:r>
        <w:rPr>
          <w:color w:val="auto"/>
          <w:highlight w:val="none"/>
          <w:lang w:eastAsia="zh-CN"/>
        </w:rPr>
        <w:t>】%计取，</w:t>
      </w:r>
      <w:r>
        <w:rPr>
          <w:rFonts w:hint="eastAsia"/>
          <w:color w:val="auto"/>
          <w:highlight w:val="none"/>
          <w:lang w:eastAsia="zh-CN"/>
        </w:rPr>
        <w:t>约</w:t>
      </w:r>
      <w:r>
        <w:rPr>
          <w:color w:val="auto"/>
          <w:highlight w:val="none"/>
          <w:lang w:eastAsia="zh-CN"/>
        </w:rPr>
        <w:t>【</w:t>
      </w:r>
      <w:r>
        <w:rPr>
          <w:rFonts w:hint="eastAsia"/>
          <w:color w:val="auto"/>
          <w:highlight w:val="none"/>
          <w:lang w:val="en-US" w:eastAsia="zh-CN"/>
        </w:rPr>
        <w:t xml:space="preserve">    </w:t>
      </w:r>
      <w:r>
        <w:rPr>
          <w:color w:val="auto"/>
          <w:highlight w:val="none"/>
          <w:lang w:eastAsia="zh-CN"/>
        </w:rPr>
        <w:t>】万元。其中：基本</w:t>
      </w:r>
      <w:r>
        <w:rPr>
          <w:rFonts w:hint="eastAsia"/>
          <w:color w:val="auto"/>
          <w:highlight w:val="none"/>
          <w:lang w:eastAsia="zh-CN"/>
        </w:rPr>
        <w:t>品牌使用</w:t>
      </w:r>
      <w:r>
        <w:rPr>
          <w:color w:val="auto"/>
          <w:highlight w:val="none"/>
          <w:lang w:eastAsia="zh-CN"/>
        </w:rPr>
        <w:t>费按总销售额的取费标准【</w:t>
      </w:r>
      <w:r>
        <w:rPr>
          <w:rFonts w:hint="eastAsia"/>
          <w:color w:val="auto"/>
          <w:highlight w:val="none"/>
          <w:lang w:val="en-US" w:eastAsia="zh-CN"/>
        </w:rPr>
        <w:t xml:space="preserve">    </w:t>
      </w:r>
      <w:r>
        <w:rPr>
          <w:color w:val="auto"/>
          <w:highlight w:val="none"/>
          <w:lang w:eastAsia="zh-CN"/>
        </w:rPr>
        <w:t>】%计取；按销售额计取的</w:t>
      </w:r>
      <w:r>
        <w:rPr>
          <w:rFonts w:hint="eastAsia"/>
          <w:color w:val="auto"/>
          <w:highlight w:val="none"/>
          <w:lang w:eastAsia="zh-CN"/>
        </w:rPr>
        <w:t>品牌使用</w:t>
      </w:r>
      <w:r>
        <w:rPr>
          <w:color w:val="auto"/>
          <w:highlight w:val="none"/>
          <w:lang w:eastAsia="zh-CN"/>
        </w:rPr>
        <w:t>费按总销售额的取费标准【</w:t>
      </w:r>
      <w:r>
        <w:rPr>
          <w:rFonts w:hint="eastAsia"/>
          <w:color w:val="auto"/>
          <w:highlight w:val="none"/>
          <w:lang w:val="en-US" w:eastAsia="zh-CN"/>
        </w:rPr>
        <w:t xml:space="preserve">    </w:t>
      </w:r>
      <w:r>
        <w:rPr>
          <w:color w:val="auto"/>
          <w:highlight w:val="none"/>
          <w:lang w:eastAsia="zh-CN"/>
        </w:rPr>
        <w:t>】%计取。总销售额暂按【</w:t>
      </w:r>
      <w:r>
        <w:rPr>
          <w:rFonts w:hint="eastAsia" w:ascii="Times New Roman" w:hAnsi="Times New Roman"/>
          <w:color w:val="auto"/>
          <w:highlight w:val="none"/>
          <w:lang w:eastAsia="zh-CN"/>
        </w:rPr>
        <w:t>27</w:t>
      </w:r>
      <w:r>
        <w:rPr>
          <w:color w:val="auto"/>
          <w:highlight w:val="none"/>
          <w:lang w:eastAsia="zh-CN"/>
        </w:rPr>
        <w:t>.</w:t>
      </w:r>
      <w:r>
        <w:rPr>
          <w:rFonts w:hint="eastAsia" w:ascii="Times New Roman" w:hAnsi="Times New Roman"/>
          <w:color w:val="auto"/>
          <w:highlight w:val="none"/>
          <w:lang w:eastAsia="zh-CN"/>
        </w:rPr>
        <w:t>8</w:t>
      </w:r>
      <w:r>
        <w:rPr>
          <w:color w:val="auto"/>
          <w:highlight w:val="none"/>
          <w:lang w:eastAsia="zh-CN"/>
        </w:rPr>
        <w:t>】亿元作为基数，最终结算以实际销售额为准。</w:t>
      </w:r>
    </w:p>
    <w:p>
      <w:pPr>
        <w:pStyle w:val="17"/>
        <w:spacing w:before="1" w:line="374" w:lineRule="auto"/>
        <w:ind w:right="978" w:firstLine="439"/>
        <w:rPr>
          <w:color w:val="auto"/>
          <w:highlight w:val="none"/>
          <w:lang w:eastAsia="zh-CN"/>
        </w:rPr>
      </w:pPr>
      <w:r>
        <w:rPr>
          <w:color w:val="auto"/>
          <w:highlight w:val="none"/>
          <w:lang w:eastAsia="zh-CN"/>
        </w:rPr>
        <w:t>在合同履行过程中，</w:t>
      </w:r>
      <w:r>
        <w:rPr>
          <w:rFonts w:hint="eastAsia"/>
          <w:color w:val="auto"/>
          <w:highlight w:val="none"/>
          <w:lang w:eastAsia="zh-CN"/>
        </w:rPr>
        <w:t>品牌使用</w:t>
      </w:r>
      <w:r>
        <w:rPr>
          <w:color w:val="auto"/>
          <w:highlight w:val="none"/>
          <w:lang w:eastAsia="zh-CN"/>
        </w:rPr>
        <w:t>费率不因服务期延长、物价波动、人工工资涨跌及其他任何因素而调整。</w:t>
      </w:r>
    </w:p>
    <w:p>
      <w:pPr>
        <w:pStyle w:val="17"/>
        <w:spacing w:line="281" w:lineRule="exact"/>
        <w:ind w:firstLine="420" w:firstLineChars="200"/>
        <w:rPr>
          <w:color w:val="auto"/>
          <w:highlight w:val="none"/>
          <w:lang w:eastAsia="zh-CN"/>
        </w:rPr>
      </w:pPr>
      <w:r>
        <w:rPr>
          <w:rFonts w:hint="eastAsia" w:ascii="Times New Roman" w:hAnsi="Times New Roman"/>
          <w:color w:val="auto"/>
          <w:highlight w:val="none"/>
          <w:lang w:eastAsia="zh-CN"/>
        </w:rPr>
        <w:t>3</w:t>
      </w:r>
      <w:r>
        <w:rPr>
          <w:color w:val="auto"/>
          <w:highlight w:val="none"/>
          <w:lang w:eastAsia="zh-CN"/>
        </w:rPr>
        <w:t>、</w:t>
      </w:r>
      <w:r>
        <w:rPr>
          <w:rFonts w:hint="eastAsia"/>
          <w:color w:val="auto"/>
          <w:highlight w:val="none"/>
          <w:lang w:eastAsia="zh-CN"/>
        </w:rPr>
        <w:t>品牌使用</w:t>
      </w:r>
      <w:r>
        <w:rPr>
          <w:color w:val="auto"/>
          <w:highlight w:val="none"/>
          <w:lang w:eastAsia="zh-CN"/>
        </w:rPr>
        <w:t>费的支付方式</w:t>
      </w:r>
    </w:p>
    <w:p>
      <w:pPr>
        <w:pStyle w:val="90"/>
        <w:numPr>
          <w:ilvl w:val="0"/>
          <w:numId w:val="0"/>
        </w:numPr>
        <w:tabs>
          <w:tab w:val="left" w:pos="1811"/>
        </w:tabs>
        <w:spacing w:before="160"/>
        <w:ind w:firstLine="194" w:firstLineChars="100"/>
        <w:rPr>
          <w:color w:val="auto"/>
          <w:highlight w:val="none"/>
          <w:lang w:eastAsia="zh-CN"/>
        </w:rPr>
      </w:pPr>
      <w:r>
        <w:rPr>
          <w:rFonts w:hint="default" w:ascii="宋体" w:hAnsi="宋体" w:eastAsia="宋体" w:cs="宋体"/>
          <w:color w:val="auto"/>
          <w:spacing w:val="-3"/>
          <w:w w:val="100"/>
          <w:kern w:val="2"/>
          <w:sz w:val="20"/>
          <w:szCs w:val="20"/>
          <w:highlight w:val="none"/>
          <w:lang w:val="en-US" w:eastAsia="zh-CN" w:bidi="ar-SA"/>
        </w:rPr>
        <w:t>（</w:t>
      </w:r>
      <w:r>
        <w:rPr>
          <w:rFonts w:hint="eastAsia" w:ascii="Times New Roman" w:hAnsi="Times New Roman" w:cs="宋体"/>
          <w:color w:val="auto"/>
          <w:spacing w:val="-3"/>
          <w:w w:val="100"/>
          <w:kern w:val="2"/>
          <w:sz w:val="20"/>
          <w:szCs w:val="20"/>
          <w:highlight w:val="none"/>
          <w:lang w:val="en-US" w:eastAsia="zh-CN" w:bidi="ar-SA"/>
        </w:rPr>
        <w:t>1</w:t>
      </w:r>
      <w:r>
        <w:rPr>
          <w:rFonts w:hint="default" w:ascii="宋体" w:hAnsi="宋体" w:eastAsia="宋体" w:cs="宋体"/>
          <w:color w:val="auto"/>
          <w:spacing w:val="-3"/>
          <w:w w:val="100"/>
          <w:kern w:val="2"/>
          <w:sz w:val="20"/>
          <w:szCs w:val="20"/>
          <w:highlight w:val="none"/>
          <w:lang w:val="en-US" w:eastAsia="zh-CN" w:bidi="ar-SA"/>
        </w:rPr>
        <w:t>）</w:t>
      </w:r>
      <w:r>
        <w:rPr>
          <w:color w:val="auto"/>
          <w:spacing w:val="-3"/>
          <w:highlight w:val="none"/>
          <w:lang w:eastAsia="zh-CN"/>
        </w:rPr>
        <w:t>基本</w:t>
      </w:r>
      <w:r>
        <w:rPr>
          <w:rFonts w:hint="eastAsia"/>
          <w:color w:val="auto"/>
          <w:spacing w:val="-3"/>
          <w:highlight w:val="none"/>
          <w:lang w:eastAsia="zh-CN"/>
        </w:rPr>
        <w:t>品牌使用</w:t>
      </w:r>
      <w:r>
        <w:rPr>
          <w:color w:val="auto"/>
          <w:spacing w:val="-3"/>
          <w:highlight w:val="none"/>
          <w:lang w:eastAsia="zh-CN"/>
        </w:rPr>
        <w:t>费部分：</w:t>
      </w:r>
    </w:p>
    <w:p>
      <w:pPr>
        <w:pStyle w:val="17"/>
        <w:spacing w:before="157"/>
        <w:ind w:firstLine="420" w:firstLineChars="200"/>
        <w:rPr>
          <w:color w:val="auto"/>
          <w:highlight w:val="none"/>
          <w:lang w:eastAsia="zh-CN"/>
        </w:rPr>
      </w:pPr>
      <w:r>
        <w:rPr>
          <w:color w:val="auto"/>
          <w:highlight w:val="none"/>
          <w:lang w:eastAsia="zh-CN"/>
        </w:rPr>
        <w:t>项目的基本</w:t>
      </w:r>
      <w:r>
        <w:rPr>
          <w:rFonts w:hint="eastAsia"/>
          <w:color w:val="auto"/>
          <w:highlight w:val="none"/>
          <w:lang w:eastAsia="zh-CN"/>
        </w:rPr>
        <w:t>品牌使用</w:t>
      </w:r>
      <w:r>
        <w:rPr>
          <w:color w:val="auto"/>
          <w:highlight w:val="none"/>
          <w:lang w:eastAsia="zh-CN"/>
        </w:rPr>
        <w:t>费分期支付，按如下约定节点及比例支付：</w:t>
      </w:r>
    </w:p>
    <w:p>
      <w:pPr>
        <w:pStyle w:val="90"/>
        <w:numPr>
          <w:ilvl w:val="0"/>
          <w:numId w:val="0"/>
        </w:numPr>
        <w:tabs>
          <w:tab w:val="left" w:pos="1541"/>
          <w:tab w:val="left" w:pos="8303"/>
        </w:tabs>
        <w:spacing w:before="158" w:line="376" w:lineRule="auto"/>
        <w:ind w:right="1302" w:rightChars="0" w:firstLine="436" w:firstLineChars="200"/>
        <w:rPr>
          <w:color w:val="auto"/>
          <w:highlight w:val="none"/>
          <w:u w:val="none"/>
          <w:lang w:eastAsia="zh-CN"/>
        </w:rPr>
      </w:pPr>
      <w:r>
        <w:rPr>
          <w:rFonts w:hint="eastAsia" w:ascii="Times New Roman" w:hAnsi="Times New Roman" w:cs="宋体"/>
          <w:color w:val="auto"/>
          <w:spacing w:val="-1"/>
          <w:w w:val="100"/>
          <w:kern w:val="2"/>
          <w:sz w:val="22"/>
          <w:szCs w:val="22"/>
          <w:highlight w:val="none"/>
          <w:u w:val="none"/>
          <w:lang w:val="en-US" w:eastAsia="zh-CN" w:bidi="ar-SA"/>
        </w:rPr>
        <w:t>a</w:t>
      </w:r>
      <w:r>
        <w:rPr>
          <w:rFonts w:hint="default" w:ascii="宋体" w:hAnsi="宋体" w:eastAsia="宋体" w:cs="宋体"/>
          <w:color w:val="auto"/>
          <w:spacing w:val="-1"/>
          <w:w w:val="100"/>
          <w:kern w:val="2"/>
          <w:sz w:val="22"/>
          <w:szCs w:val="22"/>
          <w:highlight w:val="none"/>
          <w:u w:val="none"/>
          <w:lang w:val="en-US" w:eastAsia="zh-CN" w:bidi="ar-SA"/>
        </w:rPr>
        <w:t>)</w:t>
      </w:r>
      <w:r>
        <w:rPr>
          <w:color w:val="auto"/>
          <w:highlight w:val="none"/>
          <w:u w:val="none"/>
          <w:lang w:eastAsia="zh-CN"/>
        </w:rPr>
        <w:t>取</w:t>
      </w:r>
      <w:r>
        <w:rPr>
          <w:color w:val="auto"/>
          <w:spacing w:val="-3"/>
          <w:highlight w:val="none"/>
          <w:u w:val="none"/>
          <w:lang w:eastAsia="zh-CN"/>
        </w:rPr>
        <w:t>得</w:t>
      </w:r>
      <w:r>
        <w:rPr>
          <w:color w:val="auto"/>
          <w:highlight w:val="none"/>
          <w:u w:val="none"/>
          <w:lang w:eastAsia="zh-CN"/>
        </w:rPr>
        <w:t>规划</w:t>
      </w:r>
      <w:r>
        <w:rPr>
          <w:color w:val="auto"/>
          <w:spacing w:val="-3"/>
          <w:highlight w:val="none"/>
          <w:u w:val="none"/>
          <w:lang w:eastAsia="zh-CN"/>
        </w:rPr>
        <w:t>方</w:t>
      </w:r>
      <w:r>
        <w:rPr>
          <w:color w:val="auto"/>
          <w:highlight w:val="none"/>
          <w:u w:val="none"/>
          <w:lang w:eastAsia="zh-CN"/>
        </w:rPr>
        <w:t>案批</w:t>
      </w:r>
      <w:r>
        <w:rPr>
          <w:color w:val="auto"/>
          <w:spacing w:val="-3"/>
          <w:highlight w:val="none"/>
          <w:u w:val="none"/>
          <w:lang w:eastAsia="zh-CN"/>
        </w:rPr>
        <w:t>复</w:t>
      </w:r>
      <w:r>
        <w:rPr>
          <w:color w:val="auto"/>
          <w:highlight w:val="none"/>
          <w:u w:val="none"/>
          <w:lang w:eastAsia="zh-CN"/>
        </w:rPr>
        <w:t>/确</w:t>
      </w:r>
      <w:r>
        <w:rPr>
          <w:color w:val="auto"/>
          <w:spacing w:val="-3"/>
          <w:highlight w:val="none"/>
          <w:u w:val="none"/>
          <w:lang w:eastAsia="zh-CN"/>
        </w:rPr>
        <w:t>认</w:t>
      </w:r>
      <w:r>
        <w:rPr>
          <w:color w:val="auto"/>
          <w:highlight w:val="none"/>
          <w:u w:val="none"/>
          <w:lang w:eastAsia="zh-CN"/>
        </w:rPr>
        <w:t>书后</w:t>
      </w:r>
      <w:r>
        <w:rPr>
          <w:color w:val="auto"/>
          <w:spacing w:val="-56"/>
          <w:highlight w:val="none"/>
          <w:u w:val="none"/>
          <w:lang w:eastAsia="zh-CN"/>
        </w:rPr>
        <w:t xml:space="preserve"> </w:t>
      </w:r>
      <w:r>
        <w:rPr>
          <w:rFonts w:hint="eastAsia" w:ascii="Times New Roman" w:hAnsi="Times New Roman"/>
          <w:color w:val="auto"/>
          <w:highlight w:val="none"/>
          <w:u w:val="none"/>
          <w:lang w:eastAsia="zh-CN"/>
        </w:rPr>
        <w:t>10</w:t>
      </w:r>
      <w:r>
        <w:rPr>
          <w:color w:val="auto"/>
          <w:spacing w:val="-52"/>
          <w:highlight w:val="none"/>
          <w:u w:val="none"/>
          <w:lang w:eastAsia="zh-CN"/>
        </w:rPr>
        <w:t xml:space="preserve"> </w:t>
      </w:r>
      <w:r>
        <w:rPr>
          <w:color w:val="auto"/>
          <w:highlight w:val="none"/>
          <w:u w:val="none"/>
          <w:lang w:eastAsia="zh-CN"/>
        </w:rPr>
        <w:t>日</w:t>
      </w:r>
      <w:r>
        <w:rPr>
          <w:color w:val="auto"/>
          <w:spacing w:val="-3"/>
          <w:highlight w:val="none"/>
          <w:u w:val="none"/>
          <w:lang w:eastAsia="zh-CN"/>
        </w:rPr>
        <w:t>内</w:t>
      </w:r>
      <w:r>
        <w:rPr>
          <w:color w:val="auto"/>
          <w:highlight w:val="none"/>
          <w:u w:val="none"/>
          <w:lang w:eastAsia="zh-CN"/>
        </w:rPr>
        <w:t>，支</w:t>
      </w:r>
      <w:r>
        <w:rPr>
          <w:color w:val="auto"/>
          <w:spacing w:val="-3"/>
          <w:highlight w:val="none"/>
          <w:u w:val="none"/>
          <w:lang w:eastAsia="zh-CN"/>
        </w:rPr>
        <w:t>付</w:t>
      </w:r>
      <w:r>
        <w:rPr>
          <w:color w:val="auto"/>
          <w:highlight w:val="none"/>
          <w:u w:val="none"/>
          <w:lang w:eastAsia="zh-CN"/>
        </w:rPr>
        <w:t>本部</w:t>
      </w:r>
      <w:r>
        <w:rPr>
          <w:color w:val="auto"/>
          <w:spacing w:val="-3"/>
          <w:highlight w:val="none"/>
          <w:u w:val="none"/>
          <w:lang w:eastAsia="zh-CN"/>
        </w:rPr>
        <w:t>分</w:t>
      </w:r>
      <w:r>
        <w:rPr>
          <w:color w:val="auto"/>
          <w:highlight w:val="none"/>
          <w:u w:val="none"/>
          <w:lang w:eastAsia="zh-CN"/>
        </w:rPr>
        <w:t>费用的</w:t>
      </w:r>
      <w:r>
        <w:rPr>
          <w:color w:val="auto"/>
          <w:spacing w:val="-55"/>
          <w:highlight w:val="none"/>
          <w:u w:val="none"/>
          <w:lang w:eastAsia="zh-CN"/>
        </w:rPr>
        <w:t xml:space="preserve"> </w:t>
      </w:r>
      <w:r>
        <w:rPr>
          <w:rFonts w:hint="eastAsia" w:ascii="Times New Roman" w:hAnsi="Times New Roman"/>
          <w:color w:val="auto"/>
          <w:highlight w:val="none"/>
          <w:u w:val="none"/>
          <w:lang w:eastAsia="zh-CN"/>
        </w:rPr>
        <w:t>10</w:t>
      </w:r>
      <w:r>
        <w:rPr>
          <w:color w:val="auto"/>
          <w:highlight w:val="none"/>
          <w:u w:val="none"/>
          <w:lang w:eastAsia="zh-CN"/>
        </w:rPr>
        <w:t>%（</w:t>
      </w:r>
      <w:r>
        <w:rPr>
          <w:color w:val="auto"/>
          <w:spacing w:val="-3"/>
          <w:highlight w:val="none"/>
          <w:u w:val="none"/>
          <w:lang w:eastAsia="zh-CN"/>
        </w:rPr>
        <w:t>即</w:t>
      </w:r>
      <w:r>
        <w:rPr>
          <w:color w:val="auto"/>
          <w:highlight w:val="none"/>
          <w:u w:val="none"/>
          <w:lang w:eastAsia="zh-CN"/>
        </w:rPr>
        <w:t>【</w:t>
      </w:r>
      <w:r>
        <w:rPr>
          <w:rFonts w:hint="eastAsia"/>
          <w:color w:val="auto"/>
          <w:highlight w:val="none"/>
          <w:u w:val="none"/>
          <w:lang w:val="en-US" w:eastAsia="zh-CN"/>
        </w:rPr>
        <w:t xml:space="preserve">    </w:t>
      </w:r>
      <w:r>
        <w:rPr>
          <w:color w:val="auto"/>
          <w:highlight w:val="none"/>
          <w:u w:val="none"/>
          <w:lang w:eastAsia="zh-CN"/>
        </w:rPr>
        <w:t>】</w:t>
      </w:r>
      <w:r>
        <w:rPr>
          <w:color w:val="auto"/>
          <w:spacing w:val="-16"/>
          <w:highlight w:val="none"/>
          <w:u w:val="none"/>
          <w:lang w:eastAsia="zh-CN"/>
        </w:rPr>
        <w:t>万</w:t>
      </w:r>
      <w:r>
        <w:rPr>
          <w:color w:val="auto"/>
          <w:highlight w:val="none"/>
          <w:u w:val="none"/>
          <w:lang w:eastAsia="zh-CN"/>
        </w:rPr>
        <w:t>元）；</w:t>
      </w:r>
    </w:p>
    <w:p>
      <w:pPr>
        <w:pStyle w:val="90"/>
        <w:numPr>
          <w:ilvl w:val="0"/>
          <w:numId w:val="0"/>
        </w:numPr>
        <w:tabs>
          <w:tab w:val="left" w:pos="1541"/>
          <w:tab w:val="left" w:pos="8303"/>
        </w:tabs>
        <w:spacing w:before="158" w:line="376" w:lineRule="auto"/>
        <w:ind w:right="1302" w:rightChars="0" w:firstLine="436" w:firstLineChars="200"/>
        <w:rPr>
          <w:rFonts w:hint="default" w:ascii="宋体" w:hAnsi="宋体" w:eastAsia="宋体" w:cs="宋体"/>
          <w:color w:val="auto"/>
          <w:spacing w:val="-1"/>
          <w:w w:val="100"/>
          <w:kern w:val="2"/>
          <w:sz w:val="22"/>
          <w:szCs w:val="22"/>
          <w:highlight w:val="none"/>
          <w:u w:val="none"/>
          <w:lang w:val="en-US" w:eastAsia="zh-CN" w:bidi="ar-SA"/>
        </w:rPr>
      </w:pPr>
      <w:r>
        <w:rPr>
          <w:rFonts w:hint="eastAsia" w:ascii="Times New Roman" w:hAnsi="Times New Roman" w:cs="宋体"/>
          <w:color w:val="auto"/>
          <w:spacing w:val="-1"/>
          <w:w w:val="100"/>
          <w:kern w:val="2"/>
          <w:sz w:val="22"/>
          <w:szCs w:val="22"/>
          <w:highlight w:val="none"/>
          <w:u w:val="none"/>
          <w:lang w:val="en-US" w:eastAsia="zh-CN" w:bidi="ar-SA"/>
        </w:rPr>
        <w:t>b</w:t>
      </w:r>
      <w:r>
        <w:rPr>
          <w:rFonts w:hint="default" w:ascii="宋体" w:hAnsi="宋体" w:eastAsia="宋体" w:cs="宋体"/>
          <w:color w:val="auto"/>
          <w:spacing w:val="-1"/>
          <w:w w:val="100"/>
          <w:kern w:val="2"/>
          <w:sz w:val="22"/>
          <w:szCs w:val="22"/>
          <w:highlight w:val="none"/>
          <w:u w:val="none"/>
          <w:lang w:val="en-US" w:eastAsia="zh-CN" w:bidi="ar-SA"/>
        </w:rPr>
        <w:t xml:space="preserve">)取得施工许可证后 </w:t>
      </w:r>
      <w:r>
        <w:rPr>
          <w:rFonts w:hint="eastAsia" w:ascii="Times New Roman" w:hAnsi="Times New Roman" w:cs="宋体"/>
          <w:color w:val="auto"/>
          <w:spacing w:val="-1"/>
          <w:w w:val="100"/>
          <w:kern w:val="2"/>
          <w:sz w:val="22"/>
          <w:szCs w:val="22"/>
          <w:highlight w:val="none"/>
          <w:u w:val="none"/>
          <w:lang w:val="en-US" w:eastAsia="zh-CN" w:bidi="ar-SA"/>
        </w:rPr>
        <w:t>10</w:t>
      </w:r>
      <w:r>
        <w:rPr>
          <w:rFonts w:hint="default" w:ascii="宋体" w:hAnsi="宋体" w:eastAsia="宋体" w:cs="宋体"/>
          <w:color w:val="auto"/>
          <w:spacing w:val="-1"/>
          <w:w w:val="100"/>
          <w:kern w:val="2"/>
          <w:sz w:val="22"/>
          <w:szCs w:val="22"/>
          <w:highlight w:val="none"/>
          <w:u w:val="none"/>
          <w:lang w:val="en-US" w:eastAsia="zh-CN" w:bidi="ar-SA"/>
        </w:rPr>
        <w:t xml:space="preserve"> 日内，支付本部分费用的 </w:t>
      </w:r>
      <w:r>
        <w:rPr>
          <w:rFonts w:hint="eastAsia" w:ascii="Times New Roman" w:hAnsi="Times New Roman" w:cs="宋体"/>
          <w:color w:val="auto"/>
          <w:spacing w:val="-1"/>
          <w:w w:val="100"/>
          <w:kern w:val="2"/>
          <w:sz w:val="22"/>
          <w:szCs w:val="22"/>
          <w:highlight w:val="none"/>
          <w:u w:val="none"/>
          <w:lang w:val="en-US" w:eastAsia="zh-CN" w:bidi="ar-SA"/>
        </w:rPr>
        <w:t>10</w:t>
      </w:r>
      <w:r>
        <w:rPr>
          <w:rFonts w:hint="default" w:ascii="宋体" w:hAnsi="宋体" w:eastAsia="宋体" w:cs="宋体"/>
          <w:color w:val="auto"/>
          <w:spacing w:val="-1"/>
          <w:w w:val="100"/>
          <w:kern w:val="2"/>
          <w:sz w:val="22"/>
          <w:szCs w:val="22"/>
          <w:highlight w:val="none"/>
          <w:u w:val="none"/>
          <w:lang w:val="en-US" w:eastAsia="zh-CN" w:bidi="ar-SA"/>
        </w:rPr>
        <w:t>%（即【</w:t>
      </w:r>
      <w:r>
        <w:rPr>
          <w:rFonts w:hint="eastAsia" w:cs="宋体"/>
          <w:color w:val="auto"/>
          <w:spacing w:val="-1"/>
          <w:w w:val="100"/>
          <w:kern w:val="2"/>
          <w:sz w:val="22"/>
          <w:szCs w:val="22"/>
          <w:highlight w:val="none"/>
          <w:u w:val="none"/>
          <w:lang w:val="en-US" w:eastAsia="zh-CN" w:bidi="ar-SA"/>
        </w:rPr>
        <w:t xml:space="preserve">    </w:t>
      </w:r>
      <w:r>
        <w:rPr>
          <w:rFonts w:hint="default" w:ascii="宋体" w:hAnsi="宋体" w:eastAsia="宋体" w:cs="宋体"/>
          <w:color w:val="auto"/>
          <w:spacing w:val="-1"/>
          <w:w w:val="100"/>
          <w:kern w:val="2"/>
          <w:sz w:val="22"/>
          <w:szCs w:val="22"/>
          <w:highlight w:val="none"/>
          <w:u w:val="none"/>
          <w:lang w:val="en-US" w:eastAsia="zh-CN" w:bidi="ar-SA"/>
        </w:rPr>
        <w:t>】万元）；</w:t>
      </w:r>
    </w:p>
    <w:p>
      <w:pPr>
        <w:pStyle w:val="90"/>
        <w:numPr>
          <w:ilvl w:val="0"/>
          <w:numId w:val="0"/>
        </w:numPr>
        <w:tabs>
          <w:tab w:val="left" w:pos="1541"/>
          <w:tab w:val="left" w:pos="8303"/>
        </w:tabs>
        <w:spacing w:before="158" w:line="376" w:lineRule="auto"/>
        <w:ind w:right="1302" w:rightChars="0" w:firstLine="436" w:firstLineChars="200"/>
        <w:rPr>
          <w:rFonts w:hint="default" w:ascii="宋体" w:hAnsi="宋体" w:eastAsia="宋体" w:cs="宋体"/>
          <w:color w:val="auto"/>
          <w:spacing w:val="-1"/>
          <w:w w:val="100"/>
          <w:kern w:val="2"/>
          <w:sz w:val="22"/>
          <w:szCs w:val="22"/>
          <w:highlight w:val="none"/>
          <w:u w:val="none"/>
          <w:lang w:val="en-US" w:eastAsia="zh-CN" w:bidi="ar-SA"/>
        </w:rPr>
      </w:pPr>
      <w:r>
        <w:rPr>
          <w:rFonts w:hint="eastAsia" w:ascii="Times New Roman" w:hAnsi="Times New Roman" w:cs="宋体"/>
          <w:color w:val="auto"/>
          <w:spacing w:val="-1"/>
          <w:w w:val="100"/>
          <w:kern w:val="2"/>
          <w:sz w:val="22"/>
          <w:szCs w:val="22"/>
          <w:highlight w:val="none"/>
          <w:u w:val="none"/>
          <w:lang w:val="en-US" w:eastAsia="zh-CN" w:bidi="ar-SA"/>
        </w:rPr>
        <w:t>c</w:t>
      </w:r>
      <w:r>
        <w:rPr>
          <w:rFonts w:hint="default" w:ascii="宋体" w:hAnsi="宋体" w:eastAsia="宋体" w:cs="宋体"/>
          <w:color w:val="auto"/>
          <w:spacing w:val="-1"/>
          <w:w w:val="100"/>
          <w:kern w:val="2"/>
          <w:sz w:val="22"/>
          <w:szCs w:val="22"/>
          <w:highlight w:val="none"/>
          <w:u w:val="none"/>
          <w:lang w:val="en-US" w:eastAsia="zh-CN" w:bidi="ar-SA"/>
        </w:rPr>
        <w:t xml:space="preserve">)施工达到正负零后 </w:t>
      </w:r>
      <w:r>
        <w:rPr>
          <w:rFonts w:hint="eastAsia" w:ascii="Times New Roman" w:hAnsi="Times New Roman" w:cs="宋体"/>
          <w:color w:val="auto"/>
          <w:spacing w:val="-1"/>
          <w:w w:val="100"/>
          <w:kern w:val="2"/>
          <w:sz w:val="22"/>
          <w:szCs w:val="22"/>
          <w:highlight w:val="none"/>
          <w:u w:val="none"/>
          <w:lang w:val="en-US" w:eastAsia="zh-CN" w:bidi="ar-SA"/>
        </w:rPr>
        <w:t>10</w:t>
      </w:r>
      <w:r>
        <w:rPr>
          <w:rFonts w:hint="default" w:ascii="宋体" w:hAnsi="宋体" w:eastAsia="宋体" w:cs="宋体"/>
          <w:color w:val="auto"/>
          <w:spacing w:val="-1"/>
          <w:w w:val="100"/>
          <w:kern w:val="2"/>
          <w:sz w:val="22"/>
          <w:szCs w:val="22"/>
          <w:highlight w:val="none"/>
          <w:u w:val="none"/>
          <w:lang w:val="en-US" w:eastAsia="zh-CN" w:bidi="ar-SA"/>
        </w:rPr>
        <w:t xml:space="preserve"> 日内，支付本部费用的 </w:t>
      </w:r>
      <w:r>
        <w:rPr>
          <w:rFonts w:hint="eastAsia" w:ascii="Times New Roman" w:hAnsi="Times New Roman" w:cs="宋体"/>
          <w:color w:val="auto"/>
          <w:spacing w:val="-1"/>
          <w:w w:val="100"/>
          <w:kern w:val="2"/>
          <w:sz w:val="22"/>
          <w:szCs w:val="22"/>
          <w:highlight w:val="none"/>
          <w:u w:val="none"/>
          <w:lang w:val="en-US" w:eastAsia="zh-CN" w:bidi="ar-SA"/>
        </w:rPr>
        <w:t>10</w:t>
      </w:r>
      <w:r>
        <w:rPr>
          <w:rFonts w:hint="default" w:ascii="宋体" w:hAnsi="宋体" w:eastAsia="宋体" w:cs="宋体"/>
          <w:color w:val="auto"/>
          <w:spacing w:val="-1"/>
          <w:w w:val="100"/>
          <w:kern w:val="2"/>
          <w:sz w:val="22"/>
          <w:szCs w:val="22"/>
          <w:highlight w:val="none"/>
          <w:u w:val="none"/>
          <w:lang w:val="en-US" w:eastAsia="zh-CN" w:bidi="ar-SA"/>
        </w:rPr>
        <w:t>%（即【</w:t>
      </w:r>
      <w:r>
        <w:rPr>
          <w:rFonts w:hint="eastAsia" w:cs="宋体"/>
          <w:color w:val="auto"/>
          <w:spacing w:val="-1"/>
          <w:w w:val="100"/>
          <w:kern w:val="2"/>
          <w:sz w:val="22"/>
          <w:szCs w:val="22"/>
          <w:highlight w:val="none"/>
          <w:u w:val="none"/>
          <w:lang w:val="en-US" w:eastAsia="zh-CN" w:bidi="ar-SA"/>
        </w:rPr>
        <w:t xml:space="preserve">    </w:t>
      </w:r>
      <w:r>
        <w:rPr>
          <w:rFonts w:hint="default" w:ascii="宋体" w:hAnsi="宋体" w:eastAsia="宋体" w:cs="宋体"/>
          <w:color w:val="auto"/>
          <w:spacing w:val="-1"/>
          <w:w w:val="100"/>
          <w:kern w:val="2"/>
          <w:sz w:val="22"/>
          <w:szCs w:val="22"/>
          <w:highlight w:val="none"/>
          <w:u w:val="none"/>
          <w:lang w:val="en-US" w:eastAsia="zh-CN" w:bidi="ar-SA"/>
        </w:rPr>
        <w:t>】万元）；</w:t>
      </w:r>
    </w:p>
    <w:p>
      <w:pPr>
        <w:pStyle w:val="90"/>
        <w:numPr>
          <w:ilvl w:val="0"/>
          <w:numId w:val="0"/>
        </w:numPr>
        <w:tabs>
          <w:tab w:val="left" w:pos="1541"/>
          <w:tab w:val="left" w:pos="8303"/>
        </w:tabs>
        <w:spacing w:before="158" w:line="376" w:lineRule="auto"/>
        <w:ind w:right="1302" w:rightChars="0" w:firstLine="436" w:firstLineChars="200"/>
        <w:rPr>
          <w:rFonts w:hint="default" w:ascii="宋体" w:hAnsi="宋体" w:eastAsia="宋体" w:cs="宋体"/>
          <w:color w:val="auto"/>
          <w:spacing w:val="-1"/>
          <w:w w:val="100"/>
          <w:kern w:val="2"/>
          <w:sz w:val="22"/>
          <w:szCs w:val="22"/>
          <w:highlight w:val="none"/>
          <w:u w:val="none"/>
          <w:lang w:val="en-US" w:eastAsia="zh-CN" w:bidi="ar-SA"/>
        </w:rPr>
      </w:pPr>
      <w:r>
        <w:rPr>
          <w:rFonts w:hint="eastAsia" w:ascii="Times New Roman" w:hAnsi="Times New Roman" w:cs="宋体"/>
          <w:color w:val="auto"/>
          <w:spacing w:val="-1"/>
          <w:w w:val="100"/>
          <w:kern w:val="2"/>
          <w:sz w:val="22"/>
          <w:szCs w:val="22"/>
          <w:highlight w:val="none"/>
          <w:u w:val="none"/>
          <w:lang w:val="en-US" w:eastAsia="zh-CN" w:bidi="ar-SA"/>
        </w:rPr>
        <w:t>d</w:t>
      </w:r>
      <w:r>
        <w:rPr>
          <w:rFonts w:hint="default" w:ascii="宋体" w:hAnsi="宋体" w:eastAsia="宋体" w:cs="宋体"/>
          <w:color w:val="auto"/>
          <w:spacing w:val="-1"/>
          <w:w w:val="100"/>
          <w:kern w:val="2"/>
          <w:sz w:val="22"/>
          <w:szCs w:val="22"/>
          <w:highlight w:val="none"/>
          <w:u w:val="none"/>
          <w:lang w:val="en-US" w:eastAsia="zh-CN" w:bidi="ar-SA"/>
        </w:rPr>
        <w:t xml:space="preserve">)主体达到 </w:t>
      </w:r>
      <w:r>
        <w:rPr>
          <w:rFonts w:hint="eastAsia" w:ascii="Times New Roman" w:hAnsi="Times New Roman" w:cs="宋体"/>
          <w:color w:val="auto"/>
          <w:spacing w:val="-1"/>
          <w:w w:val="100"/>
          <w:kern w:val="2"/>
          <w:sz w:val="22"/>
          <w:szCs w:val="22"/>
          <w:highlight w:val="none"/>
          <w:u w:val="none"/>
          <w:lang w:val="en-US" w:eastAsia="zh-CN" w:bidi="ar-SA"/>
        </w:rPr>
        <w:t>1</w:t>
      </w:r>
      <w:r>
        <w:rPr>
          <w:rFonts w:hint="default" w:ascii="宋体" w:hAnsi="宋体" w:eastAsia="宋体" w:cs="宋体"/>
          <w:color w:val="auto"/>
          <w:spacing w:val="-1"/>
          <w:w w:val="100"/>
          <w:kern w:val="2"/>
          <w:sz w:val="22"/>
          <w:szCs w:val="22"/>
          <w:highlight w:val="none"/>
          <w:u w:val="none"/>
          <w:lang w:val="en-US" w:eastAsia="zh-CN" w:bidi="ar-SA"/>
        </w:rPr>
        <w:t>/</w:t>
      </w:r>
      <w:r>
        <w:rPr>
          <w:rFonts w:hint="eastAsia" w:ascii="Times New Roman" w:hAnsi="Times New Roman" w:cs="宋体"/>
          <w:color w:val="auto"/>
          <w:spacing w:val="-1"/>
          <w:w w:val="100"/>
          <w:kern w:val="2"/>
          <w:sz w:val="22"/>
          <w:szCs w:val="22"/>
          <w:highlight w:val="none"/>
          <w:u w:val="none"/>
          <w:lang w:val="en-US" w:eastAsia="zh-CN" w:bidi="ar-SA"/>
        </w:rPr>
        <w:t>2</w:t>
      </w:r>
      <w:r>
        <w:rPr>
          <w:rFonts w:hint="default" w:ascii="宋体" w:hAnsi="宋体" w:eastAsia="宋体" w:cs="宋体"/>
          <w:color w:val="auto"/>
          <w:spacing w:val="-1"/>
          <w:w w:val="100"/>
          <w:kern w:val="2"/>
          <w:sz w:val="22"/>
          <w:szCs w:val="22"/>
          <w:highlight w:val="none"/>
          <w:u w:val="none"/>
          <w:lang w:val="en-US" w:eastAsia="zh-CN" w:bidi="ar-SA"/>
        </w:rPr>
        <w:t xml:space="preserve"> 层高后 </w:t>
      </w:r>
      <w:r>
        <w:rPr>
          <w:rFonts w:hint="eastAsia" w:ascii="Times New Roman" w:hAnsi="Times New Roman" w:cs="宋体"/>
          <w:color w:val="auto"/>
          <w:spacing w:val="-1"/>
          <w:w w:val="100"/>
          <w:kern w:val="2"/>
          <w:sz w:val="22"/>
          <w:szCs w:val="22"/>
          <w:highlight w:val="none"/>
          <w:u w:val="none"/>
          <w:lang w:val="en-US" w:eastAsia="zh-CN" w:bidi="ar-SA"/>
        </w:rPr>
        <w:t>10</w:t>
      </w:r>
      <w:r>
        <w:rPr>
          <w:rFonts w:hint="default" w:ascii="宋体" w:hAnsi="宋体" w:eastAsia="宋体" w:cs="宋体"/>
          <w:color w:val="auto"/>
          <w:spacing w:val="-1"/>
          <w:w w:val="100"/>
          <w:kern w:val="2"/>
          <w:sz w:val="22"/>
          <w:szCs w:val="22"/>
          <w:highlight w:val="none"/>
          <w:u w:val="none"/>
          <w:lang w:val="en-US" w:eastAsia="zh-CN" w:bidi="ar-SA"/>
        </w:rPr>
        <w:t xml:space="preserve"> 日内，支付本部分费用的 </w:t>
      </w:r>
      <w:r>
        <w:rPr>
          <w:rFonts w:hint="eastAsia" w:ascii="Times New Roman" w:hAnsi="Times New Roman" w:cs="宋体"/>
          <w:color w:val="auto"/>
          <w:spacing w:val="-1"/>
          <w:w w:val="100"/>
          <w:kern w:val="2"/>
          <w:sz w:val="22"/>
          <w:szCs w:val="22"/>
          <w:highlight w:val="none"/>
          <w:u w:val="none"/>
          <w:lang w:val="en-US" w:eastAsia="zh-CN" w:bidi="ar-SA"/>
        </w:rPr>
        <w:t>15</w:t>
      </w:r>
      <w:r>
        <w:rPr>
          <w:rFonts w:hint="default" w:ascii="宋体" w:hAnsi="宋体" w:eastAsia="宋体" w:cs="宋体"/>
          <w:color w:val="auto"/>
          <w:spacing w:val="-1"/>
          <w:w w:val="100"/>
          <w:kern w:val="2"/>
          <w:sz w:val="22"/>
          <w:szCs w:val="22"/>
          <w:highlight w:val="none"/>
          <w:u w:val="none"/>
          <w:lang w:val="en-US" w:eastAsia="zh-CN" w:bidi="ar-SA"/>
        </w:rPr>
        <w:t>%（即【</w:t>
      </w:r>
      <w:r>
        <w:rPr>
          <w:rFonts w:hint="eastAsia" w:cs="宋体"/>
          <w:color w:val="auto"/>
          <w:spacing w:val="-1"/>
          <w:w w:val="100"/>
          <w:kern w:val="2"/>
          <w:sz w:val="22"/>
          <w:szCs w:val="22"/>
          <w:highlight w:val="none"/>
          <w:u w:val="none"/>
          <w:lang w:val="en-US" w:eastAsia="zh-CN" w:bidi="ar-SA"/>
        </w:rPr>
        <w:t xml:space="preserve">    </w:t>
      </w:r>
      <w:r>
        <w:rPr>
          <w:rFonts w:hint="default" w:ascii="宋体" w:hAnsi="宋体" w:eastAsia="宋体" w:cs="宋体"/>
          <w:color w:val="auto"/>
          <w:spacing w:val="-1"/>
          <w:w w:val="100"/>
          <w:kern w:val="2"/>
          <w:sz w:val="22"/>
          <w:szCs w:val="22"/>
          <w:highlight w:val="none"/>
          <w:u w:val="none"/>
          <w:lang w:val="en-US" w:eastAsia="zh-CN" w:bidi="ar-SA"/>
        </w:rPr>
        <w:t>】万元）；</w:t>
      </w:r>
    </w:p>
    <w:p>
      <w:pPr>
        <w:pStyle w:val="90"/>
        <w:numPr>
          <w:ilvl w:val="0"/>
          <w:numId w:val="0"/>
        </w:numPr>
        <w:tabs>
          <w:tab w:val="left" w:pos="1541"/>
          <w:tab w:val="left" w:pos="8303"/>
        </w:tabs>
        <w:spacing w:before="158" w:line="376" w:lineRule="auto"/>
        <w:ind w:right="1302" w:rightChars="0" w:firstLine="436" w:firstLineChars="200"/>
        <w:rPr>
          <w:rFonts w:hint="default" w:ascii="宋体" w:hAnsi="宋体" w:eastAsia="宋体" w:cs="宋体"/>
          <w:color w:val="auto"/>
          <w:spacing w:val="-1"/>
          <w:w w:val="100"/>
          <w:kern w:val="2"/>
          <w:sz w:val="22"/>
          <w:szCs w:val="22"/>
          <w:highlight w:val="none"/>
          <w:u w:val="none"/>
          <w:lang w:val="en-US" w:eastAsia="zh-CN" w:bidi="ar-SA"/>
        </w:rPr>
      </w:pPr>
      <w:r>
        <w:rPr>
          <w:rFonts w:hint="eastAsia" w:ascii="Times New Roman" w:hAnsi="Times New Roman" w:cs="宋体"/>
          <w:color w:val="auto"/>
          <w:spacing w:val="-1"/>
          <w:w w:val="100"/>
          <w:kern w:val="2"/>
          <w:sz w:val="22"/>
          <w:szCs w:val="22"/>
          <w:highlight w:val="none"/>
          <w:u w:val="none"/>
          <w:lang w:val="en-US" w:eastAsia="zh-CN" w:bidi="ar-SA"/>
        </w:rPr>
        <w:t>e</w:t>
      </w:r>
      <w:r>
        <w:rPr>
          <w:rFonts w:hint="default" w:ascii="宋体" w:hAnsi="宋体" w:eastAsia="宋体" w:cs="宋体"/>
          <w:color w:val="auto"/>
          <w:spacing w:val="-1"/>
          <w:w w:val="100"/>
          <w:kern w:val="2"/>
          <w:sz w:val="22"/>
          <w:szCs w:val="22"/>
          <w:highlight w:val="none"/>
          <w:u w:val="none"/>
          <w:lang w:val="en-US" w:eastAsia="zh-CN" w:bidi="ar-SA"/>
        </w:rPr>
        <w:t xml:space="preserve">)主体结顶后 </w:t>
      </w:r>
      <w:r>
        <w:rPr>
          <w:rFonts w:hint="eastAsia" w:ascii="Times New Roman" w:hAnsi="Times New Roman" w:cs="宋体"/>
          <w:color w:val="auto"/>
          <w:spacing w:val="-1"/>
          <w:w w:val="100"/>
          <w:kern w:val="2"/>
          <w:sz w:val="22"/>
          <w:szCs w:val="22"/>
          <w:highlight w:val="none"/>
          <w:u w:val="none"/>
          <w:lang w:val="en-US" w:eastAsia="zh-CN" w:bidi="ar-SA"/>
        </w:rPr>
        <w:t>10</w:t>
      </w:r>
      <w:r>
        <w:rPr>
          <w:rFonts w:hint="default" w:ascii="宋体" w:hAnsi="宋体" w:eastAsia="宋体" w:cs="宋体"/>
          <w:color w:val="auto"/>
          <w:spacing w:val="-1"/>
          <w:w w:val="100"/>
          <w:kern w:val="2"/>
          <w:sz w:val="22"/>
          <w:szCs w:val="22"/>
          <w:highlight w:val="none"/>
          <w:u w:val="none"/>
          <w:lang w:val="en-US" w:eastAsia="zh-CN" w:bidi="ar-SA"/>
        </w:rPr>
        <w:t xml:space="preserve"> 日内，支付本部分费用的 </w:t>
      </w:r>
      <w:r>
        <w:rPr>
          <w:rFonts w:hint="eastAsia" w:ascii="Times New Roman" w:hAnsi="Times New Roman" w:cs="宋体"/>
          <w:color w:val="auto"/>
          <w:spacing w:val="-1"/>
          <w:w w:val="100"/>
          <w:kern w:val="2"/>
          <w:sz w:val="22"/>
          <w:szCs w:val="22"/>
          <w:highlight w:val="none"/>
          <w:u w:val="none"/>
          <w:lang w:val="en-US" w:eastAsia="zh-CN" w:bidi="ar-SA"/>
        </w:rPr>
        <w:t>15</w:t>
      </w:r>
      <w:r>
        <w:rPr>
          <w:rFonts w:hint="default" w:ascii="宋体" w:hAnsi="宋体" w:eastAsia="宋体" w:cs="宋体"/>
          <w:color w:val="auto"/>
          <w:spacing w:val="-1"/>
          <w:w w:val="100"/>
          <w:kern w:val="2"/>
          <w:sz w:val="22"/>
          <w:szCs w:val="22"/>
          <w:highlight w:val="none"/>
          <w:u w:val="none"/>
          <w:lang w:val="en-US" w:eastAsia="zh-CN" w:bidi="ar-SA"/>
        </w:rPr>
        <w:t>%（即【</w:t>
      </w:r>
      <w:r>
        <w:rPr>
          <w:rFonts w:hint="eastAsia" w:cs="宋体"/>
          <w:color w:val="auto"/>
          <w:spacing w:val="-1"/>
          <w:w w:val="100"/>
          <w:kern w:val="2"/>
          <w:sz w:val="22"/>
          <w:szCs w:val="22"/>
          <w:highlight w:val="none"/>
          <w:u w:val="none"/>
          <w:lang w:val="en-US" w:eastAsia="zh-CN" w:bidi="ar-SA"/>
        </w:rPr>
        <w:t xml:space="preserve">    </w:t>
      </w:r>
      <w:r>
        <w:rPr>
          <w:rFonts w:hint="default" w:ascii="宋体" w:hAnsi="宋体" w:eastAsia="宋体" w:cs="宋体"/>
          <w:color w:val="auto"/>
          <w:spacing w:val="-1"/>
          <w:w w:val="100"/>
          <w:kern w:val="2"/>
          <w:sz w:val="22"/>
          <w:szCs w:val="22"/>
          <w:highlight w:val="none"/>
          <w:u w:val="none"/>
          <w:lang w:val="en-US" w:eastAsia="zh-CN" w:bidi="ar-SA"/>
        </w:rPr>
        <w:t>】万元）；</w:t>
      </w:r>
    </w:p>
    <w:p>
      <w:pPr>
        <w:pStyle w:val="90"/>
        <w:numPr>
          <w:ilvl w:val="0"/>
          <w:numId w:val="0"/>
        </w:numPr>
        <w:tabs>
          <w:tab w:val="left" w:pos="1541"/>
          <w:tab w:val="left" w:pos="8303"/>
        </w:tabs>
        <w:spacing w:before="158" w:line="376" w:lineRule="auto"/>
        <w:ind w:right="1302" w:rightChars="0" w:firstLine="436" w:firstLineChars="200"/>
        <w:rPr>
          <w:rFonts w:hint="default" w:ascii="宋体" w:hAnsi="宋体" w:eastAsia="宋体" w:cs="宋体"/>
          <w:color w:val="auto"/>
          <w:spacing w:val="-1"/>
          <w:w w:val="100"/>
          <w:kern w:val="2"/>
          <w:sz w:val="22"/>
          <w:szCs w:val="22"/>
          <w:highlight w:val="none"/>
          <w:u w:val="none"/>
          <w:lang w:val="en-US" w:eastAsia="zh-CN" w:bidi="ar-SA"/>
        </w:rPr>
      </w:pPr>
      <w:r>
        <w:rPr>
          <w:rFonts w:hint="eastAsia" w:ascii="Times New Roman" w:hAnsi="Times New Roman" w:cs="宋体"/>
          <w:color w:val="auto"/>
          <w:spacing w:val="-1"/>
          <w:w w:val="100"/>
          <w:kern w:val="2"/>
          <w:sz w:val="22"/>
          <w:szCs w:val="22"/>
          <w:highlight w:val="none"/>
          <w:u w:val="none"/>
          <w:lang w:val="en-US" w:eastAsia="zh-CN" w:bidi="ar-SA"/>
        </w:rPr>
        <w:t>f</w:t>
      </w:r>
      <w:r>
        <w:rPr>
          <w:rFonts w:hint="default" w:ascii="宋体" w:hAnsi="宋体" w:eastAsia="宋体" w:cs="宋体"/>
          <w:color w:val="auto"/>
          <w:spacing w:val="-1"/>
          <w:w w:val="100"/>
          <w:kern w:val="2"/>
          <w:sz w:val="22"/>
          <w:szCs w:val="22"/>
          <w:highlight w:val="none"/>
          <w:u w:val="none"/>
          <w:lang w:val="en-US" w:eastAsia="zh-CN" w:bidi="ar-SA"/>
        </w:rPr>
        <w:t xml:space="preserve">)外架拆除完成后 </w:t>
      </w:r>
      <w:r>
        <w:rPr>
          <w:rFonts w:hint="eastAsia" w:ascii="Times New Roman" w:hAnsi="Times New Roman" w:cs="宋体"/>
          <w:color w:val="auto"/>
          <w:spacing w:val="-1"/>
          <w:w w:val="100"/>
          <w:kern w:val="2"/>
          <w:sz w:val="22"/>
          <w:szCs w:val="22"/>
          <w:highlight w:val="none"/>
          <w:u w:val="none"/>
          <w:lang w:val="en-US" w:eastAsia="zh-CN" w:bidi="ar-SA"/>
        </w:rPr>
        <w:t>10</w:t>
      </w:r>
      <w:r>
        <w:rPr>
          <w:rFonts w:hint="default" w:ascii="宋体" w:hAnsi="宋体" w:eastAsia="宋体" w:cs="宋体"/>
          <w:color w:val="auto"/>
          <w:spacing w:val="-1"/>
          <w:w w:val="100"/>
          <w:kern w:val="2"/>
          <w:sz w:val="22"/>
          <w:szCs w:val="22"/>
          <w:highlight w:val="none"/>
          <w:u w:val="none"/>
          <w:lang w:val="en-US" w:eastAsia="zh-CN" w:bidi="ar-SA"/>
        </w:rPr>
        <w:t xml:space="preserve"> 日内，支付本部分费用的 </w:t>
      </w:r>
      <w:r>
        <w:rPr>
          <w:rFonts w:hint="eastAsia" w:ascii="Times New Roman" w:hAnsi="Times New Roman" w:cs="宋体"/>
          <w:color w:val="auto"/>
          <w:spacing w:val="-1"/>
          <w:w w:val="100"/>
          <w:kern w:val="2"/>
          <w:sz w:val="22"/>
          <w:szCs w:val="22"/>
          <w:highlight w:val="none"/>
          <w:u w:val="none"/>
          <w:lang w:val="en-US" w:eastAsia="zh-CN" w:bidi="ar-SA"/>
        </w:rPr>
        <w:t>10</w:t>
      </w:r>
      <w:r>
        <w:rPr>
          <w:rFonts w:hint="default" w:ascii="宋体" w:hAnsi="宋体" w:eastAsia="宋体" w:cs="宋体"/>
          <w:color w:val="auto"/>
          <w:spacing w:val="-1"/>
          <w:w w:val="100"/>
          <w:kern w:val="2"/>
          <w:sz w:val="22"/>
          <w:szCs w:val="22"/>
          <w:highlight w:val="none"/>
          <w:u w:val="none"/>
          <w:lang w:val="en-US" w:eastAsia="zh-CN" w:bidi="ar-SA"/>
        </w:rPr>
        <w:t>%（即【</w:t>
      </w:r>
      <w:r>
        <w:rPr>
          <w:rFonts w:hint="eastAsia" w:cs="宋体"/>
          <w:color w:val="auto"/>
          <w:spacing w:val="-1"/>
          <w:w w:val="100"/>
          <w:kern w:val="2"/>
          <w:sz w:val="22"/>
          <w:szCs w:val="22"/>
          <w:highlight w:val="none"/>
          <w:u w:val="none"/>
          <w:lang w:val="en-US" w:eastAsia="zh-CN" w:bidi="ar-SA"/>
        </w:rPr>
        <w:t xml:space="preserve">    </w:t>
      </w:r>
      <w:r>
        <w:rPr>
          <w:rFonts w:hint="default" w:ascii="宋体" w:hAnsi="宋体" w:eastAsia="宋体" w:cs="宋体"/>
          <w:color w:val="auto"/>
          <w:spacing w:val="-1"/>
          <w:w w:val="100"/>
          <w:kern w:val="2"/>
          <w:sz w:val="22"/>
          <w:szCs w:val="22"/>
          <w:highlight w:val="none"/>
          <w:u w:val="none"/>
          <w:lang w:val="en-US" w:eastAsia="zh-CN" w:bidi="ar-SA"/>
        </w:rPr>
        <w:t>】万元）；</w:t>
      </w:r>
    </w:p>
    <w:p>
      <w:pPr>
        <w:pStyle w:val="90"/>
        <w:numPr>
          <w:ilvl w:val="0"/>
          <w:numId w:val="0"/>
        </w:numPr>
        <w:tabs>
          <w:tab w:val="left" w:pos="1541"/>
          <w:tab w:val="left" w:pos="8303"/>
        </w:tabs>
        <w:spacing w:before="158" w:line="376" w:lineRule="auto"/>
        <w:ind w:right="1302" w:rightChars="0" w:firstLine="436" w:firstLineChars="200"/>
        <w:rPr>
          <w:rFonts w:hint="default" w:ascii="宋体" w:hAnsi="宋体" w:eastAsia="宋体" w:cs="宋体"/>
          <w:color w:val="auto"/>
          <w:spacing w:val="-1"/>
          <w:w w:val="100"/>
          <w:kern w:val="2"/>
          <w:sz w:val="22"/>
          <w:szCs w:val="22"/>
          <w:highlight w:val="none"/>
          <w:u w:val="none"/>
          <w:lang w:val="en-US" w:eastAsia="zh-CN" w:bidi="ar-SA"/>
        </w:rPr>
      </w:pPr>
      <w:r>
        <w:rPr>
          <w:rFonts w:hint="eastAsia" w:ascii="Times New Roman" w:hAnsi="Times New Roman" w:cs="宋体"/>
          <w:color w:val="auto"/>
          <w:spacing w:val="-1"/>
          <w:w w:val="100"/>
          <w:kern w:val="2"/>
          <w:sz w:val="22"/>
          <w:szCs w:val="22"/>
          <w:highlight w:val="none"/>
          <w:u w:val="none"/>
          <w:lang w:val="en-US" w:eastAsia="zh-CN" w:bidi="ar-SA"/>
        </w:rPr>
        <w:t>g</w:t>
      </w:r>
      <w:r>
        <w:rPr>
          <w:rFonts w:hint="default" w:ascii="宋体" w:hAnsi="宋体" w:eastAsia="宋体" w:cs="宋体"/>
          <w:color w:val="auto"/>
          <w:spacing w:val="-1"/>
          <w:w w:val="100"/>
          <w:kern w:val="2"/>
          <w:sz w:val="22"/>
          <w:szCs w:val="22"/>
          <w:highlight w:val="none"/>
          <w:u w:val="none"/>
          <w:lang w:val="en-US" w:eastAsia="zh-CN" w:bidi="ar-SA"/>
        </w:rPr>
        <w:t xml:space="preserve">)全部工程完成，具备竣工验收条件，支付本部分费用的 </w:t>
      </w:r>
      <w:r>
        <w:rPr>
          <w:rFonts w:hint="eastAsia" w:ascii="Times New Roman" w:hAnsi="Times New Roman" w:cs="宋体"/>
          <w:color w:val="auto"/>
          <w:spacing w:val="-1"/>
          <w:w w:val="100"/>
          <w:kern w:val="2"/>
          <w:sz w:val="22"/>
          <w:szCs w:val="22"/>
          <w:highlight w:val="none"/>
          <w:u w:val="none"/>
          <w:lang w:val="en-US" w:eastAsia="zh-CN" w:bidi="ar-SA"/>
        </w:rPr>
        <w:t>10</w:t>
      </w:r>
      <w:r>
        <w:rPr>
          <w:rFonts w:hint="default" w:ascii="宋体" w:hAnsi="宋体" w:eastAsia="宋体" w:cs="宋体"/>
          <w:color w:val="auto"/>
          <w:spacing w:val="-1"/>
          <w:w w:val="100"/>
          <w:kern w:val="2"/>
          <w:sz w:val="22"/>
          <w:szCs w:val="22"/>
          <w:highlight w:val="none"/>
          <w:u w:val="none"/>
          <w:lang w:val="en-US" w:eastAsia="zh-CN" w:bidi="ar-SA"/>
        </w:rPr>
        <w:t>%（即【</w:t>
      </w:r>
      <w:r>
        <w:rPr>
          <w:rFonts w:hint="eastAsia" w:cs="宋体"/>
          <w:color w:val="auto"/>
          <w:spacing w:val="-1"/>
          <w:w w:val="100"/>
          <w:kern w:val="2"/>
          <w:sz w:val="22"/>
          <w:szCs w:val="22"/>
          <w:highlight w:val="none"/>
          <w:u w:val="none"/>
          <w:lang w:val="en-US" w:eastAsia="zh-CN" w:bidi="ar-SA"/>
        </w:rPr>
        <w:t xml:space="preserve">    </w:t>
      </w:r>
      <w:r>
        <w:rPr>
          <w:rFonts w:hint="default" w:ascii="宋体" w:hAnsi="宋体" w:eastAsia="宋体" w:cs="宋体"/>
          <w:color w:val="auto"/>
          <w:spacing w:val="-1"/>
          <w:w w:val="100"/>
          <w:kern w:val="2"/>
          <w:sz w:val="22"/>
          <w:szCs w:val="22"/>
          <w:highlight w:val="none"/>
          <w:u w:val="none"/>
          <w:lang w:val="en-US" w:eastAsia="zh-CN" w:bidi="ar-SA"/>
        </w:rPr>
        <w:t>】万元）；</w:t>
      </w:r>
    </w:p>
    <w:p>
      <w:pPr>
        <w:pStyle w:val="90"/>
        <w:numPr>
          <w:ilvl w:val="0"/>
          <w:numId w:val="0"/>
        </w:numPr>
        <w:tabs>
          <w:tab w:val="left" w:pos="1541"/>
          <w:tab w:val="left" w:pos="8303"/>
        </w:tabs>
        <w:spacing w:before="158" w:line="376" w:lineRule="auto"/>
        <w:ind w:right="1302" w:rightChars="0" w:firstLine="436" w:firstLineChars="200"/>
        <w:rPr>
          <w:color w:val="auto"/>
          <w:highlight w:val="none"/>
          <w:u w:val="none"/>
          <w:lang w:eastAsia="zh-CN"/>
        </w:rPr>
      </w:pPr>
      <w:r>
        <w:rPr>
          <w:rFonts w:hint="eastAsia" w:ascii="Times New Roman" w:hAnsi="Times New Roman" w:cs="宋体"/>
          <w:color w:val="auto"/>
          <w:spacing w:val="-1"/>
          <w:w w:val="100"/>
          <w:kern w:val="2"/>
          <w:sz w:val="22"/>
          <w:szCs w:val="22"/>
          <w:highlight w:val="none"/>
          <w:u w:val="none"/>
          <w:lang w:val="en-US" w:eastAsia="zh-CN" w:bidi="ar-SA"/>
        </w:rPr>
        <w:t>h</w:t>
      </w:r>
      <w:r>
        <w:rPr>
          <w:rFonts w:hint="default" w:ascii="宋体" w:hAnsi="宋体" w:eastAsia="宋体" w:cs="宋体"/>
          <w:color w:val="auto"/>
          <w:spacing w:val="-1"/>
          <w:w w:val="100"/>
          <w:kern w:val="2"/>
          <w:sz w:val="22"/>
          <w:szCs w:val="22"/>
          <w:highlight w:val="none"/>
          <w:u w:val="none"/>
          <w:lang w:val="en-US" w:eastAsia="zh-CN" w:bidi="ar-SA"/>
        </w:rPr>
        <w:t xml:space="preserve">)取得验收备案表后 </w:t>
      </w:r>
      <w:r>
        <w:rPr>
          <w:rFonts w:hint="eastAsia" w:ascii="Times New Roman" w:hAnsi="Times New Roman" w:cs="宋体"/>
          <w:color w:val="auto"/>
          <w:spacing w:val="-1"/>
          <w:w w:val="100"/>
          <w:kern w:val="2"/>
          <w:sz w:val="22"/>
          <w:szCs w:val="22"/>
          <w:highlight w:val="none"/>
          <w:u w:val="none"/>
          <w:lang w:val="en-US" w:eastAsia="zh-CN" w:bidi="ar-SA"/>
        </w:rPr>
        <w:t>10</w:t>
      </w:r>
      <w:r>
        <w:rPr>
          <w:rFonts w:hint="default" w:ascii="宋体" w:hAnsi="宋体" w:eastAsia="宋体" w:cs="宋体"/>
          <w:color w:val="auto"/>
          <w:spacing w:val="-1"/>
          <w:w w:val="100"/>
          <w:kern w:val="2"/>
          <w:sz w:val="22"/>
          <w:szCs w:val="22"/>
          <w:highlight w:val="none"/>
          <w:u w:val="none"/>
          <w:lang w:val="en-US" w:eastAsia="zh-CN" w:bidi="ar-SA"/>
        </w:rPr>
        <w:t xml:space="preserve"> 日内，支付本部分费用的 </w:t>
      </w:r>
      <w:r>
        <w:rPr>
          <w:rFonts w:hint="eastAsia" w:ascii="Times New Roman" w:hAnsi="Times New Roman" w:cs="宋体"/>
          <w:color w:val="auto"/>
          <w:spacing w:val="-1"/>
          <w:w w:val="100"/>
          <w:kern w:val="2"/>
          <w:sz w:val="22"/>
          <w:szCs w:val="22"/>
          <w:highlight w:val="none"/>
          <w:u w:val="none"/>
          <w:lang w:val="en-US" w:eastAsia="zh-CN" w:bidi="ar-SA"/>
        </w:rPr>
        <w:t>10</w:t>
      </w:r>
      <w:r>
        <w:rPr>
          <w:rFonts w:hint="default" w:ascii="宋体" w:hAnsi="宋体" w:eastAsia="宋体" w:cs="宋体"/>
          <w:color w:val="auto"/>
          <w:spacing w:val="-1"/>
          <w:w w:val="100"/>
          <w:kern w:val="2"/>
          <w:sz w:val="22"/>
          <w:szCs w:val="22"/>
          <w:highlight w:val="none"/>
          <w:u w:val="none"/>
          <w:lang w:val="en-US" w:eastAsia="zh-CN" w:bidi="ar-SA"/>
        </w:rPr>
        <w:t>%（即【</w:t>
      </w:r>
      <w:r>
        <w:rPr>
          <w:rFonts w:hint="eastAsia" w:cs="宋体"/>
          <w:color w:val="auto"/>
          <w:spacing w:val="-1"/>
          <w:w w:val="100"/>
          <w:kern w:val="2"/>
          <w:sz w:val="22"/>
          <w:szCs w:val="22"/>
          <w:highlight w:val="none"/>
          <w:u w:val="none"/>
          <w:lang w:val="en-US" w:eastAsia="zh-CN" w:bidi="ar-SA"/>
        </w:rPr>
        <w:t xml:space="preserve">    </w:t>
      </w:r>
      <w:r>
        <w:rPr>
          <w:rFonts w:hint="default" w:ascii="宋体" w:hAnsi="宋体" w:eastAsia="宋体" w:cs="宋体"/>
          <w:color w:val="auto"/>
          <w:spacing w:val="-1"/>
          <w:w w:val="100"/>
          <w:kern w:val="2"/>
          <w:sz w:val="22"/>
          <w:szCs w:val="22"/>
          <w:highlight w:val="none"/>
          <w:u w:val="none"/>
          <w:lang w:val="en-US" w:eastAsia="zh-CN" w:bidi="ar-SA"/>
        </w:rPr>
        <w:t>】万元）；</w:t>
      </w:r>
    </w:p>
    <w:p>
      <w:pPr>
        <w:pStyle w:val="90"/>
        <w:numPr>
          <w:ilvl w:val="0"/>
          <w:numId w:val="0"/>
        </w:numPr>
        <w:tabs>
          <w:tab w:val="left" w:pos="1541"/>
        </w:tabs>
        <w:spacing w:before="158"/>
        <w:ind w:firstLine="436" w:firstLineChars="200"/>
        <w:rPr>
          <w:color w:val="auto"/>
          <w:highlight w:val="none"/>
          <w:lang w:eastAsia="zh-CN"/>
        </w:rPr>
      </w:pPr>
      <w:r>
        <w:rPr>
          <w:rFonts w:hint="eastAsia" w:ascii="Times New Roman" w:hAnsi="Times New Roman" w:cs="宋体"/>
          <w:color w:val="auto"/>
          <w:spacing w:val="-1"/>
          <w:w w:val="100"/>
          <w:kern w:val="2"/>
          <w:sz w:val="22"/>
          <w:szCs w:val="22"/>
          <w:highlight w:val="none"/>
          <w:lang w:val="en-US" w:eastAsia="zh-CN" w:bidi="ar-SA"/>
        </w:rPr>
        <w:t>i</w:t>
      </w:r>
      <w:r>
        <w:rPr>
          <w:rFonts w:hint="default" w:ascii="宋体" w:hAnsi="宋体" w:eastAsia="宋体" w:cs="宋体"/>
          <w:color w:val="auto"/>
          <w:spacing w:val="-1"/>
          <w:w w:val="100"/>
          <w:kern w:val="2"/>
          <w:sz w:val="22"/>
          <w:szCs w:val="22"/>
          <w:highlight w:val="none"/>
          <w:lang w:val="en-US" w:eastAsia="zh-CN" w:bidi="ar-SA"/>
        </w:rPr>
        <w:t>)</w:t>
      </w:r>
      <w:r>
        <w:rPr>
          <w:color w:val="auto"/>
          <w:spacing w:val="-3"/>
          <w:highlight w:val="none"/>
          <w:lang w:eastAsia="zh-CN"/>
        </w:rPr>
        <w:t>余款在</w:t>
      </w:r>
      <w:r>
        <w:rPr>
          <w:rFonts w:hint="eastAsia"/>
          <w:color w:val="auto"/>
          <w:spacing w:val="-3"/>
          <w:highlight w:val="none"/>
          <w:lang w:eastAsia="zh-CN"/>
        </w:rPr>
        <w:t>开发</w:t>
      </w:r>
      <w:r>
        <w:rPr>
          <w:color w:val="auto"/>
          <w:spacing w:val="-3"/>
          <w:highlight w:val="none"/>
          <w:lang w:eastAsia="zh-CN"/>
        </w:rPr>
        <w:t>管理服务期满并达到销售目标后三十日内结清。</w:t>
      </w:r>
    </w:p>
    <w:p>
      <w:pPr>
        <w:pStyle w:val="90"/>
        <w:keepNext w:val="0"/>
        <w:keepLines w:val="0"/>
        <w:pageBreakBefore w:val="0"/>
        <w:widowControl w:val="0"/>
        <w:numPr>
          <w:ilvl w:val="0"/>
          <w:numId w:val="0"/>
        </w:numPr>
        <w:tabs>
          <w:tab w:val="left" w:pos="1811"/>
        </w:tabs>
        <w:kinsoku/>
        <w:wordWrap/>
        <w:overflowPunct/>
        <w:topLinePunct w:val="0"/>
        <w:autoSpaceDE/>
        <w:autoSpaceDN/>
        <w:bidi w:val="0"/>
        <w:adjustRightInd/>
        <w:snapToGrid/>
        <w:spacing w:before="159" w:line="360" w:lineRule="auto"/>
        <w:ind w:firstLine="388" w:firstLineChars="200"/>
        <w:textAlignment w:val="auto"/>
        <w:rPr>
          <w:color w:val="auto"/>
          <w:highlight w:val="none"/>
          <w:lang w:eastAsia="zh-CN"/>
        </w:rPr>
      </w:pPr>
      <w:r>
        <w:rPr>
          <w:rFonts w:hint="default" w:ascii="宋体" w:hAnsi="宋体" w:eastAsia="宋体" w:cs="宋体"/>
          <w:color w:val="auto"/>
          <w:spacing w:val="-3"/>
          <w:w w:val="100"/>
          <w:kern w:val="2"/>
          <w:sz w:val="20"/>
          <w:szCs w:val="20"/>
          <w:highlight w:val="none"/>
          <w:lang w:val="en-US" w:eastAsia="zh-CN" w:bidi="ar-SA"/>
        </w:rPr>
        <w:t>（</w:t>
      </w:r>
      <w:r>
        <w:rPr>
          <w:rFonts w:hint="eastAsia" w:ascii="Times New Roman" w:hAnsi="Times New Roman" w:cs="宋体"/>
          <w:color w:val="auto"/>
          <w:spacing w:val="-3"/>
          <w:w w:val="100"/>
          <w:kern w:val="2"/>
          <w:sz w:val="20"/>
          <w:szCs w:val="20"/>
          <w:highlight w:val="none"/>
          <w:lang w:val="en-US" w:eastAsia="zh-CN" w:bidi="ar-SA"/>
        </w:rPr>
        <w:t>2</w:t>
      </w:r>
      <w:r>
        <w:rPr>
          <w:rFonts w:hint="default" w:ascii="宋体" w:hAnsi="宋体" w:eastAsia="宋体" w:cs="宋体"/>
          <w:color w:val="auto"/>
          <w:spacing w:val="-3"/>
          <w:w w:val="100"/>
          <w:kern w:val="2"/>
          <w:sz w:val="20"/>
          <w:szCs w:val="20"/>
          <w:highlight w:val="none"/>
          <w:lang w:val="en-US" w:eastAsia="zh-CN" w:bidi="ar-SA"/>
        </w:rPr>
        <w:t>）</w:t>
      </w:r>
      <w:r>
        <w:rPr>
          <w:color w:val="auto"/>
          <w:spacing w:val="-3"/>
          <w:highlight w:val="none"/>
          <w:lang w:eastAsia="zh-CN"/>
        </w:rPr>
        <w:t>按销售总额计取的</w:t>
      </w:r>
      <w:r>
        <w:rPr>
          <w:rFonts w:hint="eastAsia"/>
          <w:color w:val="auto"/>
          <w:spacing w:val="-3"/>
          <w:highlight w:val="none"/>
          <w:lang w:eastAsia="zh-CN"/>
        </w:rPr>
        <w:t>品牌使用</w:t>
      </w:r>
      <w:r>
        <w:rPr>
          <w:color w:val="auto"/>
          <w:spacing w:val="-3"/>
          <w:highlight w:val="none"/>
          <w:lang w:eastAsia="zh-CN"/>
        </w:rPr>
        <w:t>费部分：</w:t>
      </w:r>
    </w:p>
    <w:p>
      <w:pPr>
        <w:pStyle w:val="17"/>
        <w:keepNext w:val="0"/>
        <w:keepLines w:val="0"/>
        <w:pageBreakBefore w:val="0"/>
        <w:widowControl w:val="0"/>
        <w:kinsoku/>
        <w:wordWrap/>
        <w:overflowPunct/>
        <w:topLinePunct w:val="0"/>
        <w:autoSpaceDE/>
        <w:autoSpaceDN/>
        <w:bidi w:val="0"/>
        <w:adjustRightInd/>
        <w:snapToGrid/>
        <w:spacing w:line="360" w:lineRule="auto"/>
        <w:ind w:firstLine="408" w:firstLineChars="200"/>
        <w:textAlignment w:val="auto"/>
        <w:rPr>
          <w:color w:val="auto"/>
          <w:highlight w:val="none"/>
          <w:lang w:eastAsia="zh-CN"/>
        </w:rPr>
      </w:pPr>
      <w:r>
        <w:rPr>
          <w:color w:val="auto"/>
          <w:spacing w:val="-3"/>
          <w:highlight w:val="none"/>
          <w:lang w:eastAsia="zh-CN"/>
        </w:rPr>
        <w:t>除基本</w:t>
      </w:r>
      <w:r>
        <w:rPr>
          <w:rFonts w:hint="eastAsia"/>
          <w:color w:val="auto"/>
          <w:spacing w:val="-3"/>
          <w:highlight w:val="none"/>
          <w:lang w:eastAsia="zh-CN"/>
        </w:rPr>
        <w:t>品牌使用</w:t>
      </w:r>
      <w:r>
        <w:rPr>
          <w:color w:val="auto"/>
          <w:spacing w:val="-3"/>
          <w:highlight w:val="none"/>
          <w:lang w:eastAsia="zh-CN"/>
        </w:rPr>
        <w:t>费外，按销售总额计取的</w:t>
      </w:r>
      <w:r>
        <w:rPr>
          <w:rFonts w:hint="eastAsia"/>
          <w:color w:val="auto"/>
          <w:spacing w:val="-3"/>
          <w:highlight w:val="none"/>
          <w:lang w:eastAsia="zh-CN"/>
        </w:rPr>
        <w:t>品牌使用</w:t>
      </w:r>
      <w:r>
        <w:rPr>
          <w:color w:val="auto"/>
          <w:spacing w:val="-3"/>
          <w:highlight w:val="none"/>
          <w:lang w:eastAsia="zh-CN"/>
        </w:rPr>
        <w:t>费自实际对外销售开始，以</w:t>
      </w:r>
      <w:r>
        <w:rPr>
          <w:color w:val="auto"/>
          <w:spacing w:val="-5"/>
          <w:highlight w:val="none"/>
          <w:lang w:eastAsia="zh-CN"/>
        </w:rPr>
        <w:t xml:space="preserve">实际回笼资金为基数计取支付。甲方应于每季度结束后 </w:t>
      </w:r>
      <w:r>
        <w:rPr>
          <w:rFonts w:hint="eastAsia" w:ascii="Times New Roman" w:hAnsi="Times New Roman"/>
          <w:color w:val="auto"/>
          <w:highlight w:val="none"/>
          <w:lang w:eastAsia="zh-CN"/>
        </w:rPr>
        <w:t>10</w:t>
      </w:r>
      <w:r>
        <w:rPr>
          <w:color w:val="auto"/>
          <w:spacing w:val="-9"/>
          <w:highlight w:val="none"/>
          <w:lang w:eastAsia="zh-CN"/>
        </w:rPr>
        <w:t xml:space="preserve"> 日内支付，按该季度实际回</w:t>
      </w:r>
      <w:r>
        <w:rPr>
          <w:color w:val="auto"/>
          <w:spacing w:val="-3"/>
          <w:highlight w:val="none"/>
          <w:lang w:eastAsia="zh-CN"/>
        </w:rPr>
        <w:t>笼资金向乙方支付本项费</w:t>
      </w:r>
      <w:r>
        <w:rPr>
          <w:rFonts w:hint="eastAsia"/>
          <w:color w:val="auto"/>
          <w:spacing w:val="-3"/>
          <w:highlight w:val="none"/>
          <w:lang w:eastAsia="zh-CN"/>
        </w:rPr>
        <w:t>用，</w:t>
      </w:r>
      <w:r>
        <w:rPr>
          <w:color w:val="auto"/>
          <w:spacing w:val="-8"/>
          <w:highlight w:val="none"/>
          <w:u w:val="single"/>
          <w:lang w:eastAsia="zh-CN"/>
        </w:rPr>
        <w:t xml:space="preserve">付至该分项费用的 </w:t>
      </w:r>
      <w:r>
        <w:rPr>
          <w:rFonts w:hint="eastAsia" w:ascii="Times New Roman" w:hAnsi="Times New Roman"/>
          <w:color w:val="auto"/>
          <w:highlight w:val="none"/>
          <w:u w:val="single"/>
          <w:lang w:eastAsia="zh-CN"/>
        </w:rPr>
        <w:t>80</w:t>
      </w:r>
      <w:r>
        <w:rPr>
          <w:color w:val="auto"/>
          <w:highlight w:val="none"/>
          <w:u w:val="single"/>
          <w:lang w:eastAsia="zh-CN"/>
        </w:rPr>
        <w:t>%</w:t>
      </w:r>
      <w:r>
        <w:rPr>
          <w:color w:val="auto"/>
          <w:spacing w:val="-3"/>
          <w:highlight w:val="none"/>
          <w:u w:val="single"/>
          <w:lang w:eastAsia="zh-CN"/>
        </w:rPr>
        <w:t>暂停支付</w:t>
      </w:r>
      <w:r>
        <w:rPr>
          <w:rFonts w:hint="eastAsia"/>
          <w:color w:val="auto"/>
          <w:spacing w:val="-3"/>
          <w:highlight w:val="none"/>
          <w:u w:val="single"/>
          <w:lang w:eastAsia="zh-CN"/>
        </w:rPr>
        <w:t>。</w:t>
      </w:r>
      <w:r>
        <w:rPr>
          <w:color w:val="auto"/>
          <w:highlight w:val="none"/>
          <w:lang w:eastAsia="zh-CN"/>
        </w:rPr>
        <w:t>剩余款项</w:t>
      </w:r>
      <w:r>
        <w:rPr>
          <w:rFonts w:hint="eastAsia"/>
          <w:color w:val="auto"/>
          <w:highlight w:val="none"/>
          <w:lang w:eastAsia="zh-CN"/>
        </w:rPr>
        <w:t>在</w:t>
      </w:r>
      <w:r>
        <w:rPr>
          <w:color w:val="auto"/>
          <w:highlight w:val="none"/>
          <w:lang w:eastAsia="zh-CN"/>
        </w:rPr>
        <w:t xml:space="preserve">同管理服务期届满后 </w:t>
      </w:r>
      <w:r>
        <w:rPr>
          <w:rFonts w:hint="eastAsia" w:ascii="Times New Roman" w:hAnsi="Times New Roman"/>
          <w:color w:val="auto"/>
          <w:highlight w:val="none"/>
          <w:lang w:eastAsia="zh-CN"/>
        </w:rPr>
        <w:t>30</w:t>
      </w:r>
      <w:r>
        <w:rPr>
          <w:color w:val="auto"/>
          <w:highlight w:val="none"/>
          <w:lang w:eastAsia="zh-CN"/>
        </w:rPr>
        <w:t xml:space="preserve"> 日内，由甲方在结算完成后 </w:t>
      </w:r>
      <w:r>
        <w:rPr>
          <w:rFonts w:hint="eastAsia" w:ascii="Times New Roman" w:hAnsi="Times New Roman"/>
          <w:color w:val="auto"/>
          <w:highlight w:val="none"/>
          <w:lang w:eastAsia="zh-CN"/>
        </w:rPr>
        <w:t>30</w:t>
      </w:r>
      <w:r>
        <w:rPr>
          <w:color w:val="auto"/>
          <w:highlight w:val="none"/>
          <w:lang w:eastAsia="zh-CN"/>
        </w:rPr>
        <w:t xml:space="preserve"> 日内支付给乙方。</w:t>
      </w:r>
    </w:p>
    <w:p>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lang w:eastAsia="zh-CN"/>
        </w:rPr>
      </w:pPr>
      <w:r>
        <w:rPr>
          <w:rFonts w:hint="eastAsia" w:ascii="Times New Roman" w:hAnsi="Times New Roman"/>
          <w:color w:val="auto"/>
          <w:highlight w:val="none"/>
          <w:lang w:eastAsia="zh-CN"/>
        </w:rPr>
        <w:t>4</w:t>
      </w:r>
      <w:r>
        <w:rPr>
          <w:color w:val="auto"/>
          <w:highlight w:val="none"/>
          <w:lang w:eastAsia="zh-CN"/>
        </w:rPr>
        <w:t>、项目总销售额的计算方式</w:t>
      </w:r>
    </w:p>
    <w:p>
      <w:pPr>
        <w:pStyle w:val="90"/>
        <w:keepNext w:val="0"/>
        <w:keepLines w:val="0"/>
        <w:pageBreakBefore w:val="0"/>
        <w:widowControl w:val="0"/>
        <w:numPr>
          <w:ilvl w:val="0"/>
          <w:numId w:val="0"/>
        </w:numPr>
        <w:tabs>
          <w:tab w:val="left" w:pos="1811"/>
        </w:tabs>
        <w:kinsoku/>
        <w:wordWrap/>
        <w:overflowPunct/>
        <w:topLinePunct w:val="0"/>
        <w:autoSpaceDE/>
        <w:autoSpaceDN/>
        <w:bidi w:val="0"/>
        <w:adjustRightInd/>
        <w:snapToGrid/>
        <w:spacing w:before="158" w:line="360" w:lineRule="auto"/>
        <w:ind w:right="865" w:rightChars="0" w:firstLine="388" w:firstLineChars="200"/>
        <w:textAlignment w:val="auto"/>
        <w:rPr>
          <w:color w:val="auto"/>
          <w:highlight w:val="none"/>
          <w:lang w:eastAsia="zh-CN"/>
        </w:rPr>
      </w:pPr>
      <w:r>
        <w:rPr>
          <w:rFonts w:hint="default" w:ascii="宋体" w:hAnsi="宋体" w:eastAsia="宋体" w:cs="宋体"/>
          <w:color w:val="auto"/>
          <w:spacing w:val="-3"/>
          <w:w w:val="100"/>
          <w:kern w:val="2"/>
          <w:sz w:val="20"/>
          <w:szCs w:val="20"/>
          <w:highlight w:val="none"/>
          <w:lang w:val="en-US" w:eastAsia="zh-CN" w:bidi="ar-SA"/>
        </w:rPr>
        <w:t>（</w:t>
      </w:r>
      <w:r>
        <w:rPr>
          <w:rFonts w:hint="eastAsia" w:ascii="Times New Roman" w:hAnsi="Times New Roman" w:cs="宋体"/>
          <w:color w:val="auto"/>
          <w:spacing w:val="-3"/>
          <w:w w:val="100"/>
          <w:kern w:val="2"/>
          <w:sz w:val="20"/>
          <w:szCs w:val="20"/>
          <w:highlight w:val="none"/>
          <w:lang w:val="en-US" w:eastAsia="zh-CN" w:bidi="ar-SA"/>
        </w:rPr>
        <w:t>1</w:t>
      </w:r>
      <w:r>
        <w:rPr>
          <w:rFonts w:hint="default" w:ascii="宋体" w:hAnsi="宋体" w:eastAsia="宋体" w:cs="宋体"/>
          <w:color w:val="auto"/>
          <w:spacing w:val="-3"/>
          <w:w w:val="100"/>
          <w:kern w:val="2"/>
          <w:sz w:val="20"/>
          <w:szCs w:val="20"/>
          <w:highlight w:val="none"/>
          <w:lang w:val="en-US" w:eastAsia="zh-CN" w:bidi="ar-SA"/>
        </w:rPr>
        <w:t>）</w:t>
      </w:r>
      <w:r>
        <w:rPr>
          <w:color w:val="auto"/>
          <w:spacing w:val="-3"/>
          <w:highlight w:val="none"/>
          <w:lang w:eastAsia="zh-CN"/>
        </w:rPr>
        <w:t>项目总销售额是指按照本合同约定的方式计算所得的各类可售物业的含增值税销售总额，包括房屋、地下车位等可售物业的销售额以及甲方保留物业和达到销售目标后的剩余物业按照双方约定方法计算所得的销售额之和。</w:t>
      </w:r>
    </w:p>
    <w:p>
      <w:pPr>
        <w:pStyle w:val="90"/>
        <w:keepNext w:val="0"/>
        <w:keepLines w:val="0"/>
        <w:pageBreakBefore w:val="0"/>
        <w:widowControl w:val="0"/>
        <w:numPr>
          <w:ilvl w:val="0"/>
          <w:numId w:val="0"/>
        </w:numPr>
        <w:tabs>
          <w:tab w:val="left" w:pos="1811"/>
        </w:tabs>
        <w:kinsoku/>
        <w:wordWrap/>
        <w:overflowPunct/>
        <w:topLinePunct w:val="0"/>
        <w:autoSpaceDE/>
        <w:autoSpaceDN/>
        <w:bidi w:val="0"/>
        <w:adjustRightInd/>
        <w:snapToGrid/>
        <w:spacing w:before="1" w:line="360" w:lineRule="auto"/>
        <w:ind w:right="865" w:rightChars="0" w:firstLine="388" w:firstLineChars="200"/>
        <w:textAlignment w:val="auto"/>
        <w:rPr>
          <w:color w:val="auto"/>
          <w:highlight w:val="none"/>
          <w:lang w:eastAsia="zh-CN"/>
        </w:rPr>
      </w:pPr>
      <w:r>
        <w:rPr>
          <w:rFonts w:hint="default" w:ascii="宋体" w:hAnsi="宋体" w:eastAsia="宋体" w:cs="宋体"/>
          <w:color w:val="auto"/>
          <w:spacing w:val="-3"/>
          <w:w w:val="100"/>
          <w:kern w:val="2"/>
          <w:sz w:val="20"/>
          <w:szCs w:val="20"/>
          <w:highlight w:val="none"/>
          <w:lang w:val="en-US" w:eastAsia="zh-CN" w:bidi="ar-SA"/>
        </w:rPr>
        <w:t>（</w:t>
      </w:r>
      <w:r>
        <w:rPr>
          <w:rFonts w:hint="eastAsia" w:ascii="Times New Roman" w:hAnsi="Times New Roman" w:cs="宋体"/>
          <w:color w:val="auto"/>
          <w:spacing w:val="-3"/>
          <w:w w:val="100"/>
          <w:kern w:val="2"/>
          <w:sz w:val="20"/>
          <w:szCs w:val="20"/>
          <w:highlight w:val="none"/>
          <w:lang w:val="en-US" w:eastAsia="zh-CN" w:bidi="ar-SA"/>
        </w:rPr>
        <w:t>2</w:t>
      </w:r>
      <w:r>
        <w:rPr>
          <w:rFonts w:hint="default" w:ascii="宋体" w:hAnsi="宋体" w:eastAsia="宋体" w:cs="宋体"/>
          <w:color w:val="auto"/>
          <w:spacing w:val="-3"/>
          <w:w w:val="100"/>
          <w:kern w:val="2"/>
          <w:sz w:val="20"/>
          <w:szCs w:val="20"/>
          <w:highlight w:val="none"/>
          <w:lang w:val="en-US" w:eastAsia="zh-CN" w:bidi="ar-SA"/>
        </w:rPr>
        <w:t>）</w:t>
      </w:r>
      <w:r>
        <w:rPr>
          <w:color w:val="auto"/>
          <w:spacing w:val="-3"/>
          <w:highlight w:val="none"/>
          <w:lang w:eastAsia="zh-CN"/>
        </w:rPr>
        <w:t>甲方保留物业是指实际可对外销售但甲方自行保留不对外销售的物业，甲方保留物业在最终结算时按本项目同一分期同类物业的含税销售均价计算可售金额，计入项目总销售额。</w:t>
      </w:r>
    </w:p>
    <w:p>
      <w:pPr>
        <w:pStyle w:val="90"/>
        <w:keepNext w:val="0"/>
        <w:keepLines w:val="0"/>
        <w:pageBreakBefore w:val="0"/>
        <w:widowControl w:val="0"/>
        <w:numPr>
          <w:ilvl w:val="0"/>
          <w:numId w:val="0"/>
        </w:numPr>
        <w:tabs>
          <w:tab w:val="left" w:pos="1811"/>
        </w:tabs>
        <w:kinsoku/>
        <w:wordWrap/>
        <w:overflowPunct/>
        <w:topLinePunct w:val="0"/>
        <w:autoSpaceDE/>
        <w:autoSpaceDN/>
        <w:bidi w:val="0"/>
        <w:adjustRightInd/>
        <w:snapToGrid/>
        <w:spacing w:before="50" w:line="360" w:lineRule="auto"/>
        <w:ind w:right="865" w:rightChars="0" w:firstLine="388" w:firstLineChars="200"/>
        <w:textAlignment w:val="auto"/>
        <w:rPr>
          <w:color w:val="auto"/>
          <w:highlight w:val="none"/>
          <w:lang w:eastAsia="zh-CN"/>
        </w:rPr>
      </w:pPr>
      <w:r>
        <w:rPr>
          <w:rFonts w:hint="default" w:ascii="宋体" w:hAnsi="宋体" w:eastAsia="宋体" w:cs="宋体"/>
          <w:color w:val="auto"/>
          <w:spacing w:val="-3"/>
          <w:w w:val="100"/>
          <w:kern w:val="2"/>
          <w:sz w:val="20"/>
          <w:szCs w:val="20"/>
          <w:highlight w:val="none"/>
          <w:lang w:val="en-US" w:eastAsia="zh-CN" w:bidi="ar-SA"/>
        </w:rPr>
        <w:t>（</w:t>
      </w:r>
      <w:r>
        <w:rPr>
          <w:rFonts w:hint="eastAsia" w:ascii="Times New Roman" w:hAnsi="Times New Roman" w:cs="宋体"/>
          <w:color w:val="auto"/>
          <w:spacing w:val="-3"/>
          <w:w w:val="100"/>
          <w:kern w:val="2"/>
          <w:sz w:val="20"/>
          <w:szCs w:val="20"/>
          <w:highlight w:val="none"/>
          <w:lang w:val="en-US" w:eastAsia="zh-CN" w:bidi="ar-SA"/>
        </w:rPr>
        <w:t>3</w:t>
      </w:r>
      <w:r>
        <w:rPr>
          <w:rFonts w:hint="default" w:ascii="宋体" w:hAnsi="宋体" w:eastAsia="宋体" w:cs="宋体"/>
          <w:color w:val="auto"/>
          <w:spacing w:val="-3"/>
          <w:w w:val="100"/>
          <w:kern w:val="2"/>
          <w:sz w:val="20"/>
          <w:szCs w:val="20"/>
          <w:highlight w:val="none"/>
          <w:lang w:val="en-US" w:eastAsia="zh-CN" w:bidi="ar-SA"/>
        </w:rPr>
        <w:t>）</w:t>
      </w:r>
      <w:r>
        <w:rPr>
          <w:rFonts w:hint="eastAsia"/>
          <w:color w:val="auto"/>
          <w:highlight w:val="none"/>
          <w:lang w:eastAsia="zh-CN"/>
        </w:rPr>
        <w:t>截止最终结算之日，尚未出售的可售物业作为剩余物业，不计入项目总销售额。</w:t>
      </w:r>
    </w:p>
    <w:p>
      <w:pPr>
        <w:pStyle w:val="17"/>
        <w:spacing w:line="374" w:lineRule="auto"/>
        <w:ind w:firstLine="420" w:firstLineChars="200"/>
        <w:rPr>
          <w:color w:val="auto"/>
          <w:highlight w:val="none"/>
          <w:lang w:eastAsia="zh-CN"/>
        </w:rPr>
      </w:pPr>
      <w:r>
        <w:rPr>
          <w:rFonts w:hint="eastAsia" w:ascii="Times New Roman" w:hAnsi="Times New Roman"/>
          <w:color w:val="auto"/>
          <w:highlight w:val="none"/>
          <w:lang w:eastAsia="zh-CN"/>
        </w:rPr>
        <w:t>5</w:t>
      </w:r>
      <w:r>
        <w:rPr>
          <w:color w:val="auto"/>
          <w:highlight w:val="none"/>
          <w:lang w:eastAsia="zh-CN"/>
        </w:rPr>
        <w:t>、</w:t>
      </w:r>
      <w:r>
        <w:rPr>
          <w:rFonts w:hint="eastAsia"/>
          <w:color w:val="auto"/>
          <w:highlight w:val="none"/>
          <w:lang w:eastAsia="zh-CN"/>
        </w:rPr>
        <w:t>品牌使用</w:t>
      </w:r>
      <w:r>
        <w:rPr>
          <w:color w:val="auto"/>
          <w:highlight w:val="none"/>
          <w:lang w:eastAsia="zh-CN"/>
        </w:rPr>
        <w:t>费最终结算</w:t>
      </w:r>
    </w:p>
    <w:p>
      <w:pPr>
        <w:pStyle w:val="17"/>
        <w:spacing w:line="374" w:lineRule="auto"/>
        <w:ind w:firstLine="420" w:firstLineChars="200"/>
        <w:rPr>
          <w:color w:val="auto"/>
          <w:highlight w:val="none"/>
          <w:lang w:eastAsia="zh-CN"/>
        </w:rPr>
      </w:pPr>
      <w:r>
        <w:rPr>
          <w:rFonts w:hint="eastAsia"/>
          <w:color w:val="auto"/>
          <w:highlight w:val="none"/>
          <w:lang w:eastAsia="zh-CN"/>
        </w:rPr>
        <w:t>（</w:t>
      </w:r>
      <w:r>
        <w:rPr>
          <w:rFonts w:hint="eastAsia" w:ascii="Times New Roman" w:hAnsi="Times New Roman"/>
          <w:color w:val="auto"/>
          <w:highlight w:val="none"/>
          <w:lang w:eastAsia="zh-CN"/>
        </w:rPr>
        <w:t>1</w:t>
      </w:r>
      <w:r>
        <w:rPr>
          <w:color w:val="auto"/>
          <w:highlight w:val="none"/>
          <w:lang w:eastAsia="zh-CN"/>
        </w:rPr>
        <w:t xml:space="preserve">）本合同管理服务期届满后 </w:t>
      </w:r>
      <w:r>
        <w:rPr>
          <w:rFonts w:hint="eastAsia" w:ascii="Times New Roman" w:hAnsi="Times New Roman"/>
          <w:color w:val="auto"/>
          <w:highlight w:val="none"/>
          <w:lang w:eastAsia="zh-CN"/>
        </w:rPr>
        <w:t>30</w:t>
      </w:r>
      <w:r>
        <w:rPr>
          <w:color w:val="auto"/>
          <w:highlight w:val="none"/>
          <w:lang w:eastAsia="zh-CN"/>
        </w:rPr>
        <w:t xml:space="preserve"> 日内，甲方与乙方按本合同约定的取费标准完成对</w:t>
      </w:r>
      <w:r>
        <w:rPr>
          <w:rFonts w:hint="eastAsia"/>
          <w:color w:val="auto"/>
          <w:highlight w:val="none"/>
          <w:lang w:eastAsia="zh-CN"/>
        </w:rPr>
        <w:t>品牌使用</w:t>
      </w:r>
      <w:r>
        <w:rPr>
          <w:color w:val="auto"/>
          <w:highlight w:val="none"/>
          <w:lang w:eastAsia="zh-CN"/>
        </w:rPr>
        <w:t xml:space="preserve">费的结算，剩余款项由甲方在结算完成后 </w:t>
      </w:r>
      <w:r>
        <w:rPr>
          <w:rFonts w:hint="eastAsia" w:ascii="Times New Roman" w:hAnsi="Times New Roman"/>
          <w:color w:val="auto"/>
          <w:highlight w:val="none"/>
          <w:lang w:eastAsia="zh-CN"/>
        </w:rPr>
        <w:t>30</w:t>
      </w:r>
      <w:r>
        <w:rPr>
          <w:color w:val="auto"/>
          <w:highlight w:val="none"/>
          <w:lang w:eastAsia="zh-CN"/>
        </w:rPr>
        <w:t xml:space="preserve"> 日内支付给乙方。</w:t>
      </w:r>
    </w:p>
    <w:p>
      <w:pPr>
        <w:pStyle w:val="17"/>
        <w:spacing w:before="1" w:line="374" w:lineRule="auto"/>
        <w:ind w:right="978" w:firstLine="439"/>
        <w:rPr>
          <w:color w:val="auto"/>
          <w:highlight w:val="none"/>
          <w:lang w:eastAsia="zh-CN"/>
        </w:rPr>
      </w:pPr>
      <w:r>
        <w:rPr>
          <w:rFonts w:hint="eastAsia"/>
          <w:color w:val="auto"/>
          <w:highlight w:val="none"/>
          <w:lang w:eastAsia="zh-CN"/>
        </w:rPr>
        <w:t>（</w:t>
      </w:r>
      <w:r>
        <w:rPr>
          <w:rFonts w:hint="eastAsia" w:ascii="Times New Roman" w:hAnsi="Times New Roman"/>
          <w:color w:val="auto"/>
          <w:highlight w:val="none"/>
          <w:lang w:eastAsia="zh-CN"/>
        </w:rPr>
        <w:t>2</w:t>
      </w:r>
      <w:r>
        <w:rPr>
          <w:color w:val="auto"/>
          <w:highlight w:val="none"/>
          <w:lang w:eastAsia="zh-CN"/>
        </w:rPr>
        <w:t>）</w:t>
      </w:r>
      <w:r>
        <w:rPr>
          <w:rFonts w:hint="eastAsia"/>
          <w:color w:val="auto"/>
          <w:highlight w:val="none"/>
          <w:lang w:eastAsia="zh-CN"/>
        </w:rPr>
        <w:t>开发</w:t>
      </w:r>
      <w:r>
        <w:rPr>
          <w:color w:val="auto"/>
          <w:highlight w:val="none"/>
          <w:lang w:eastAsia="zh-CN"/>
        </w:rPr>
        <w:t>管理服务期满乙方未达到销售目标的剩余部分，不计取该剩余部分</w:t>
      </w:r>
      <w:r>
        <w:rPr>
          <w:rFonts w:hint="eastAsia"/>
          <w:color w:val="auto"/>
          <w:highlight w:val="none"/>
          <w:lang w:eastAsia="zh-CN"/>
        </w:rPr>
        <w:t>品牌使用</w:t>
      </w:r>
      <w:r>
        <w:rPr>
          <w:color w:val="auto"/>
          <w:highlight w:val="none"/>
          <w:lang w:eastAsia="zh-CN"/>
        </w:rPr>
        <w:t>费。</w:t>
      </w:r>
      <w:r>
        <w:rPr>
          <w:rFonts w:hint="eastAsia"/>
          <w:color w:val="auto"/>
          <w:highlight w:val="none"/>
          <w:lang w:eastAsia="zh-CN"/>
        </w:rPr>
        <w:t>住宅去化率未达</w:t>
      </w:r>
      <w:r>
        <w:rPr>
          <w:rFonts w:hint="eastAsia" w:ascii="Times New Roman" w:hAnsi="Times New Roman"/>
          <w:color w:val="auto"/>
          <w:highlight w:val="none"/>
          <w:lang w:eastAsia="zh-CN"/>
        </w:rPr>
        <w:t>85</w:t>
      </w:r>
      <w:r>
        <w:rPr>
          <w:color w:val="auto"/>
          <w:highlight w:val="none"/>
          <w:lang w:eastAsia="zh-CN"/>
        </w:rPr>
        <w:t>%时，</w:t>
      </w:r>
      <w:r>
        <w:rPr>
          <w:rFonts w:hint="eastAsia"/>
          <w:color w:val="auto"/>
          <w:highlight w:val="none"/>
          <w:lang w:eastAsia="zh-CN"/>
        </w:rPr>
        <w:t>达到</w:t>
      </w:r>
      <w:r>
        <w:rPr>
          <w:rFonts w:hint="eastAsia" w:ascii="Times New Roman" w:hAnsi="Times New Roman"/>
          <w:color w:val="auto"/>
          <w:highlight w:val="none"/>
          <w:lang w:eastAsia="zh-CN"/>
        </w:rPr>
        <w:t>70</w:t>
      </w:r>
      <w:r>
        <w:rPr>
          <w:color w:val="auto"/>
          <w:highlight w:val="none"/>
          <w:lang w:eastAsia="zh-CN"/>
        </w:rPr>
        <w:t>%</w:t>
      </w:r>
      <w:r>
        <w:rPr>
          <w:rFonts w:hint="eastAsia"/>
          <w:color w:val="auto"/>
          <w:highlight w:val="none"/>
          <w:lang w:eastAsia="zh-CN"/>
        </w:rPr>
        <w:t>（含）</w:t>
      </w:r>
      <w:r>
        <w:rPr>
          <w:color w:val="auto"/>
          <w:highlight w:val="none"/>
          <w:lang w:eastAsia="zh-CN"/>
        </w:rPr>
        <w:t>-</w:t>
      </w:r>
      <w:r>
        <w:rPr>
          <w:rFonts w:hint="eastAsia" w:ascii="Times New Roman" w:hAnsi="Times New Roman"/>
          <w:color w:val="auto"/>
          <w:highlight w:val="none"/>
          <w:lang w:eastAsia="zh-CN"/>
        </w:rPr>
        <w:t>85</w:t>
      </w:r>
      <w:r>
        <w:rPr>
          <w:color w:val="auto"/>
          <w:highlight w:val="none"/>
          <w:lang w:eastAsia="zh-CN"/>
        </w:rPr>
        <w:t>%（不含）</w:t>
      </w:r>
      <w:r>
        <w:rPr>
          <w:rFonts w:hint="eastAsia"/>
          <w:color w:val="auto"/>
          <w:highlight w:val="none"/>
          <w:lang w:eastAsia="zh-CN"/>
        </w:rPr>
        <w:t>时，扣除履约保证金</w:t>
      </w:r>
      <w:r>
        <w:rPr>
          <w:rFonts w:hint="eastAsia" w:ascii="Times New Roman" w:hAnsi="Times New Roman"/>
          <w:color w:val="auto"/>
          <w:highlight w:val="none"/>
          <w:lang w:eastAsia="zh-CN"/>
        </w:rPr>
        <w:t>50</w:t>
      </w:r>
      <w:r>
        <w:rPr>
          <w:rFonts w:hint="eastAsia"/>
          <w:color w:val="auto"/>
          <w:highlight w:val="none"/>
          <w:lang w:eastAsia="zh-CN"/>
        </w:rPr>
        <w:t>万元；达到</w:t>
      </w:r>
      <w:r>
        <w:rPr>
          <w:rFonts w:hint="eastAsia" w:ascii="Times New Roman" w:hAnsi="Times New Roman"/>
          <w:color w:val="auto"/>
          <w:highlight w:val="none"/>
          <w:lang w:eastAsia="zh-CN"/>
        </w:rPr>
        <w:t>50</w:t>
      </w:r>
      <w:r>
        <w:rPr>
          <w:color w:val="auto"/>
          <w:highlight w:val="none"/>
          <w:lang w:eastAsia="zh-CN"/>
        </w:rPr>
        <w:t>%（含）-</w:t>
      </w:r>
      <w:r>
        <w:rPr>
          <w:rFonts w:hint="eastAsia" w:ascii="Times New Roman" w:hAnsi="Times New Roman"/>
          <w:color w:val="auto"/>
          <w:highlight w:val="none"/>
          <w:lang w:eastAsia="zh-CN"/>
        </w:rPr>
        <w:t>70</w:t>
      </w:r>
      <w:r>
        <w:rPr>
          <w:color w:val="auto"/>
          <w:highlight w:val="none"/>
          <w:lang w:eastAsia="zh-CN"/>
        </w:rPr>
        <w:t>%（不含）</w:t>
      </w:r>
      <w:r>
        <w:rPr>
          <w:rFonts w:hint="eastAsia"/>
          <w:color w:val="auto"/>
          <w:highlight w:val="none"/>
          <w:lang w:eastAsia="zh-CN"/>
        </w:rPr>
        <w:t>时，</w:t>
      </w:r>
      <w:r>
        <w:rPr>
          <w:color w:val="auto"/>
          <w:highlight w:val="none"/>
          <w:lang w:eastAsia="zh-CN"/>
        </w:rPr>
        <w:t>扣除履约保证金</w:t>
      </w:r>
      <w:r>
        <w:rPr>
          <w:rFonts w:hint="eastAsia" w:ascii="Times New Roman" w:hAnsi="Times New Roman"/>
          <w:color w:val="auto"/>
          <w:highlight w:val="none"/>
          <w:lang w:eastAsia="zh-CN"/>
        </w:rPr>
        <w:t>100</w:t>
      </w:r>
      <w:r>
        <w:rPr>
          <w:rFonts w:hint="eastAsia"/>
          <w:color w:val="auto"/>
          <w:highlight w:val="none"/>
          <w:lang w:eastAsia="zh-CN"/>
        </w:rPr>
        <w:t>万元；小于</w:t>
      </w:r>
      <w:r>
        <w:rPr>
          <w:rFonts w:hint="eastAsia" w:ascii="Times New Roman" w:hAnsi="Times New Roman"/>
          <w:color w:val="auto"/>
          <w:highlight w:val="none"/>
          <w:lang w:eastAsia="zh-CN"/>
        </w:rPr>
        <w:t>50</w:t>
      </w:r>
      <w:r>
        <w:rPr>
          <w:color w:val="auto"/>
          <w:highlight w:val="none"/>
          <w:lang w:eastAsia="zh-CN"/>
        </w:rPr>
        <w:t>%（不含）</w:t>
      </w:r>
      <w:r>
        <w:rPr>
          <w:rFonts w:hint="eastAsia"/>
          <w:color w:val="auto"/>
          <w:highlight w:val="none"/>
          <w:lang w:eastAsia="zh-CN"/>
        </w:rPr>
        <w:t>时</w:t>
      </w:r>
      <w:r>
        <w:rPr>
          <w:color w:val="auto"/>
          <w:highlight w:val="none"/>
          <w:lang w:eastAsia="zh-CN"/>
        </w:rPr>
        <w:t>扣除履约保证金</w:t>
      </w:r>
      <w:r>
        <w:rPr>
          <w:rFonts w:hint="eastAsia" w:ascii="Times New Roman" w:hAnsi="Times New Roman"/>
          <w:color w:val="auto"/>
          <w:highlight w:val="none"/>
          <w:lang w:eastAsia="zh-CN"/>
        </w:rPr>
        <w:t>150</w:t>
      </w:r>
      <w:r>
        <w:rPr>
          <w:color w:val="auto"/>
          <w:highlight w:val="none"/>
          <w:lang w:eastAsia="zh-CN"/>
        </w:rPr>
        <w:t>万元</w:t>
      </w:r>
      <w:r>
        <w:rPr>
          <w:rFonts w:hint="eastAsia"/>
          <w:color w:val="auto"/>
          <w:highlight w:val="none"/>
          <w:lang w:eastAsia="zh-CN"/>
        </w:rPr>
        <w:t>。</w:t>
      </w:r>
    </w:p>
    <w:p>
      <w:pPr>
        <w:pStyle w:val="13"/>
        <w:spacing w:line="374" w:lineRule="auto"/>
        <w:ind w:left="0" w:leftChars="0" w:firstLine="211" w:firstLineChars="100"/>
        <w:rPr>
          <w:color w:val="auto"/>
          <w:highlight w:val="none"/>
          <w:lang w:eastAsia="zh-CN"/>
        </w:rPr>
      </w:pPr>
      <w:r>
        <w:rPr>
          <w:color w:val="auto"/>
          <w:highlight w:val="none"/>
          <w:lang w:eastAsia="zh-CN"/>
        </w:rPr>
        <w:t>（</w:t>
      </w:r>
      <w:r>
        <w:rPr>
          <w:rFonts w:hint="eastAsia"/>
          <w:color w:val="auto"/>
          <w:highlight w:val="none"/>
          <w:lang w:val="en-US" w:eastAsia="zh-CN"/>
        </w:rPr>
        <w:t>四</w:t>
      </w:r>
      <w:r>
        <w:rPr>
          <w:color w:val="auto"/>
          <w:highlight w:val="none"/>
          <w:lang w:eastAsia="zh-CN"/>
        </w:rPr>
        <w:t>）</w:t>
      </w:r>
      <w:r>
        <w:rPr>
          <w:rFonts w:hint="eastAsia"/>
          <w:color w:val="auto"/>
          <w:highlight w:val="none"/>
          <w:lang w:eastAsia="zh-CN"/>
        </w:rPr>
        <w:t>预付款和履约保证金</w:t>
      </w:r>
    </w:p>
    <w:p>
      <w:pPr>
        <w:pStyle w:val="17"/>
        <w:keepNext w:val="0"/>
        <w:keepLines w:val="0"/>
        <w:pageBreakBefore w:val="0"/>
        <w:widowControl w:val="0"/>
        <w:kinsoku/>
        <w:wordWrap/>
        <w:overflowPunct/>
        <w:topLinePunct w:val="0"/>
        <w:autoSpaceDE/>
        <w:autoSpaceDN/>
        <w:bidi w:val="0"/>
        <w:adjustRightInd/>
        <w:snapToGrid/>
        <w:spacing w:after="0" w:line="360" w:lineRule="auto"/>
        <w:ind w:right="0" w:firstLine="420" w:firstLineChars="200"/>
        <w:textAlignment w:val="auto"/>
        <w:rPr>
          <w:rFonts w:hint="eastAsia"/>
          <w:color w:val="auto"/>
          <w:highlight w:val="none"/>
          <w:lang w:eastAsia="zh-CN"/>
        </w:rPr>
      </w:pPr>
      <w:r>
        <w:rPr>
          <w:rFonts w:hint="eastAsia" w:ascii="Times New Roman" w:hAnsi="Times New Roman"/>
          <w:color w:val="auto"/>
          <w:highlight w:val="none"/>
          <w:lang w:eastAsia="zh-CN"/>
        </w:rPr>
        <w:t>1</w:t>
      </w:r>
      <w:r>
        <w:rPr>
          <w:color w:val="auto"/>
          <w:highlight w:val="none"/>
          <w:lang w:eastAsia="zh-CN"/>
        </w:rPr>
        <w:t xml:space="preserve">、本合同签订后 </w:t>
      </w:r>
      <w:r>
        <w:rPr>
          <w:rFonts w:hint="eastAsia" w:ascii="Times New Roman" w:hAnsi="Times New Roman"/>
          <w:color w:val="auto"/>
          <w:highlight w:val="none"/>
          <w:lang w:eastAsia="zh-CN"/>
        </w:rPr>
        <w:t>10</w:t>
      </w:r>
      <w:r>
        <w:rPr>
          <w:color w:val="auto"/>
          <w:highlight w:val="none"/>
          <w:lang w:eastAsia="zh-CN"/>
        </w:rPr>
        <w:t xml:space="preserve"> 日内，甲方向乙方支付人民币【</w:t>
      </w:r>
      <w:r>
        <w:rPr>
          <w:rFonts w:hint="eastAsia"/>
          <w:color w:val="auto"/>
          <w:highlight w:val="none"/>
          <w:lang w:val="en-US" w:eastAsia="zh-CN"/>
        </w:rPr>
        <w:t>贰佰</w:t>
      </w:r>
      <w:r>
        <w:rPr>
          <w:color w:val="auto"/>
          <w:highlight w:val="none"/>
          <w:lang w:eastAsia="zh-CN"/>
        </w:rPr>
        <w:t>】万元（</w:t>
      </w:r>
      <w:r>
        <w:rPr>
          <w:rFonts w:hint="eastAsia" w:ascii="Times New Roman" w:hAnsi="Times New Roman"/>
          <w:color w:val="auto"/>
          <w:highlight w:val="none"/>
          <w:lang w:eastAsia="zh-CN"/>
        </w:rPr>
        <w:t>RMB</w:t>
      </w:r>
      <w:r>
        <w:rPr>
          <w:rFonts w:hint="eastAsia" w:ascii="Times New Roman" w:hAnsi="Times New Roman"/>
          <w:color w:val="auto"/>
          <w:highlight w:val="none"/>
          <w:lang w:val="en-US" w:eastAsia="zh-CN"/>
        </w:rPr>
        <w:t>200</w:t>
      </w:r>
      <w:r>
        <w:rPr>
          <w:rFonts w:hint="eastAsia"/>
          <w:color w:val="auto"/>
          <w:highlight w:val="none"/>
          <w:lang w:val="en-US" w:eastAsia="zh-CN"/>
        </w:rPr>
        <w:t>万元</w:t>
      </w:r>
      <w:r>
        <w:rPr>
          <w:color w:val="auto"/>
          <w:highlight w:val="none"/>
          <w:lang w:eastAsia="zh-CN"/>
        </w:rPr>
        <w:t>）作为</w:t>
      </w:r>
      <w:r>
        <w:rPr>
          <w:rFonts w:hint="eastAsia"/>
          <w:color w:val="auto"/>
          <w:highlight w:val="none"/>
          <w:lang w:eastAsia="zh-CN"/>
        </w:rPr>
        <w:t>预付款</w:t>
      </w:r>
      <w:r>
        <w:rPr>
          <w:color w:val="auto"/>
          <w:spacing w:val="-6"/>
          <w:highlight w:val="none"/>
          <w:lang w:eastAsia="zh-CN"/>
        </w:rPr>
        <w:t>。该</w:t>
      </w:r>
      <w:r>
        <w:rPr>
          <w:rFonts w:hint="eastAsia"/>
          <w:color w:val="auto"/>
          <w:spacing w:val="-6"/>
          <w:highlight w:val="none"/>
          <w:lang w:eastAsia="zh-CN"/>
        </w:rPr>
        <w:t>预付款</w:t>
      </w:r>
      <w:r>
        <w:rPr>
          <w:color w:val="auto"/>
          <w:spacing w:val="-6"/>
          <w:highlight w:val="none"/>
          <w:lang w:eastAsia="zh-CN"/>
        </w:rPr>
        <w:t xml:space="preserve">不计利息，在销售回款到账满 </w:t>
      </w:r>
      <w:r>
        <w:rPr>
          <w:rFonts w:hint="eastAsia" w:ascii="Times New Roman" w:hAnsi="Times New Roman"/>
          <w:color w:val="auto"/>
          <w:highlight w:val="none"/>
          <w:lang w:eastAsia="zh-CN"/>
        </w:rPr>
        <w:t>4</w:t>
      </w:r>
      <w:r>
        <w:rPr>
          <w:color w:val="auto"/>
          <w:spacing w:val="-19"/>
          <w:highlight w:val="none"/>
          <w:lang w:eastAsia="zh-CN"/>
        </w:rPr>
        <w:t>亿元</w:t>
      </w:r>
      <w:r>
        <w:rPr>
          <w:color w:val="auto"/>
          <w:highlight w:val="none"/>
          <w:lang w:eastAsia="zh-CN"/>
        </w:rPr>
        <w:t>（</w:t>
      </w:r>
      <w:r>
        <w:rPr>
          <w:color w:val="auto"/>
          <w:spacing w:val="-3"/>
          <w:highlight w:val="none"/>
          <w:lang w:eastAsia="zh-CN"/>
        </w:rPr>
        <w:t>以回款到账资金为准</w:t>
      </w:r>
      <w:r>
        <w:rPr>
          <w:color w:val="auto"/>
          <w:highlight w:val="none"/>
          <w:lang w:eastAsia="zh-CN"/>
        </w:rPr>
        <w:t>）</w:t>
      </w:r>
      <w:r>
        <w:rPr>
          <w:color w:val="auto"/>
          <w:spacing w:val="-3"/>
          <w:highlight w:val="none"/>
          <w:lang w:eastAsia="zh-CN"/>
        </w:rPr>
        <w:t>后进行抵扣， 在到期按约应支付的与</w:t>
      </w:r>
      <w:r>
        <w:rPr>
          <w:rFonts w:hint="eastAsia"/>
          <w:color w:val="auto"/>
          <w:spacing w:val="-3"/>
          <w:highlight w:val="none"/>
          <w:lang w:eastAsia="zh-CN"/>
        </w:rPr>
        <w:t>按销售额计取的品牌使用费</w:t>
      </w:r>
      <w:r>
        <w:rPr>
          <w:color w:val="auto"/>
          <w:spacing w:val="-3"/>
          <w:highlight w:val="none"/>
          <w:lang w:eastAsia="zh-CN"/>
        </w:rPr>
        <w:t>中抵扣上述</w:t>
      </w:r>
      <w:r>
        <w:rPr>
          <w:rFonts w:hint="eastAsia"/>
          <w:color w:val="auto"/>
          <w:spacing w:val="-3"/>
          <w:highlight w:val="none"/>
          <w:lang w:eastAsia="zh-CN"/>
        </w:rPr>
        <w:t>预付款</w:t>
      </w:r>
      <w:r>
        <w:rPr>
          <w:color w:val="auto"/>
          <w:spacing w:val="-3"/>
          <w:highlight w:val="none"/>
          <w:lang w:eastAsia="zh-CN"/>
        </w:rPr>
        <w:t>，扣完为止。</w:t>
      </w:r>
    </w:p>
    <w:p>
      <w:pPr>
        <w:pStyle w:val="17"/>
        <w:spacing w:line="374" w:lineRule="auto"/>
        <w:ind w:firstLine="420" w:firstLineChars="200"/>
        <w:rPr>
          <w:color w:val="auto"/>
          <w:highlight w:val="none"/>
          <w:lang w:eastAsia="zh-CN"/>
        </w:rPr>
      </w:pPr>
      <w:r>
        <w:rPr>
          <w:rFonts w:hint="eastAsia" w:ascii="Times New Roman" w:hAnsi="Times New Roman"/>
          <w:color w:val="auto"/>
          <w:highlight w:val="none"/>
          <w:lang w:eastAsia="zh-CN"/>
        </w:rPr>
        <w:t>2</w:t>
      </w:r>
      <w:r>
        <w:rPr>
          <w:color w:val="auto"/>
          <w:highlight w:val="none"/>
          <w:lang w:eastAsia="zh-CN"/>
        </w:rPr>
        <w:t xml:space="preserve">、乙方在签订合同后 </w:t>
      </w:r>
      <w:r>
        <w:rPr>
          <w:rFonts w:hint="eastAsia" w:ascii="Times New Roman" w:hAnsi="Times New Roman"/>
          <w:color w:val="auto"/>
          <w:highlight w:val="none"/>
          <w:lang w:eastAsia="zh-CN"/>
        </w:rPr>
        <w:t>10</w:t>
      </w:r>
      <w:r>
        <w:rPr>
          <w:color w:val="auto"/>
          <w:highlight w:val="none"/>
          <w:lang w:eastAsia="zh-CN"/>
        </w:rPr>
        <w:t xml:space="preserve"> 日内，应当向甲方提交履约保证金【</w:t>
      </w:r>
      <w:r>
        <w:rPr>
          <w:rFonts w:hint="eastAsia"/>
          <w:color w:val="auto"/>
          <w:highlight w:val="none"/>
          <w:lang w:val="en-US" w:eastAsia="zh-CN"/>
        </w:rPr>
        <w:t>伍佰</w:t>
      </w:r>
      <w:r>
        <w:rPr>
          <w:color w:val="auto"/>
          <w:highlight w:val="none"/>
          <w:lang w:eastAsia="zh-CN"/>
        </w:rPr>
        <w:t>】万元整（</w:t>
      </w:r>
      <w:r>
        <w:rPr>
          <w:rFonts w:hint="eastAsia" w:ascii="Times New Roman" w:hAnsi="Times New Roman"/>
          <w:color w:val="auto"/>
          <w:highlight w:val="none"/>
          <w:lang w:eastAsia="zh-CN"/>
        </w:rPr>
        <w:t>RMB</w:t>
      </w:r>
      <w:r>
        <w:rPr>
          <w:rFonts w:hint="eastAsia" w:ascii="Times New Roman" w:hAnsi="Times New Roman"/>
          <w:color w:val="auto"/>
          <w:highlight w:val="none"/>
          <w:lang w:val="en-US" w:eastAsia="zh-CN"/>
        </w:rPr>
        <w:t>500</w:t>
      </w:r>
      <w:r>
        <w:rPr>
          <w:rFonts w:hint="eastAsia"/>
          <w:color w:val="auto"/>
          <w:highlight w:val="none"/>
          <w:lang w:val="en-US" w:eastAsia="zh-CN"/>
        </w:rPr>
        <w:t>万元</w:t>
      </w:r>
      <w:r>
        <w:rPr>
          <w:color w:val="auto"/>
          <w:highlight w:val="none"/>
          <w:lang w:eastAsia="zh-CN"/>
        </w:rPr>
        <w:t>）（保证金应当以支票、汇票、本票或者金融机构、担保机构出具的保函（见索即付）等非现金形式提交。履约保证金在乙方按合同约定完成</w:t>
      </w:r>
      <w:r>
        <w:rPr>
          <w:rFonts w:hint="eastAsia"/>
          <w:color w:val="auto"/>
          <w:highlight w:val="none"/>
          <w:lang w:eastAsia="zh-CN"/>
        </w:rPr>
        <w:t>开发管理服务</w:t>
      </w:r>
      <w:r>
        <w:rPr>
          <w:color w:val="auto"/>
          <w:highlight w:val="none"/>
          <w:lang w:eastAsia="zh-CN"/>
        </w:rPr>
        <w:t xml:space="preserve">后 </w:t>
      </w:r>
      <w:r>
        <w:rPr>
          <w:rFonts w:hint="eastAsia" w:ascii="Times New Roman" w:hAnsi="Times New Roman"/>
          <w:color w:val="auto"/>
          <w:highlight w:val="none"/>
          <w:lang w:eastAsia="zh-CN"/>
        </w:rPr>
        <w:t>30</w:t>
      </w:r>
      <w:r>
        <w:rPr>
          <w:color w:val="auto"/>
          <w:highlight w:val="none"/>
          <w:lang w:eastAsia="zh-CN"/>
        </w:rPr>
        <w:t xml:space="preserve"> 天内不计息退还。</w:t>
      </w:r>
    </w:p>
    <w:p>
      <w:pPr>
        <w:pStyle w:val="13"/>
        <w:spacing w:line="374" w:lineRule="auto"/>
        <w:rPr>
          <w:color w:val="auto"/>
          <w:highlight w:val="none"/>
          <w:lang w:eastAsia="zh-CN"/>
        </w:rPr>
      </w:pPr>
      <w:r>
        <w:rPr>
          <w:color w:val="auto"/>
          <w:highlight w:val="none"/>
          <w:lang w:eastAsia="zh-CN"/>
        </w:rPr>
        <w:t>第六条 其他事项</w:t>
      </w:r>
    </w:p>
    <w:p>
      <w:pPr>
        <w:pStyle w:val="17"/>
        <w:spacing w:before="158" w:line="376" w:lineRule="auto"/>
        <w:ind w:right="867" w:firstLine="420" w:firstLineChars="200"/>
        <w:rPr>
          <w:color w:val="auto"/>
          <w:highlight w:val="none"/>
          <w:lang w:eastAsia="zh-CN"/>
        </w:rPr>
      </w:pPr>
      <w:r>
        <w:rPr>
          <w:rFonts w:hint="eastAsia" w:ascii="Times New Roman" w:hAnsi="Times New Roman"/>
          <w:color w:val="auto"/>
          <w:highlight w:val="none"/>
          <w:lang w:eastAsia="zh-CN"/>
        </w:rPr>
        <w:t>1</w:t>
      </w:r>
      <w:r>
        <w:rPr>
          <w:color w:val="auto"/>
          <w:highlight w:val="none"/>
          <w:lang w:eastAsia="zh-CN"/>
        </w:rPr>
        <w:t>、本合同中的[第一部分 协议书]、［第二部分 合同条件］、［第三部分 合同附件］为本合同的有机组成部分，不可分割，具有同等法律效力。</w:t>
      </w:r>
    </w:p>
    <w:p>
      <w:pPr>
        <w:pStyle w:val="17"/>
        <w:spacing w:before="50"/>
        <w:ind w:firstLine="420" w:firstLineChars="200"/>
        <w:rPr>
          <w:color w:val="auto"/>
          <w:highlight w:val="none"/>
        </w:rPr>
      </w:pPr>
      <w:r>
        <w:rPr>
          <w:rFonts w:hint="eastAsia" w:ascii="Times New Roman" w:hAnsi="Times New Roman"/>
          <w:color w:val="auto"/>
          <w:highlight w:val="none"/>
          <w:lang w:eastAsia="zh-CN"/>
        </w:rPr>
        <w:t>2</w:t>
      </w:r>
      <w:r>
        <w:rPr>
          <w:color w:val="auto"/>
          <w:highlight w:val="none"/>
          <w:lang w:eastAsia="zh-CN"/>
        </w:rPr>
        <w:t>、本合同一式【陆】份，甲方执【叁】份，乙方执【叁】份，各文本具有同等法</w:t>
      </w:r>
      <w:r>
        <w:rPr>
          <w:color w:val="auto"/>
          <w:highlight w:val="none"/>
        </w:rPr>
        <w:t>律效力。</w:t>
      </w:r>
    </w:p>
    <w:p>
      <w:pPr>
        <w:pStyle w:val="17"/>
        <w:spacing w:line="278" w:lineRule="exact"/>
        <w:ind w:left="1260"/>
        <w:rPr>
          <w:color w:val="auto"/>
          <w:highlight w:val="none"/>
          <w:lang w:eastAsia="zh-CN"/>
        </w:rPr>
      </w:pPr>
    </w:p>
    <w:p>
      <w:pPr>
        <w:spacing w:line="278" w:lineRule="exact"/>
        <w:rPr>
          <w:color w:val="auto"/>
          <w:highlight w:val="none"/>
          <w:lang w:eastAsia="zh-CN"/>
        </w:rPr>
        <w:sectPr>
          <w:footerReference r:id="rId6" w:type="default"/>
          <w:pgSz w:w="11849" w:h="16792"/>
          <w:pgMar w:top="1417" w:right="850" w:bottom="1417" w:left="850" w:header="850" w:footer="850" w:gutter="0"/>
          <w:pgBorders>
            <w:top w:val="none" w:sz="0" w:space="0"/>
            <w:left w:val="none" w:sz="0" w:space="0"/>
            <w:bottom w:val="none" w:sz="0" w:space="0"/>
            <w:right w:val="none" w:sz="0" w:space="0"/>
          </w:pgBorders>
          <w:pgNumType w:fmt="decimal"/>
          <w:cols w:space="0" w:num="1"/>
          <w:rtlGutter w:val="0"/>
          <w:docGrid w:linePitch="0" w:charSpace="0"/>
        </w:sectPr>
      </w:pPr>
    </w:p>
    <w:p>
      <w:pPr>
        <w:pStyle w:val="17"/>
        <w:ind w:left="0"/>
        <w:rPr>
          <w:color w:val="auto"/>
          <w:highlight w:val="none"/>
        </w:rPr>
      </w:pPr>
    </w:p>
    <w:p>
      <w:pPr>
        <w:pStyle w:val="17"/>
        <w:ind w:left="0"/>
        <w:rPr>
          <w:color w:val="auto"/>
          <w:highlight w:val="none"/>
        </w:rPr>
      </w:pPr>
    </w:p>
    <w:p>
      <w:pPr>
        <w:pStyle w:val="17"/>
        <w:ind w:left="0"/>
        <w:rPr>
          <w:color w:val="auto"/>
          <w:highlight w:val="none"/>
        </w:rPr>
      </w:pPr>
    </w:p>
    <w:p>
      <w:pPr>
        <w:pStyle w:val="13"/>
        <w:tabs>
          <w:tab w:val="left" w:pos="6892"/>
        </w:tabs>
        <w:spacing w:before="193"/>
        <w:rPr>
          <w:color w:val="auto"/>
          <w:highlight w:val="none"/>
        </w:rPr>
      </w:pPr>
      <w:r>
        <w:rPr>
          <w:color w:val="auto"/>
          <w:highlight w:val="none"/>
        </w:rPr>
        <w:t>甲方：</w:t>
      </w:r>
      <w:r>
        <w:rPr>
          <w:color w:val="auto"/>
          <w:highlight w:val="none"/>
          <w:u w:val="single"/>
        </w:rPr>
        <w:t xml:space="preserve"> </w:t>
      </w:r>
      <w:r>
        <w:rPr>
          <w:color w:val="auto"/>
          <w:highlight w:val="none"/>
          <w:u w:val="single"/>
        </w:rPr>
        <w:tab/>
      </w:r>
      <w:r>
        <w:rPr>
          <w:color w:val="auto"/>
          <w:highlight w:val="none"/>
        </w:rPr>
        <w:t>（公章）</w:t>
      </w:r>
    </w:p>
    <w:p>
      <w:pPr>
        <w:pStyle w:val="17"/>
        <w:ind w:left="0"/>
        <w:rPr>
          <w:b/>
          <w:color w:val="auto"/>
          <w:sz w:val="24"/>
          <w:highlight w:val="none"/>
        </w:rPr>
      </w:pPr>
    </w:p>
    <w:p>
      <w:pPr>
        <w:pStyle w:val="17"/>
        <w:spacing w:before="7"/>
        <w:ind w:left="0"/>
        <w:rPr>
          <w:b/>
          <w:color w:val="auto"/>
          <w:highlight w:val="none"/>
        </w:rPr>
      </w:pPr>
    </w:p>
    <w:p>
      <w:pPr>
        <w:pStyle w:val="17"/>
        <w:tabs>
          <w:tab w:val="left" w:pos="7033"/>
        </w:tabs>
        <w:spacing w:line="376" w:lineRule="auto"/>
        <w:ind w:left="1260" w:right="3015"/>
        <w:rPr>
          <w:color w:val="auto"/>
          <w:highlight w:val="none"/>
          <w:lang w:eastAsia="zh-CN"/>
        </w:rPr>
      </w:pPr>
      <w:r>
        <w:rPr>
          <w:color w:val="auto"/>
          <w:spacing w:val="-2"/>
          <w:highlight w:val="none"/>
          <w:lang w:eastAsia="zh-CN"/>
        </w:rPr>
        <w:t>法</w:t>
      </w:r>
      <w:r>
        <w:rPr>
          <w:color w:val="auto"/>
          <w:spacing w:val="-3"/>
          <w:highlight w:val="none"/>
          <w:lang w:eastAsia="zh-CN"/>
        </w:rPr>
        <w:t>定</w:t>
      </w:r>
      <w:r>
        <w:rPr>
          <w:color w:val="auto"/>
          <w:spacing w:val="-2"/>
          <w:highlight w:val="none"/>
          <w:lang w:eastAsia="zh-CN"/>
        </w:rPr>
        <w:t>代</w:t>
      </w:r>
      <w:r>
        <w:rPr>
          <w:color w:val="auto"/>
          <w:spacing w:val="-1"/>
          <w:highlight w:val="none"/>
          <w:lang w:eastAsia="zh-CN"/>
        </w:rPr>
        <w:t>表</w:t>
      </w:r>
      <w:r>
        <w:rPr>
          <w:color w:val="auto"/>
          <w:spacing w:val="-3"/>
          <w:highlight w:val="none"/>
          <w:lang w:eastAsia="zh-CN"/>
        </w:rPr>
        <w:t>人</w:t>
      </w:r>
      <w:r>
        <w:rPr>
          <w:color w:val="auto"/>
          <w:spacing w:val="-1"/>
          <w:highlight w:val="none"/>
          <w:lang w:eastAsia="zh-CN"/>
        </w:rPr>
        <w:t>或授</w:t>
      </w:r>
      <w:r>
        <w:rPr>
          <w:color w:val="auto"/>
          <w:spacing w:val="-3"/>
          <w:highlight w:val="none"/>
          <w:lang w:eastAsia="zh-CN"/>
        </w:rPr>
        <w:t>权</w:t>
      </w:r>
      <w:r>
        <w:rPr>
          <w:color w:val="auto"/>
          <w:spacing w:val="-1"/>
          <w:highlight w:val="none"/>
          <w:lang w:eastAsia="zh-CN"/>
        </w:rPr>
        <w:t>代表</w:t>
      </w:r>
      <w:r>
        <w:rPr>
          <w:color w:val="auto"/>
          <w:spacing w:val="-3"/>
          <w:highlight w:val="none"/>
          <w:lang w:eastAsia="zh-CN"/>
        </w:rPr>
        <w:t>（</w:t>
      </w:r>
      <w:r>
        <w:rPr>
          <w:color w:val="auto"/>
          <w:spacing w:val="-1"/>
          <w:highlight w:val="none"/>
          <w:lang w:eastAsia="zh-CN"/>
        </w:rPr>
        <w:t>签字）：</w:t>
      </w:r>
      <w:r>
        <w:rPr>
          <w:color w:val="auto"/>
          <w:spacing w:val="-1"/>
          <w:highlight w:val="none"/>
          <w:u w:val="single"/>
          <w:lang w:eastAsia="zh-CN"/>
        </w:rPr>
        <w:tab/>
      </w:r>
      <w:r>
        <w:rPr>
          <w:color w:val="auto"/>
          <w:highlight w:val="none"/>
          <w:u w:val="single"/>
          <w:lang w:eastAsia="zh-CN"/>
        </w:rPr>
        <w:t xml:space="preserve"> </w:t>
      </w:r>
      <w:r>
        <w:rPr>
          <w:color w:val="auto"/>
          <w:highlight w:val="none"/>
          <w:lang w:eastAsia="zh-CN"/>
        </w:rPr>
        <w:t>开</w:t>
      </w:r>
      <w:r>
        <w:rPr>
          <w:color w:val="auto"/>
          <w:spacing w:val="-3"/>
          <w:highlight w:val="none"/>
          <w:lang w:eastAsia="zh-CN"/>
        </w:rPr>
        <w:t>户</w:t>
      </w:r>
      <w:r>
        <w:rPr>
          <w:color w:val="auto"/>
          <w:highlight w:val="none"/>
          <w:lang w:eastAsia="zh-CN"/>
        </w:rPr>
        <w:t>银行：</w:t>
      </w:r>
    </w:p>
    <w:p>
      <w:pPr>
        <w:pStyle w:val="17"/>
        <w:spacing w:line="278" w:lineRule="exact"/>
        <w:ind w:left="1260"/>
        <w:rPr>
          <w:color w:val="auto"/>
          <w:highlight w:val="none"/>
          <w:lang w:eastAsia="zh-CN"/>
        </w:rPr>
      </w:pPr>
      <w:r>
        <w:rPr>
          <w:color w:val="auto"/>
          <w:highlight w:val="none"/>
          <w:lang w:eastAsia="zh-CN"/>
        </w:rPr>
        <w:t>账号：</w:t>
      </w:r>
    </w:p>
    <w:p>
      <w:pPr>
        <w:pStyle w:val="17"/>
        <w:tabs>
          <w:tab w:val="left" w:pos="4286"/>
        </w:tabs>
        <w:spacing w:before="157"/>
        <w:ind w:left="1260"/>
        <w:rPr>
          <w:rFonts w:ascii="Times New Roman" w:eastAsia="Times New Roman"/>
          <w:color w:val="auto"/>
          <w:highlight w:val="none"/>
          <w:lang w:eastAsia="zh-CN"/>
        </w:rPr>
      </w:pPr>
      <w:r>
        <w:rPr>
          <w:color w:val="auto"/>
          <w:spacing w:val="-1"/>
          <w:highlight w:val="none"/>
          <w:lang w:eastAsia="zh-CN"/>
        </w:rPr>
        <w:t>电</w:t>
      </w:r>
      <w:r>
        <w:rPr>
          <w:color w:val="auto"/>
          <w:spacing w:val="-3"/>
          <w:highlight w:val="none"/>
          <w:lang w:eastAsia="zh-CN"/>
        </w:rPr>
        <w:t>话</w:t>
      </w:r>
      <w:r>
        <w:rPr>
          <w:color w:val="auto"/>
          <w:spacing w:val="-1"/>
          <w:highlight w:val="none"/>
          <w:lang w:eastAsia="zh-CN"/>
        </w:rPr>
        <w:t>：</w:t>
      </w:r>
      <w:r>
        <w:rPr>
          <w:rFonts w:ascii="Times New Roman" w:eastAsia="Times New Roman"/>
          <w:color w:val="auto"/>
          <w:highlight w:val="none"/>
          <w:u w:val="single"/>
          <w:lang w:eastAsia="zh-CN"/>
        </w:rPr>
        <w:t xml:space="preserve"> </w:t>
      </w:r>
      <w:r>
        <w:rPr>
          <w:rFonts w:ascii="Times New Roman" w:eastAsia="Times New Roman"/>
          <w:color w:val="auto"/>
          <w:highlight w:val="none"/>
          <w:u w:val="single"/>
          <w:lang w:eastAsia="zh-CN"/>
        </w:rPr>
        <w:tab/>
      </w:r>
    </w:p>
    <w:p>
      <w:pPr>
        <w:pStyle w:val="13"/>
        <w:tabs>
          <w:tab w:val="left" w:pos="6892"/>
        </w:tabs>
        <w:spacing w:before="160"/>
        <w:rPr>
          <w:color w:val="auto"/>
          <w:highlight w:val="none"/>
          <w:lang w:eastAsia="zh-CN"/>
        </w:rPr>
      </w:pPr>
      <w:r>
        <w:rPr>
          <w:color w:val="auto"/>
          <w:highlight w:val="none"/>
          <w:lang w:eastAsia="zh-CN"/>
        </w:rPr>
        <w:t>乙方：</w:t>
      </w:r>
      <w:r>
        <w:rPr>
          <w:color w:val="auto"/>
          <w:highlight w:val="none"/>
          <w:u w:val="single"/>
          <w:lang w:eastAsia="zh-CN"/>
        </w:rPr>
        <w:t xml:space="preserve"> </w:t>
      </w:r>
      <w:r>
        <w:rPr>
          <w:color w:val="auto"/>
          <w:highlight w:val="none"/>
          <w:u w:val="single"/>
          <w:lang w:eastAsia="zh-CN"/>
        </w:rPr>
        <w:tab/>
      </w:r>
      <w:r>
        <w:rPr>
          <w:color w:val="auto"/>
          <w:highlight w:val="none"/>
          <w:lang w:eastAsia="zh-CN"/>
        </w:rPr>
        <w:t>（公章）</w:t>
      </w:r>
    </w:p>
    <w:p>
      <w:pPr>
        <w:pStyle w:val="17"/>
        <w:ind w:left="0"/>
        <w:rPr>
          <w:b/>
          <w:color w:val="auto"/>
          <w:sz w:val="24"/>
          <w:highlight w:val="none"/>
          <w:lang w:eastAsia="zh-CN"/>
        </w:rPr>
      </w:pPr>
    </w:p>
    <w:p>
      <w:pPr>
        <w:pStyle w:val="17"/>
        <w:spacing w:before="7"/>
        <w:ind w:left="0"/>
        <w:rPr>
          <w:b/>
          <w:color w:val="auto"/>
          <w:highlight w:val="none"/>
          <w:lang w:eastAsia="zh-CN"/>
        </w:rPr>
      </w:pPr>
    </w:p>
    <w:p>
      <w:pPr>
        <w:pStyle w:val="17"/>
        <w:tabs>
          <w:tab w:val="left" w:pos="7254"/>
        </w:tabs>
        <w:spacing w:line="376" w:lineRule="auto"/>
        <w:ind w:left="1260" w:right="2794"/>
        <w:rPr>
          <w:color w:val="auto"/>
          <w:highlight w:val="none"/>
          <w:lang w:eastAsia="zh-CN"/>
        </w:rPr>
      </w:pPr>
      <w:r>
        <w:rPr>
          <w:color w:val="auto"/>
          <w:spacing w:val="-2"/>
          <w:highlight w:val="none"/>
          <w:lang w:eastAsia="zh-CN"/>
        </w:rPr>
        <w:t>法</w:t>
      </w:r>
      <w:r>
        <w:rPr>
          <w:color w:val="auto"/>
          <w:spacing w:val="-3"/>
          <w:highlight w:val="none"/>
          <w:lang w:eastAsia="zh-CN"/>
        </w:rPr>
        <w:t>定</w:t>
      </w:r>
      <w:r>
        <w:rPr>
          <w:color w:val="auto"/>
          <w:spacing w:val="-2"/>
          <w:highlight w:val="none"/>
          <w:lang w:eastAsia="zh-CN"/>
        </w:rPr>
        <w:t>代</w:t>
      </w:r>
      <w:r>
        <w:rPr>
          <w:color w:val="auto"/>
          <w:spacing w:val="-1"/>
          <w:highlight w:val="none"/>
          <w:lang w:eastAsia="zh-CN"/>
        </w:rPr>
        <w:t>表</w:t>
      </w:r>
      <w:r>
        <w:rPr>
          <w:color w:val="auto"/>
          <w:spacing w:val="-3"/>
          <w:highlight w:val="none"/>
          <w:lang w:eastAsia="zh-CN"/>
        </w:rPr>
        <w:t>人</w:t>
      </w:r>
      <w:r>
        <w:rPr>
          <w:color w:val="auto"/>
          <w:spacing w:val="-1"/>
          <w:highlight w:val="none"/>
          <w:lang w:eastAsia="zh-CN"/>
        </w:rPr>
        <w:t>或授</w:t>
      </w:r>
      <w:r>
        <w:rPr>
          <w:color w:val="auto"/>
          <w:spacing w:val="-3"/>
          <w:highlight w:val="none"/>
          <w:lang w:eastAsia="zh-CN"/>
        </w:rPr>
        <w:t>权</w:t>
      </w:r>
      <w:r>
        <w:rPr>
          <w:color w:val="auto"/>
          <w:spacing w:val="-1"/>
          <w:highlight w:val="none"/>
          <w:lang w:eastAsia="zh-CN"/>
        </w:rPr>
        <w:t>代表</w:t>
      </w:r>
      <w:r>
        <w:rPr>
          <w:color w:val="auto"/>
          <w:spacing w:val="-3"/>
          <w:highlight w:val="none"/>
          <w:lang w:eastAsia="zh-CN"/>
        </w:rPr>
        <w:t>（</w:t>
      </w:r>
      <w:r>
        <w:rPr>
          <w:color w:val="auto"/>
          <w:spacing w:val="-1"/>
          <w:highlight w:val="none"/>
          <w:lang w:eastAsia="zh-CN"/>
        </w:rPr>
        <w:t>签字）：</w:t>
      </w:r>
      <w:r>
        <w:rPr>
          <w:color w:val="auto"/>
          <w:spacing w:val="-1"/>
          <w:highlight w:val="none"/>
          <w:u w:val="single"/>
          <w:lang w:eastAsia="zh-CN"/>
        </w:rPr>
        <w:tab/>
      </w:r>
      <w:r>
        <w:rPr>
          <w:color w:val="auto"/>
          <w:highlight w:val="none"/>
          <w:u w:val="single"/>
          <w:lang w:eastAsia="zh-CN"/>
        </w:rPr>
        <w:t xml:space="preserve"> </w:t>
      </w:r>
      <w:r>
        <w:rPr>
          <w:color w:val="auto"/>
          <w:highlight w:val="none"/>
          <w:lang w:eastAsia="zh-CN"/>
        </w:rPr>
        <w:t>开</w:t>
      </w:r>
      <w:r>
        <w:rPr>
          <w:color w:val="auto"/>
          <w:spacing w:val="-3"/>
          <w:highlight w:val="none"/>
          <w:lang w:eastAsia="zh-CN"/>
        </w:rPr>
        <w:t>户</w:t>
      </w:r>
      <w:r>
        <w:rPr>
          <w:color w:val="auto"/>
          <w:highlight w:val="none"/>
          <w:lang w:eastAsia="zh-CN"/>
        </w:rPr>
        <w:t>银行：</w:t>
      </w:r>
    </w:p>
    <w:p>
      <w:pPr>
        <w:pStyle w:val="17"/>
        <w:spacing w:line="374" w:lineRule="auto"/>
        <w:ind w:left="1260" w:right="8127"/>
        <w:rPr>
          <w:color w:val="auto"/>
          <w:highlight w:val="none"/>
          <w:lang w:eastAsia="zh-CN"/>
        </w:rPr>
      </w:pPr>
      <w:r>
        <w:rPr>
          <w:color w:val="auto"/>
          <w:highlight w:val="none"/>
          <w:lang w:eastAsia="zh-CN"/>
        </w:rPr>
        <w:t>账号： 电话：</w:t>
      </w:r>
    </w:p>
    <w:p>
      <w:pPr>
        <w:pStyle w:val="17"/>
        <w:ind w:left="0"/>
        <w:rPr>
          <w:color w:val="auto"/>
          <w:highlight w:val="none"/>
          <w:lang w:eastAsia="zh-CN"/>
        </w:rPr>
      </w:pPr>
    </w:p>
    <w:p>
      <w:pPr>
        <w:pStyle w:val="17"/>
        <w:tabs>
          <w:tab w:val="left" w:pos="2911"/>
          <w:tab w:val="left" w:pos="3683"/>
          <w:tab w:val="left" w:pos="4451"/>
        </w:tabs>
        <w:spacing w:before="155"/>
        <w:ind w:left="1260"/>
        <w:rPr>
          <w:color w:val="auto"/>
          <w:highlight w:val="none"/>
          <w:lang w:eastAsia="zh-CN"/>
        </w:rPr>
      </w:pPr>
      <w:r>
        <w:rPr>
          <w:color w:val="auto"/>
          <w:highlight w:val="none"/>
          <w:lang w:eastAsia="zh-CN"/>
        </w:rPr>
        <w:t>本</w:t>
      </w:r>
      <w:r>
        <w:rPr>
          <w:color w:val="auto"/>
          <w:spacing w:val="-3"/>
          <w:highlight w:val="none"/>
          <w:lang w:eastAsia="zh-CN"/>
        </w:rPr>
        <w:t>合</w:t>
      </w:r>
      <w:r>
        <w:rPr>
          <w:color w:val="auto"/>
          <w:highlight w:val="none"/>
          <w:lang w:eastAsia="zh-CN"/>
        </w:rPr>
        <w:t>同于</w:t>
      </w:r>
      <w:r>
        <w:rPr>
          <w:color w:val="auto"/>
          <w:highlight w:val="none"/>
          <w:u w:val="single"/>
          <w:lang w:eastAsia="zh-CN"/>
        </w:rPr>
        <w:t xml:space="preserve"> </w:t>
      </w:r>
      <w:r>
        <w:rPr>
          <w:color w:val="auto"/>
          <w:highlight w:val="none"/>
          <w:u w:val="single"/>
          <w:lang w:eastAsia="zh-CN"/>
        </w:rPr>
        <w:tab/>
      </w:r>
      <w:r>
        <w:rPr>
          <w:color w:val="auto"/>
          <w:highlight w:val="none"/>
          <w:lang w:eastAsia="zh-CN"/>
        </w:rPr>
        <w:t>年</w:t>
      </w:r>
      <w:r>
        <w:rPr>
          <w:color w:val="auto"/>
          <w:highlight w:val="none"/>
          <w:u w:val="single"/>
          <w:lang w:eastAsia="zh-CN"/>
        </w:rPr>
        <w:t xml:space="preserve"> </w:t>
      </w:r>
      <w:r>
        <w:rPr>
          <w:color w:val="auto"/>
          <w:highlight w:val="none"/>
          <w:u w:val="single"/>
          <w:lang w:eastAsia="zh-CN"/>
        </w:rPr>
        <w:tab/>
      </w:r>
      <w:r>
        <w:rPr>
          <w:color w:val="auto"/>
          <w:spacing w:val="-3"/>
          <w:highlight w:val="none"/>
          <w:lang w:eastAsia="zh-CN"/>
        </w:rPr>
        <w:t>月</w:t>
      </w:r>
      <w:r>
        <w:rPr>
          <w:color w:val="auto"/>
          <w:spacing w:val="-3"/>
          <w:highlight w:val="none"/>
          <w:u w:val="single"/>
          <w:lang w:eastAsia="zh-CN"/>
        </w:rPr>
        <w:t xml:space="preserve"> </w:t>
      </w:r>
      <w:r>
        <w:rPr>
          <w:color w:val="auto"/>
          <w:spacing w:val="-3"/>
          <w:highlight w:val="none"/>
          <w:u w:val="single"/>
          <w:lang w:eastAsia="zh-CN"/>
        </w:rPr>
        <w:tab/>
      </w:r>
      <w:r>
        <w:rPr>
          <w:color w:val="auto"/>
          <w:highlight w:val="none"/>
          <w:lang w:eastAsia="zh-CN"/>
        </w:rPr>
        <w:t>日</w:t>
      </w:r>
      <w:r>
        <w:rPr>
          <w:color w:val="auto"/>
          <w:spacing w:val="-3"/>
          <w:highlight w:val="none"/>
          <w:lang w:eastAsia="zh-CN"/>
        </w:rPr>
        <w:t>签</w:t>
      </w:r>
      <w:r>
        <w:rPr>
          <w:color w:val="auto"/>
          <w:highlight w:val="none"/>
          <w:lang w:eastAsia="zh-CN"/>
        </w:rPr>
        <w:t>订于该</w:t>
      </w:r>
      <w:r>
        <w:rPr>
          <w:color w:val="auto"/>
          <w:highlight w:val="none"/>
          <w:u w:val="single"/>
          <w:lang w:eastAsia="zh-CN"/>
        </w:rPr>
        <w:t>项</w:t>
      </w:r>
      <w:r>
        <w:rPr>
          <w:color w:val="auto"/>
          <w:spacing w:val="-3"/>
          <w:highlight w:val="none"/>
          <w:u w:val="single"/>
          <w:lang w:eastAsia="zh-CN"/>
        </w:rPr>
        <w:t>目</w:t>
      </w:r>
      <w:r>
        <w:rPr>
          <w:color w:val="auto"/>
          <w:highlight w:val="none"/>
          <w:u w:val="single"/>
          <w:lang w:eastAsia="zh-CN"/>
        </w:rPr>
        <w:t>所在</w:t>
      </w:r>
      <w:r>
        <w:rPr>
          <w:color w:val="auto"/>
          <w:spacing w:val="-3"/>
          <w:highlight w:val="none"/>
          <w:u w:val="single"/>
          <w:lang w:eastAsia="zh-CN"/>
        </w:rPr>
        <w:t>地</w:t>
      </w:r>
      <w:r>
        <w:rPr>
          <w:color w:val="auto"/>
          <w:highlight w:val="none"/>
          <w:lang w:eastAsia="zh-CN"/>
        </w:rPr>
        <w:t>。</w:t>
      </w:r>
    </w:p>
    <w:p>
      <w:pPr>
        <w:rPr>
          <w:color w:val="auto"/>
          <w:highlight w:val="none"/>
          <w:lang w:eastAsia="zh-CN"/>
        </w:rPr>
        <w:sectPr>
          <w:pgSz w:w="11849" w:h="16792"/>
          <w:pgMar w:top="1417" w:right="850" w:bottom="1417" w:left="850" w:header="850" w:footer="850" w:gutter="0"/>
          <w:pgBorders>
            <w:top w:val="none" w:sz="0" w:space="0"/>
            <w:left w:val="none" w:sz="0" w:space="0"/>
            <w:bottom w:val="none" w:sz="0" w:space="0"/>
            <w:right w:val="none" w:sz="0" w:space="0"/>
          </w:pgBorders>
          <w:pgNumType w:fmt="decimal"/>
          <w:cols w:space="0" w:num="1"/>
          <w:rtlGutter w:val="0"/>
          <w:docGrid w:linePitch="0" w:charSpace="0"/>
        </w:sectPr>
      </w:pPr>
    </w:p>
    <w:p>
      <w:pPr>
        <w:tabs>
          <w:tab w:val="left" w:pos="5505"/>
        </w:tabs>
        <w:spacing w:before="39"/>
        <w:ind w:left="3904"/>
        <w:rPr>
          <w:rFonts w:ascii="黑体" w:eastAsia="黑体"/>
          <w:color w:val="auto"/>
          <w:sz w:val="32"/>
          <w:highlight w:val="none"/>
          <w:lang w:eastAsia="zh-CN"/>
        </w:rPr>
      </w:pPr>
      <w:r>
        <w:rPr>
          <w:rFonts w:hint="eastAsia" w:ascii="黑体" w:eastAsia="黑体"/>
          <w:color w:val="auto"/>
          <w:sz w:val="32"/>
          <w:highlight w:val="none"/>
          <w:lang w:eastAsia="zh-CN"/>
        </w:rPr>
        <w:t>第二部分</w:t>
      </w:r>
      <w:r>
        <w:rPr>
          <w:rFonts w:hint="eastAsia" w:ascii="黑体" w:eastAsia="黑体"/>
          <w:color w:val="auto"/>
          <w:sz w:val="32"/>
          <w:highlight w:val="none"/>
          <w:lang w:eastAsia="zh-CN"/>
        </w:rPr>
        <w:tab/>
      </w:r>
      <w:r>
        <w:rPr>
          <w:rFonts w:hint="eastAsia" w:ascii="黑体" w:eastAsia="黑体"/>
          <w:color w:val="auto"/>
          <w:sz w:val="32"/>
          <w:highlight w:val="none"/>
          <w:lang w:eastAsia="zh-CN"/>
        </w:rPr>
        <w:t>合同条件</w:t>
      </w:r>
    </w:p>
    <w:p>
      <w:pPr>
        <w:pStyle w:val="17"/>
        <w:ind w:left="0"/>
        <w:rPr>
          <w:rFonts w:ascii="黑体"/>
          <w:color w:val="auto"/>
          <w:sz w:val="20"/>
          <w:highlight w:val="none"/>
          <w:lang w:eastAsia="zh-CN"/>
        </w:rPr>
      </w:pPr>
    </w:p>
    <w:p>
      <w:pPr>
        <w:pStyle w:val="17"/>
        <w:spacing w:before="7"/>
        <w:ind w:left="0"/>
        <w:rPr>
          <w:rFonts w:ascii="黑体"/>
          <w:color w:val="auto"/>
          <w:sz w:val="27"/>
          <w:highlight w:val="none"/>
          <w:lang w:eastAsia="zh-CN"/>
        </w:rPr>
      </w:pPr>
    </w:p>
    <w:p>
      <w:pPr>
        <w:pStyle w:val="13"/>
        <w:tabs>
          <w:tab w:val="left" w:pos="1441"/>
        </w:tabs>
        <w:spacing w:before="70"/>
        <w:ind w:left="440"/>
        <w:jc w:val="center"/>
        <w:rPr>
          <w:color w:val="auto"/>
          <w:highlight w:val="none"/>
          <w:lang w:eastAsia="zh-CN"/>
        </w:rPr>
      </w:pPr>
      <w:r>
        <w:rPr>
          <w:color w:val="auto"/>
          <w:highlight w:val="none"/>
          <w:lang w:eastAsia="zh-CN"/>
        </w:rPr>
        <w:t>第一章</w:t>
      </w:r>
      <w:r>
        <w:rPr>
          <w:color w:val="auto"/>
          <w:highlight w:val="none"/>
          <w:lang w:eastAsia="zh-CN"/>
        </w:rPr>
        <w:tab/>
      </w:r>
      <w:bookmarkStart w:id="139" w:name="第一章管理团队和管理原则"/>
      <w:bookmarkEnd w:id="139"/>
      <w:r>
        <w:rPr>
          <w:color w:val="auto"/>
          <w:highlight w:val="none"/>
          <w:lang w:eastAsia="zh-CN"/>
        </w:rPr>
        <w:t>管理团队和管理原则</w:t>
      </w:r>
    </w:p>
    <w:p>
      <w:pPr>
        <w:pStyle w:val="13"/>
        <w:spacing w:before="145"/>
        <w:rPr>
          <w:color w:val="auto"/>
          <w:highlight w:val="none"/>
          <w:lang w:eastAsia="zh-CN"/>
        </w:rPr>
      </w:pPr>
      <w:r>
        <w:rPr>
          <w:color w:val="auto"/>
          <w:highlight w:val="none"/>
          <w:lang w:eastAsia="zh-CN"/>
        </w:rPr>
        <w:t>第一条 项目管理团队</w:t>
      </w:r>
    </w:p>
    <w:p>
      <w:pPr>
        <w:pStyle w:val="17"/>
        <w:spacing w:before="146" w:line="364" w:lineRule="auto"/>
        <w:ind w:right="865" w:firstLine="439"/>
        <w:rPr>
          <w:color w:val="auto"/>
          <w:highlight w:val="none"/>
          <w:lang w:eastAsia="zh-CN"/>
        </w:rPr>
      </w:pPr>
      <w:r>
        <w:rPr>
          <w:rFonts w:hint="eastAsia" w:ascii="Times New Roman" w:hAnsi="Times New Roman"/>
          <w:color w:val="auto"/>
          <w:highlight w:val="none"/>
          <w:lang w:eastAsia="zh-CN"/>
        </w:rPr>
        <w:t>1</w:t>
      </w:r>
      <w:r>
        <w:rPr>
          <w:color w:val="auto"/>
          <w:spacing w:val="-3"/>
          <w:highlight w:val="none"/>
          <w:lang w:eastAsia="zh-CN"/>
        </w:rPr>
        <w:t>、乙方负责组建项目管理团队（包括甲方按本合同约定委派的人员</w:t>
      </w:r>
      <w:r>
        <w:rPr>
          <w:color w:val="auto"/>
          <w:highlight w:val="none"/>
          <w:lang w:eastAsia="zh-CN"/>
        </w:rPr>
        <w:t>），</w:t>
      </w:r>
      <w:r>
        <w:rPr>
          <w:color w:val="auto"/>
          <w:spacing w:val="-2"/>
          <w:highlight w:val="none"/>
          <w:lang w:eastAsia="zh-CN"/>
        </w:rPr>
        <w:t>就本合同</w:t>
      </w:r>
      <w:r>
        <w:rPr>
          <w:color w:val="auto"/>
          <w:spacing w:val="-3"/>
          <w:highlight w:val="none"/>
          <w:lang w:eastAsia="zh-CN"/>
        </w:rPr>
        <w:t>范围内的</w:t>
      </w:r>
      <w:r>
        <w:rPr>
          <w:rFonts w:hint="eastAsia"/>
          <w:color w:val="auto"/>
          <w:spacing w:val="-3"/>
          <w:highlight w:val="none"/>
          <w:lang w:eastAsia="zh-CN"/>
        </w:rPr>
        <w:t>开发</w:t>
      </w:r>
      <w:r>
        <w:rPr>
          <w:color w:val="auto"/>
          <w:spacing w:val="-3"/>
          <w:highlight w:val="none"/>
          <w:lang w:eastAsia="zh-CN"/>
        </w:rPr>
        <w:t>管理</w:t>
      </w:r>
      <w:r>
        <w:rPr>
          <w:rFonts w:hint="eastAsia"/>
          <w:color w:val="auto"/>
          <w:spacing w:val="-3"/>
          <w:highlight w:val="none"/>
          <w:lang w:eastAsia="zh-CN"/>
        </w:rPr>
        <w:t>服务</w:t>
      </w:r>
      <w:r>
        <w:rPr>
          <w:color w:val="auto"/>
          <w:spacing w:val="-3"/>
          <w:highlight w:val="none"/>
          <w:lang w:eastAsia="zh-CN"/>
        </w:rPr>
        <w:t>事项对甲方负责。项目管理团队人员编制及配置方式具体详见本协议附件：项目管理团队人员编制表。</w:t>
      </w:r>
      <w:r>
        <w:rPr>
          <w:rFonts w:hint="eastAsia"/>
          <w:color w:val="auto"/>
          <w:spacing w:val="-3"/>
          <w:highlight w:val="none"/>
          <w:lang w:eastAsia="zh-CN"/>
        </w:rPr>
        <w:t>乙方项目管理团队（乙方委派人员）需经甲方认可，</w:t>
      </w:r>
      <w:r>
        <w:rPr>
          <w:color w:val="auto"/>
          <w:spacing w:val="-3"/>
          <w:highlight w:val="none"/>
          <w:lang w:eastAsia="zh-CN"/>
        </w:rPr>
        <w:t>突破编制范围的人员录用，须经甲、乙双方共同认可。</w:t>
      </w:r>
    </w:p>
    <w:p>
      <w:pPr>
        <w:pStyle w:val="17"/>
        <w:spacing w:line="364" w:lineRule="auto"/>
        <w:ind w:right="975" w:firstLine="439"/>
        <w:rPr>
          <w:color w:val="auto"/>
          <w:highlight w:val="none"/>
          <w:lang w:eastAsia="zh-CN"/>
        </w:rPr>
      </w:pPr>
      <w:r>
        <w:rPr>
          <w:rFonts w:hint="eastAsia" w:ascii="Times New Roman" w:hAnsi="Times New Roman"/>
          <w:color w:val="auto"/>
          <w:highlight w:val="none"/>
          <w:lang w:eastAsia="zh-CN"/>
        </w:rPr>
        <w:t>2</w:t>
      </w:r>
      <w:r>
        <w:rPr>
          <w:color w:val="auto"/>
          <w:highlight w:val="none"/>
          <w:lang w:eastAsia="zh-CN"/>
        </w:rPr>
        <w:t>、根据工作需要，甲方委派除财务管理人员之外其他人员进入管理团队的，</w:t>
      </w:r>
      <w:r>
        <w:rPr>
          <w:rFonts w:hint="eastAsia"/>
          <w:color w:val="auto"/>
          <w:highlight w:val="none"/>
          <w:lang w:eastAsia="zh-CN"/>
        </w:rPr>
        <w:t>接受甲</w:t>
      </w:r>
      <w:r>
        <w:rPr>
          <w:color w:val="auto"/>
          <w:highlight w:val="none"/>
          <w:lang w:eastAsia="zh-CN"/>
        </w:rPr>
        <w:t>乙</w:t>
      </w:r>
      <w:r>
        <w:rPr>
          <w:rFonts w:hint="eastAsia"/>
          <w:color w:val="auto"/>
          <w:highlight w:val="none"/>
          <w:lang w:eastAsia="zh-CN"/>
        </w:rPr>
        <w:t>双</w:t>
      </w:r>
      <w:r>
        <w:rPr>
          <w:color w:val="auto"/>
          <w:highlight w:val="none"/>
          <w:lang w:eastAsia="zh-CN"/>
        </w:rPr>
        <w:t>方</w:t>
      </w:r>
      <w:r>
        <w:rPr>
          <w:rFonts w:hint="eastAsia"/>
          <w:color w:val="auto"/>
          <w:highlight w:val="none"/>
          <w:lang w:eastAsia="zh-CN"/>
        </w:rPr>
        <w:t>共同管理</w:t>
      </w:r>
      <w:r>
        <w:rPr>
          <w:color w:val="auto"/>
          <w:highlight w:val="none"/>
          <w:lang w:eastAsia="zh-CN"/>
        </w:rPr>
        <w:t>。</w:t>
      </w:r>
    </w:p>
    <w:p>
      <w:pPr>
        <w:pStyle w:val="17"/>
        <w:spacing w:line="364" w:lineRule="auto"/>
        <w:ind w:right="865" w:firstLine="439"/>
        <w:rPr>
          <w:color w:val="auto"/>
          <w:highlight w:val="none"/>
          <w:lang w:eastAsia="zh-CN"/>
        </w:rPr>
      </w:pPr>
      <w:r>
        <w:rPr>
          <w:rFonts w:hint="eastAsia" w:ascii="Times New Roman" w:hAnsi="Times New Roman"/>
          <w:color w:val="auto"/>
          <w:highlight w:val="none"/>
          <w:lang w:eastAsia="zh-CN"/>
        </w:rPr>
        <w:t>3</w:t>
      </w:r>
      <w:r>
        <w:rPr>
          <w:color w:val="auto"/>
          <w:spacing w:val="-3"/>
          <w:highlight w:val="none"/>
          <w:lang w:eastAsia="zh-CN"/>
        </w:rPr>
        <w:t>、乙方按照双方共同确定的人选委派相关人员参与项目管理团队，未经甲方同意不得随意更换。但在本合同履行过程中，乙方委派人员离职的，</w:t>
      </w:r>
      <w:r>
        <w:rPr>
          <w:rFonts w:hint="eastAsia"/>
          <w:color w:val="auto"/>
          <w:spacing w:val="-3"/>
          <w:highlight w:val="none"/>
          <w:lang w:eastAsia="zh-CN"/>
        </w:rPr>
        <w:t>需报备甲方同意后，</w:t>
      </w:r>
      <w:r>
        <w:rPr>
          <w:color w:val="auto"/>
          <w:spacing w:val="-3"/>
          <w:highlight w:val="none"/>
          <w:lang w:eastAsia="zh-CN"/>
        </w:rPr>
        <w:t>乙方可另行委派符合要求的</w:t>
      </w:r>
      <w:r>
        <w:rPr>
          <w:rFonts w:hint="eastAsia"/>
          <w:color w:val="auto"/>
          <w:spacing w:val="-3"/>
          <w:highlight w:val="none"/>
          <w:lang w:eastAsia="zh-CN"/>
        </w:rPr>
        <w:t>经甲方认可的</w:t>
      </w:r>
      <w:r>
        <w:rPr>
          <w:color w:val="auto"/>
          <w:spacing w:val="-3"/>
          <w:highlight w:val="none"/>
          <w:lang w:eastAsia="zh-CN"/>
        </w:rPr>
        <w:t>专业人员接替相应工作。</w:t>
      </w:r>
    </w:p>
    <w:p>
      <w:pPr>
        <w:pStyle w:val="17"/>
        <w:spacing w:line="364" w:lineRule="auto"/>
        <w:ind w:right="865" w:firstLine="439"/>
        <w:rPr>
          <w:color w:val="auto"/>
          <w:highlight w:val="none"/>
          <w:lang w:eastAsia="zh-CN"/>
        </w:rPr>
      </w:pPr>
      <w:r>
        <w:rPr>
          <w:rFonts w:hint="eastAsia" w:ascii="Times New Roman" w:hAnsi="Times New Roman"/>
          <w:color w:val="auto"/>
          <w:highlight w:val="none"/>
          <w:lang w:eastAsia="zh-CN"/>
        </w:rPr>
        <w:t>4</w:t>
      </w:r>
      <w:r>
        <w:rPr>
          <w:color w:val="auto"/>
          <w:spacing w:val="-3"/>
          <w:highlight w:val="none"/>
          <w:lang w:eastAsia="zh-CN"/>
        </w:rPr>
        <w:t>、乙方委派团队</w:t>
      </w:r>
      <w:r>
        <w:rPr>
          <w:rFonts w:hint="eastAsia"/>
          <w:color w:val="auto"/>
          <w:spacing w:val="-3"/>
          <w:highlight w:val="none"/>
          <w:lang w:eastAsia="zh-CN"/>
        </w:rPr>
        <w:t>服从项目公司管理为</w:t>
      </w:r>
      <w:r>
        <w:rPr>
          <w:color w:val="auto"/>
          <w:spacing w:val="-3"/>
          <w:highlight w:val="none"/>
          <w:lang w:eastAsia="zh-CN"/>
        </w:rPr>
        <w:t>甲方</w:t>
      </w:r>
      <w:r>
        <w:rPr>
          <w:rFonts w:hint="eastAsia"/>
          <w:color w:val="auto"/>
          <w:spacing w:val="-3"/>
          <w:highlight w:val="none"/>
          <w:lang w:eastAsia="zh-CN"/>
        </w:rPr>
        <w:t>提供开发管理服务</w:t>
      </w:r>
      <w:r>
        <w:rPr>
          <w:color w:val="auto"/>
          <w:spacing w:val="-3"/>
          <w:highlight w:val="none"/>
          <w:lang w:eastAsia="zh-CN"/>
        </w:rPr>
        <w:t>，并在</w:t>
      </w:r>
      <w:r>
        <w:rPr>
          <w:rFonts w:hint="eastAsia"/>
          <w:color w:val="auto"/>
          <w:spacing w:val="-3"/>
          <w:highlight w:val="none"/>
          <w:lang w:eastAsia="zh-CN"/>
        </w:rPr>
        <w:t>合同约定</w:t>
      </w:r>
      <w:r>
        <w:rPr>
          <w:color w:val="auto"/>
          <w:spacing w:val="-3"/>
          <w:highlight w:val="none"/>
          <w:lang w:eastAsia="zh-CN"/>
        </w:rPr>
        <w:t>范围内以甲方名义对外开展工作。乙方委派的项目负责人在该项目管理过程中，履行本合同约定的项目</w:t>
      </w:r>
      <w:r>
        <w:rPr>
          <w:rFonts w:hint="eastAsia"/>
          <w:color w:val="auto"/>
          <w:spacing w:val="-3"/>
          <w:highlight w:val="none"/>
          <w:lang w:eastAsia="zh-CN"/>
        </w:rPr>
        <w:t>开发管理统筹</w:t>
      </w:r>
      <w:r>
        <w:rPr>
          <w:color w:val="auto"/>
          <w:spacing w:val="-3"/>
          <w:highlight w:val="none"/>
          <w:lang w:eastAsia="zh-CN"/>
        </w:rPr>
        <w:t>职权，对项目管理团队进行统一管理</w:t>
      </w:r>
      <w:r>
        <w:rPr>
          <w:color w:val="auto"/>
          <w:highlight w:val="none"/>
          <w:lang w:eastAsia="zh-CN"/>
        </w:rPr>
        <w:t>（</w:t>
      </w:r>
      <w:r>
        <w:rPr>
          <w:color w:val="auto"/>
          <w:spacing w:val="-2"/>
          <w:highlight w:val="none"/>
          <w:lang w:eastAsia="zh-CN"/>
        </w:rPr>
        <w:t>包括甲</w:t>
      </w:r>
      <w:r>
        <w:rPr>
          <w:color w:val="auto"/>
          <w:spacing w:val="-3"/>
          <w:highlight w:val="none"/>
          <w:lang w:eastAsia="zh-CN"/>
        </w:rPr>
        <w:t>方派驻人员</w:t>
      </w:r>
      <w:r>
        <w:rPr>
          <w:color w:val="auto"/>
          <w:spacing w:val="-1"/>
          <w:highlight w:val="none"/>
          <w:lang w:eastAsia="zh-CN"/>
        </w:rPr>
        <w:t>）</w:t>
      </w:r>
      <w:r>
        <w:rPr>
          <w:color w:val="auto"/>
          <w:spacing w:val="-3"/>
          <w:highlight w:val="none"/>
          <w:lang w:eastAsia="zh-CN"/>
        </w:rPr>
        <w:t>。乙方委派的其他人员分别负责规划与建筑设计管理、土建安装管理、景观管理、精装修管理、成本管理、采供管理、人力资源管理、营销管理等具体管理工作。</w:t>
      </w:r>
    </w:p>
    <w:p>
      <w:pPr>
        <w:pStyle w:val="17"/>
        <w:spacing w:line="364" w:lineRule="auto"/>
        <w:ind w:right="867" w:firstLine="439"/>
        <w:rPr>
          <w:color w:val="auto"/>
          <w:highlight w:val="none"/>
          <w:lang w:eastAsia="zh-CN"/>
        </w:rPr>
      </w:pPr>
      <w:r>
        <w:rPr>
          <w:color w:val="auto"/>
          <w:spacing w:val="-3"/>
          <w:highlight w:val="none"/>
          <w:lang w:eastAsia="zh-CN"/>
        </w:rPr>
        <w:t>乙方委派人员应具备符合相应岗位要求的工作经验和专业技能，保证能够胜任本项目的管理工作，</w:t>
      </w:r>
      <w:r>
        <w:rPr>
          <w:rFonts w:hint="eastAsia"/>
          <w:color w:val="auto"/>
          <w:spacing w:val="-3"/>
          <w:highlight w:val="none"/>
          <w:lang w:eastAsia="zh-CN"/>
        </w:rPr>
        <w:t>同时需经甲方人力资源等部门组织的面试，符合要求后方可上岗，</w:t>
      </w:r>
      <w:r>
        <w:rPr>
          <w:color w:val="auto"/>
          <w:spacing w:val="-3"/>
          <w:highlight w:val="none"/>
          <w:lang w:eastAsia="zh-CN"/>
        </w:rPr>
        <w:t>若不能胜任，甲方有权要求乙方调整，确保委派人员能力与岗位的匹配。</w:t>
      </w:r>
    </w:p>
    <w:p>
      <w:pPr>
        <w:pStyle w:val="17"/>
        <w:spacing w:line="364" w:lineRule="auto"/>
        <w:ind w:right="865" w:firstLine="439"/>
        <w:rPr>
          <w:color w:val="auto"/>
          <w:highlight w:val="none"/>
          <w:lang w:eastAsia="zh-CN"/>
        </w:rPr>
      </w:pPr>
      <w:r>
        <w:rPr>
          <w:rFonts w:hint="eastAsia" w:ascii="Times New Roman" w:hAnsi="Times New Roman"/>
          <w:color w:val="auto"/>
          <w:highlight w:val="none"/>
          <w:lang w:eastAsia="zh-CN"/>
        </w:rPr>
        <w:t>5</w:t>
      </w:r>
      <w:r>
        <w:rPr>
          <w:color w:val="auto"/>
          <w:highlight w:val="none"/>
          <w:lang w:eastAsia="zh-CN"/>
        </w:rPr>
        <w:t>、项目</w:t>
      </w:r>
      <w:r>
        <w:rPr>
          <w:rFonts w:hint="eastAsia"/>
          <w:color w:val="auto"/>
          <w:highlight w:val="none"/>
          <w:lang w:eastAsia="zh-CN"/>
        </w:rPr>
        <w:t>负责人</w:t>
      </w:r>
      <w:r>
        <w:rPr>
          <w:color w:val="auto"/>
          <w:highlight w:val="none"/>
          <w:lang w:eastAsia="zh-CN"/>
        </w:rPr>
        <w:t>在本合同签订【</w:t>
      </w:r>
      <w:r>
        <w:rPr>
          <w:rFonts w:hint="eastAsia" w:ascii="Times New Roman" w:hAnsi="Times New Roman"/>
          <w:color w:val="auto"/>
          <w:highlight w:val="none"/>
          <w:lang w:eastAsia="zh-CN"/>
        </w:rPr>
        <w:t>10</w:t>
      </w:r>
      <w:r>
        <w:rPr>
          <w:color w:val="auto"/>
          <w:highlight w:val="none"/>
          <w:lang w:eastAsia="zh-CN"/>
        </w:rPr>
        <w:t>】日内到岗（或其它双方约定的委派节点）。乙方其他委派人员根据项目开发进度情况逐步到位，具体到岗日期以乙方签发的人员委派函为准。在保证项目开发需要的情况下，乙方可统筹安排委派到甲方的人员。</w:t>
      </w:r>
    </w:p>
    <w:p>
      <w:pPr>
        <w:pStyle w:val="13"/>
        <w:spacing w:line="281" w:lineRule="exact"/>
        <w:rPr>
          <w:color w:val="auto"/>
          <w:highlight w:val="none"/>
          <w:lang w:eastAsia="zh-CN"/>
        </w:rPr>
      </w:pPr>
      <w:r>
        <w:rPr>
          <w:color w:val="auto"/>
          <w:highlight w:val="none"/>
          <w:lang w:eastAsia="zh-CN"/>
        </w:rPr>
        <w:t>第二条 甲乙双方代表</w:t>
      </w:r>
    </w:p>
    <w:p>
      <w:pPr>
        <w:pStyle w:val="17"/>
        <w:tabs>
          <w:tab w:val="left" w:pos="2800"/>
        </w:tabs>
        <w:spacing w:before="137" w:line="364" w:lineRule="auto"/>
        <w:ind w:right="1031" w:firstLine="439"/>
        <w:rPr>
          <w:color w:val="auto"/>
          <w:highlight w:val="none"/>
          <w:lang w:eastAsia="zh-CN"/>
        </w:rPr>
      </w:pPr>
      <w:r>
        <w:rPr>
          <w:rFonts w:hint="eastAsia" w:ascii="Times New Roman" w:hAnsi="Times New Roman"/>
          <w:color w:val="auto"/>
          <w:highlight w:val="none"/>
          <w:lang w:eastAsia="zh-CN"/>
        </w:rPr>
        <w:t>1</w:t>
      </w:r>
      <w:r>
        <w:rPr>
          <w:color w:val="auto"/>
          <w:highlight w:val="none"/>
          <w:lang w:eastAsia="zh-CN"/>
        </w:rPr>
        <w:t>、</w:t>
      </w:r>
      <w:r>
        <w:rPr>
          <w:color w:val="auto"/>
          <w:spacing w:val="-3"/>
          <w:highlight w:val="none"/>
          <w:lang w:eastAsia="zh-CN"/>
        </w:rPr>
        <w:t>甲</w:t>
      </w:r>
      <w:r>
        <w:rPr>
          <w:color w:val="auto"/>
          <w:highlight w:val="none"/>
          <w:lang w:eastAsia="zh-CN"/>
        </w:rPr>
        <w:t>乙双</w:t>
      </w:r>
      <w:r>
        <w:rPr>
          <w:color w:val="auto"/>
          <w:spacing w:val="-3"/>
          <w:highlight w:val="none"/>
          <w:lang w:eastAsia="zh-CN"/>
        </w:rPr>
        <w:t>方</w:t>
      </w:r>
      <w:r>
        <w:rPr>
          <w:color w:val="auto"/>
          <w:highlight w:val="none"/>
          <w:lang w:eastAsia="zh-CN"/>
        </w:rPr>
        <w:t>均需</w:t>
      </w:r>
      <w:r>
        <w:rPr>
          <w:color w:val="auto"/>
          <w:spacing w:val="-3"/>
          <w:highlight w:val="none"/>
          <w:lang w:eastAsia="zh-CN"/>
        </w:rPr>
        <w:t>各</w:t>
      </w:r>
      <w:r>
        <w:rPr>
          <w:color w:val="auto"/>
          <w:highlight w:val="none"/>
          <w:lang w:eastAsia="zh-CN"/>
        </w:rPr>
        <w:t>自指</w:t>
      </w:r>
      <w:r>
        <w:rPr>
          <w:color w:val="auto"/>
          <w:spacing w:val="-3"/>
          <w:highlight w:val="none"/>
          <w:lang w:eastAsia="zh-CN"/>
        </w:rPr>
        <w:t>定</w:t>
      </w:r>
      <w:r>
        <w:rPr>
          <w:color w:val="auto"/>
          <w:highlight w:val="none"/>
          <w:lang w:eastAsia="zh-CN"/>
        </w:rPr>
        <w:t>专人（</w:t>
      </w:r>
      <w:r>
        <w:rPr>
          <w:rFonts w:hint="eastAsia" w:ascii="Times New Roman" w:hAnsi="Times New Roman"/>
          <w:color w:val="auto"/>
          <w:highlight w:val="none"/>
          <w:lang w:eastAsia="zh-CN"/>
        </w:rPr>
        <w:t>1</w:t>
      </w:r>
      <w:r>
        <w:rPr>
          <w:color w:val="auto"/>
          <w:spacing w:val="-49"/>
          <w:highlight w:val="none"/>
          <w:lang w:eastAsia="zh-CN"/>
        </w:rPr>
        <w:t xml:space="preserve"> </w:t>
      </w:r>
      <w:r>
        <w:rPr>
          <w:color w:val="auto"/>
          <w:highlight w:val="none"/>
          <w:lang w:eastAsia="zh-CN"/>
        </w:rPr>
        <w:t>人</w:t>
      </w:r>
      <w:r>
        <w:rPr>
          <w:color w:val="auto"/>
          <w:spacing w:val="-3"/>
          <w:highlight w:val="none"/>
          <w:lang w:eastAsia="zh-CN"/>
        </w:rPr>
        <w:t>）</w:t>
      </w:r>
      <w:r>
        <w:rPr>
          <w:color w:val="auto"/>
          <w:highlight w:val="none"/>
          <w:lang w:eastAsia="zh-CN"/>
        </w:rPr>
        <w:t>为本</w:t>
      </w:r>
      <w:r>
        <w:rPr>
          <w:color w:val="auto"/>
          <w:spacing w:val="-3"/>
          <w:highlight w:val="none"/>
          <w:lang w:eastAsia="zh-CN"/>
        </w:rPr>
        <w:t>合</w:t>
      </w:r>
      <w:r>
        <w:rPr>
          <w:color w:val="auto"/>
          <w:highlight w:val="none"/>
          <w:lang w:eastAsia="zh-CN"/>
        </w:rPr>
        <w:t>同履</w:t>
      </w:r>
      <w:r>
        <w:rPr>
          <w:color w:val="auto"/>
          <w:spacing w:val="-3"/>
          <w:highlight w:val="none"/>
          <w:lang w:eastAsia="zh-CN"/>
        </w:rPr>
        <w:t>行</w:t>
      </w:r>
      <w:r>
        <w:rPr>
          <w:color w:val="auto"/>
          <w:highlight w:val="none"/>
          <w:lang w:eastAsia="zh-CN"/>
        </w:rPr>
        <w:t>过程</w:t>
      </w:r>
      <w:r>
        <w:rPr>
          <w:color w:val="auto"/>
          <w:spacing w:val="-3"/>
          <w:highlight w:val="none"/>
          <w:lang w:eastAsia="zh-CN"/>
        </w:rPr>
        <w:t>中</w:t>
      </w:r>
      <w:r>
        <w:rPr>
          <w:color w:val="auto"/>
          <w:highlight w:val="none"/>
          <w:lang w:eastAsia="zh-CN"/>
        </w:rPr>
        <w:t>双方</w:t>
      </w:r>
      <w:r>
        <w:rPr>
          <w:color w:val="auto"/>
          <w:spacing w:val="-3"/>
          <w:highlight w:val="none"/>
          <w:lang w:eastAsia="zh-CN"/>
        </w:rPr>
        <w:t>的</w:t>
      </w:r>
      <w:r>
        <w:rPr>
          <w:color w:val="auto"/>
          <w:highlight w:val="none"/>
          <w:lang w:eastAsia="zh-CN"/>
        </w:rPr>
        <w:t>代表</w:t>
      </w:r>
      <w:r>
        <w:rPr>
          <w:color w:val="auto"/>
          <w:spacing w:val="-3"/>
          <w:highlight w:val="none"/>
          <w:lang w:eastAsia="zh-CN"/>
        </w:rPr>
        <w:t>，</w:t>
      </w:r>
      <w:r>
        <w:rPr>
          <w:color w:val="auto"/>
          <w:highlight w:val="none"/>
          <w:lang w:eastAsia="zh-CN"/>
        </w:rPr>
        <w:t>甲方代表</w:t>
      </w:r>
      <w:r>
        <w:rPr>
          <w:color w:val="auto"/>
          <w:spacing w:val="-3"/>
          <w:highlight w:val="none"/>
          <w:lang w:eastAsia="zh-CN"/>
        </w:rPr>
        <w:t>为</w:t>
      </w:r>
      <w:r>
        <w:rPr>
          <w:color w:val="auto"/>
          <w:highlight w:val="none"/>
          <w:lang w:eastAsia="zh-CN"/>
        </w:rPr>
        <w:t>：</w:t>
      </w:r>
      <w:r>
        <w:rPr>
          <w:color w:val="auto"/>
          <w:highlight w:val="none"/>
          <w:u w:val="single"/>
          <w:lang w:eastAsia="zh-CN"/>
        </w:rPr>
        <w:t xml:space="preserve"> </w:t>
      </w:r>
      <w:r>
        <w:rPr>
          <w:color w:val="auto"/>
          <w:highlight w:val="none"/>
          <w:u w:val="single"/>
          <w:lang w:eastAsia="zh-CN"/>
        </w:rPr>
        <w:tab/>
      </w:r>
      <w:r>
        <w:rPr>
          <w:color w:val="auto"/>
          <w:highlight w:val="none"/>
          <w:lang w:eastAsia="zh-CN"/>
        </w:rPr>
        <w:t>，</w:t>
      </w:r>
      <w:r>
        <w:rPr>
          <w:color w:val="auto"/>
          <w:spacing w:val="-3"/>
          <w:highlight w:val="none"/>
          <w:lang w:eastAsia="zh-CN"/>
        </w:rPr>
        <w:t>乙</w:t>
      </w:r>
      <w:r>
        <w:rPr>
          <w:color w:val="auto"/>
          <w:highlight w:val="none"/>
          <w:lang w:eastAsia="zh-CN"/>
        </w:rPr>
        <w:t>方代</w:t>
      </w:r>
      <w:r>
        <w:rPr>
          <w:color w:val="auto"/>
          <w:spacing w:val="-3"/>
          <w:highlight w:val="none"/>
          <w:lang w:eastAsia="zh-CN"/>
        </w:rPr>
        <w:t>表</w:t>
      </w:r>
      <w:r>
        <w:rPr>
          <w:color w:val="auto"/>
          <w:highlight w:val="none"/>
          <w:lang w:eastAsia="zh-CN"/>
        </w:rPr>
        <w:t>即为</w:t>
      </w:r>
      <w:r>
        <w:rPr>
          <w:color w:val="auto"/>
          <w:spacing w:val="-3"/>
          <w:highlight w:val="none"/>
          <w:lang w:eastAsia="zh-CN"/>
        </w:rPr>
        <w:t>其</w:t>
      </w:r>
      <w:r>
        <w:rPr>
          <w:color w:val="auto"/>
          <w:highlight w:val="none"/>
          <w:lang w:eastAsia="zh-CN"/>
        </w:rPr>
        <w:t>委派</w:t>
      </w:r>
      <w:r>
        <w:rPr>
          <w:color w:val="auto"/>
          <w:spacing w:val="-3"/>
          <w:highlight w:val="none"/>
          <w:lang w:eastAsia="zh-CN"/>
        </w:rPr>
        <w:t>的</w:t>
      </w:r>
      <w:r>
        <w:rPr>
          <w:color w:val="auto"/>
          <w:highlight w:val="none"/>
          <w:lang w:eastAsia="zh-CN"/>
        </w:rPr>
        <w:t>项目</w:t>
      </w:r>
      <w:r>
        <w:rPr>
          <w:color w:val="auto"/>
          <w:spacing w:val="-3"/>
          <w:highlight w:val="none"/>
          <w:lang w:eastAsia="zh-CN"/>
        </w:rPr>
        <w:t>负</w:t>
      </w:r>
      <w:r>
        <w:rPr>
          <w:color w:val="auto"/>
          <w:highlight w:val="none"/>
          <w:lang w:eastAsia="zh-CN"/>
        </w:rPr>
        <w:t>责人。</w:t>
      </w:r>
    </w:p>
    <w:p>
      <w:pPr>
        <w:pStyle w:val="17"/>
        <w:spacing w:line="364" w:lineRule="auto"/>
        <w:ind w:right="865" w:firstLine="439"/>
        <w:rPr>
          <w:color w:val="auto"/>
          <w:highlight w:val="none"/>
          <w:lang w:eastAsia="zh-CN"/>
        </w:rPr>
      </w:pPr>
      <w:r>
        <w:rPr>
          <w:rFonts w:hint="eastAsia" w:ascii="Times New Roman" w:hAnsi="Times New Roman"/>
          <w:color w:val="auto"/>
          <w:highlight w:val="none"/>
          <w:lang w:eastAsia="zh-CN"/>
        </w:rPr>
        <w:t>2</w:t>
      </w:r>
      <w:r>
        <w:rPr>
          <w:color w:val="auto"/>
          <w:spacing w:val="-3"/>
          <w:highlight w:val="none"/>
          <w:lang w:eastAsia="zh-CN"/>
        </w:rPr>
        <w:t>、甲乙双方之间有关文件的传递、接收以及指令的发布等均由各自代表签字确认，但双方代表对文件的签收并不表明对签收文件内容的确认。任何与本合同条款内容不一致或对本合同条款内容进行补充、变更的文件，均须由甲乙双方法定代表人或授权代表签字并加盖公章后生效。</w:t>
      </w:r>
    </w:p>
    <w:p>
      <w:pPr>
        <w:spacing w:line="364" w:lineRule="auto"/>
        <w:rPr>
          <w:color w:val="auto"/>
          <w:highlight w:val="none"/>
          <w:lang w:eastAsia="zh-CN"/>
        </w:rPr>
        <w:sectPr>
          <w:pgSz w:w="11849" w:h="16792"/>
          <w:pgMar w:top="1417" w:right="850" w:bottom="1417" w:left="850" w:header="850" w:footer="850" w:gutter="0"/>
          <w:pgBorders>
            <w:top w:val="none" w:sz="0" w:space="0"/>
            <w:left w:val="none" w:sz="0" w:space="0"/>
            <w:bottom w:val="none" w:sz="0" w:space="0"/>
            <w:right w:val="none" w:sz="0" w:space="0"/>
          </w:pgBorders>
          <w:pgNumType w:fmt="decimal"/>
          <w:cols w:space="0" w:num="1"/>
          <w:rtlGutter w:val="0"/>
          <w:docGrid w:linePitch="0" w:charSpace="0"/>
        </w:sectPr>
      </w:pPr>
    </w:p>
    <w:p>
      <w:pPr>
        <w:pStyle w:val="17"/>
        <w:spacing w:before="59" w:line="364" w:lineRule="auto"/>
        <w:ind w:right="975" w:firstLine="439"/>
        <w:rPr>
          <w:color w:val="auto"/>
          <w:highlight w:val="none"/>
          <w:lang w:eastAsia="zh-CN"/>
        </w:rPr>
      </w:pPr>
      <w:r>
        <w:rPr>
          <w:rFonts w:hint="eastAsia" w:ascii="Times New Roman" w:hAnsi="Times New Roman"/>
          <w:color w:val="auto"/>
          <w:highlight w:val="none"/>
          <w:lang w:eastAsia="zh-CN"/>
        </w:rPr>
        <w:t>3</w:t>
      </w:r>
      <w:r>
        <w:rPr>
          <w:color w:val="auto"/>
          <w:highlight w:val="none"/>
          <w:lang w:eastAsia="zh-CN"/>
        </w:rPr>
        <w:t>、甲乙双方均必须以书面方式对各自代表进行授权，代表双方履行各自的权利和义务。为提高工作效率，确保本合同的顺利履行，甲方授权甲方代表行使下列职权：</w:t>
      </w:r>
    </w:p>
    <w:p>
      <w:pPr>
        <w:pStyle w:val="17"/>
        <w:spacing w:before="146" w:line="364" w:lineRule="auto"/>
        <w:ind w:right="865" w:firstLine="439"/>
        <w:rPr>
          <w:color w:val="auto"/>
          <w:highlight w:val="none"/>
          <w:lang w:val="en-US" w:eastAsia="zh-CN"/>
        </w:rPr>
      </w:pPr>
      <w:r>
        <w:rPr>
          <w:rFonts w:hint="default"/>
          <w:color w:val="auto"/>
          <w:highlight w:val="none"/>
          <w:lang w:val="en-US" w:eastAsia="zh-CN"/>
        </w:rPr>
        <w:t>（</w:t>
      </w:r>
      <w:r>
        <w:rPr>
          <w:rFonts w:hint="eastAsia" w:ascii="Times New Roman" w:hAnsi="Times New Roman"/>
          <w:color w:val="auto"/>
          <w:highlight w:val="none"/>
          <w:lang w:val="en-US" w:eastAsia="zh-CN"/>
        </w:rPr>
        <w:t>1</w:t>
      </w:r>
      <w:r>
        <w:rPr>
          <w:rFonts w:hint="default"/>
          <w:color w:val="auto"/>
          <w:highlight w:val="none"/>
          <w:lang w:val="en-US" w:eastAsia="zh-CN"/>
        </w:rPr>
        <w:t>）</w:t>
      </w:r>
      <w:r>
        <w:rPr>
          <w:color w:val="auto"/>
          <w:highlight w:val="none"/>
          <w:lang w:val="en-US" w:eastAsia="zh-CN"/>
        </w:rPr>
        <w:t>代表甲方审核、接受乙方提出的项目开发计划；</w:t>
      </w:r>
    </w:p>
    <w:p>
      <w:pPr>
        <w:pStyle w:val="17"/>
        <w:spacing w:before="146" w:line="364" w:lineRule="auto"/>
        <w:ind w:right="865" w:firstLine="439"/>
        <w:rPr>
          <w:color w:val="auto"/>
          <w:highlight w:val="none"/>
          <w:lang w:val="en-US" w:eastAsia="zh-CN"/>
        </w:rPr>
      </w:pPr>
      <w:r>
        <w:rPr>
          <w:rFonts w:hint="default"/>
          <w:color w:val="auto"/>
          <w:highlight w:val="none"/>
          <w:lang w:val="en-US" w:eastAsia="zh-CN"/>
        </w:rPr>
        <w:t>（</w:t>
      </w:r>
      <w:r>
        <w:rPr>
          <w:rFonts w:hint="eastAsia" w:ascii="Times New Roman" w:hAnsi="Times New Roman"/>
          <w:color w:val="auto"/>
          <w:highlight w:val="none"/>
          <w:lang w:val="en-US" w:eastAsia="zh-CN"/>
        </w:rPr>
        <w:t>2</w:t>
      </w:r>
      <w:r>
        <w:rPr>
          <w:rFonts w:hint="default"/>
          <w:color w:val="auto"/>
          <w:highlight w:val="none"/>
          <w:lang w:val="en-US" w:eastAsia="zh-CN"/>
        </w:rPr>
        <w:t>）</w:t>
      </w:r>
      <w:r>
        <w:rPr>
          <w:color w:val="auto"/>
          <w:highlight w:val="none"/>
          <w:lang w:val="en-US" w:eastAsia="zh-CN"/>
        </w:rPr>
        <w:t>对乙方管理中的相关行为进行签证审批；</w:t>
      </w:r>
    </w:p>
    <w:p>
      <w:pPr>
        <w:pStyle w:val="17"/>
        <w:spacing w:before="146" w:line="364" w:lineRule="auto"/>
        <w:ind w:right="865" w:firstLine="439"/>
        <w:rPr>
          <w:rFonts w:hint="default"/>
          <w:color w:val="auto"/>
          <w:highlight w:val="none"/>
          <w:lang w:val="en-US" w:eastAsia="zh-CN"/>
        </w:rPr>
      </w:pPr>
      <w:r>
        <w:rPr>
          <w:rFonts w:hint="default"/>
          <w:color w:val="auto"/>
          <w:highlight w:val="none"/>
          <w:lang w:val="en-US" w:eastAsia="zh-CN"/>
        </w:rPr>
        <w:t>（</w:t>
      </w:r>
      <w:r>
        <w:rPr>
          <w:rFonts w:hint="eastAsia" w:ascii="Times New Roman" w:hAnsi="Times New Roman"/>
          <w:color w:val="auto"/>
          <w:highlight w:val="none"/>
          <w:lang w:val="en-US" w:eastAsia="zh-CN"/>
        </w:rPr>
        <w:t>3</w:t>
      </w:r>
      <w:r>
        <w:rPr>
          <w:rFonts w:hint="default"/>
          <w:color w:val="auto"/>
          <w:highlight w:val="none"/>
          <w:lang w:val="en-US" w:eastAsia="zh-CN"/>
        </w:rPr>
        <w:t>）代表甲方签收乙方的管理工作报告；</w:t>
      </w:r>
    </w:p>
    <w:p>
      <w:pPr>
        <w:pStyle w:val="17"/>
        <w:spacing w:before="146" w:line="364" w:lineRule="auto"/>
        <w:ind w:right="865" w:firstLine="439"/>
        <w:rPr>
          <w:rFonts w:hint="default"/>
          <w:color w:val="auto"/>
          <w:highlight w:val="none"/>
          <w:lang w:val="en-US" w:eastAsia="zh-CN"/>
        </w:rPr>
      </w:pPr>
      <w:r>
        <w:rPr>
          <w:rFonts w:hint="default"/>
          <w:color w:val="auto"/>
          <w:highlight w:val="none"/>
          <w:lang w:val="en-US" w:eastAsia="zh-CN"/>
        </w:rPr>
        <w:t>（</w:t>
      </w:r>
      <w:r>
        <w:rPr>
          <w:rFonts w:hint="eastAsia" w:ascii="Times New Roman" w:hAnsi="Times New Roman"/>
          <w:color w:val="auto"/>
          <w:highlight w:val="none"/>
          <w:lang w:val="en-US" w:eastAsia="zh-CN"/>
        </w:rPr>
        <w:t>4</w:t>
      </w:r>
      <w:r>
        <w:rPr>
          <w:rFonts w:hint="default"/>
          <w:color w:val="auto"/>
          <w:highlight w:val="none"/>
          <w:lang w:val="en-US" w:eastAsia="zh-CN"/>
        </w:rPr>
        <w:t>）代表甲方批准重大设计变更；</w:t>
      </w:r>
    </w:p>
    <w:p>
      <w:pPr>
        <w:pStyle w:val="17"/>
        <w:spacing w:before="146" w:line="364" w:lineRule="auto"/>
        <w:ind w:right="865" w:firstLine="439"/>
        <w:rPr>
          <w:rFonts w:hint="default"/>
          <w:color w:val="auto"/>
          <w:highlight w:val="none"/>
          <w:lang w:val="en-US" w:eastAsia="zh-CN"/>
        </w:rPr>
      </w:pPr>
      <w:r>
        <w:rPr>
          <w:rFonts w:hint="default"/>
          <w:color w:val="auto"/>
          <w:highlight w:val="none"/>
          <w:lang w:val="en-US" w:eastAsia="zh-CN"/>
        </w:rPr>
        <w:t>（</w:t>
      </w:r>
      <w:r>
        <w:rPr>
          <w:rFonts w:hint="eastAsia" w:ascii="Times New Roman" w:hAnsi="Times New Roman"/>
          <w:color w:val="auto"/>
          <w:highlight w:val="none"/>
          <w:lang w:val="en-US" w:eastAsia="zh-CN"/>
        </w:rPr>
        <w:t>5</w:t>
      </w:r>
      <w:r>
        <w:rPr>
          <w:rFonts w:hint="default"/>
          <w:color w:val="auto"/>
          <w:highlight w:val="none"/>
          <w:lang w:val="en-US" w:eastAsia="zh-CN"/>
        </w:rPr>
        <w:t>）参与项目设计、招投标、营销策划等业务会议；</w:t>
      </w:r>
    </w:p>
    <w:p>
      <w:pPr>
        <w:pStyle w:val="17"/>
        <w:spacing w:before="146" w:line="364" w:lineRule="auto"/>
        <w:ind w:right="865" w:firstLine="439"/>
        <w:rPr>
          <w:rFonts w:hint="default"/>
          <w:color w:val="auto"/>
          <w:highlight w:val="none"/>
          <w:lang w:val="en-US" w:eastAsia="zh-CN"/>
        </w:rPr>
      </w:pPr>
      <w:r>
        <w:rPr>
          <w:rFonts w:hint="default"/>
          <w:color w:val="auto"/>
          <w:highlight w:val="none"/>
          <w:lang w:val="en-US" w:eastAsia="zh-CN"/>
        </w:rPr>
        <w:t>（</w:t>
      </w:r>
      <w:r>
        <w:rPr>
          <w:rFonts w:hint="eastAsia" w:ascii="Times New Roman" w:hAnsi="Times New Roman"/>
          <w:color w:val="auto"/>
          <w:highlight w:val="none"/>
          <w:lang w:val="en-US" w:eastAsia="zh-CN"/>
        </w:rPr>
        <w:t>6</w:t>
      </w:r>
      <w:r>
        <w:rPr>
          <w:rFonts w:hint="default"/>
          <w:color w:val="auto"/>
          <w:highlight w:val="none"/>
          <w:lang w:val="en-US" w:eastAsia="zh-CN"/>
        </w:rPr>
        <w:t>）代表甲方进行现场检查，提出监督和整改意见；</w:t>
      </w:r>
    </w:p>
    <w:p>
      <w:pPr>
        <w:pStyle w:val="17"/>
        <w:spacing w:before="146" w:line="364" w:lineRule="auto"/>
        <w:ind w:right="865" w:firstLine="439"/>
        <w:rPr>
          <w:rFonts w:hint="default"/>
          <w:color w:val="auto"/>
          <w:highlight w:val="none"/>
          <w:lang w:val="en-US" w:eastAsia="zh-CN"/>
        </w:rPr>
      </w:pPr>
      <w:r>
        <w:rPr>
          <w:rFonts w:hint="default"/>
          <w:color w:val="auto"/>
          <w:highlight w:val="none"/>
          <w:lang w:val="en-US" w:eastAsia="zh-CN"/>
        </w:rPr>
        <w:t>（</w:t>
      </w:r>
      <w:r>
        <w:rPr>
          <w:rFonts w:hint="eastAsia" w:ascii="Times New Roman" w:hAnsi="Times New Roman"/>
          <w:color w:val="auto"/>
          <w:highlight w:val="none"/>
          <w:lang w:val="en-US" w:eastAsia="zh-CN"/>
        </w:rPr>
        <w:t>7</w:t>
      </w:r>
      <w:r>
        <w:rPr>
          <w:rFonts w:hint="default"/>
          <w:color w:val="auto"/>
          <w:highlight w:val="none"/>
          <w:lang w:val="en-US" w:eastAsia="zh-CN"/>
        </w:rPr>
        <w:t>）代表甲方检查财务帐簿和凭证；</w:t>
      </w:r>
    </w:p>
    <w:p>
      <w:pPr>
        <w:pStyle w:val="17"/>
        <w:spacing w:before="146" w:line="364" w:lineRule="auto"/>
        <w:ind w:right="865" w:firstLine="439"/>
        <w:rPr>
          <w:rFonts w:hint="default"/>
          <w:color w:val="auto"/>
          <w:highlight w:val="none"/>
          <w:lang w:val="en-US" w:eastAsia="zh-CN"/>
        </w:rPr>
      </w:pPr>
      <w:r>
        <w:rPr>
          <w:rFonts w:hint="default"/>
          <w:color w:val="auto"/>
          <w:highlight w:val="none"/>
          <w:lang w:val="en-US" w:eastAsia="zh-CN"/>
        </w:rPr>
        <w:t>（</w:t>
      </w:r>
      <w:r>
        <w:rPr>
          <w:rFonts w:hint="eastAsia" w:ascii="Times New Roman" w:hAnsi="Times New Roman"/>
          <w:color w:val="auto"/>
          <w:highlight w:val="none"/>
          <w:lang w:val="en-US" w:eastAsia="zh-CN"/>
        </w:rPr>
        <w:t>8</w:t>
      </w:r>
      <w:r>
        <w:rPr>
          <w:rFonts w:hint="default"/>
          <w:color w:val="auto"/>
          <w:highlight w:val="none"/>
          <w:lang w:val="en-US" w:eastAsia="zh-CN"/>
        </w:rPr>
        <w:t>）代表甲方审批应当由甲方批准的费用；</w:t>
      </w:r>
    </w:p>
    <w:p>
      <w:pPr>
        <w:pStyle w:val="17"/>
        <w:spacing w:before="146" w:line="364" w:lineRule="auto"/>
        <w:ind w:right="865" w:firstLine="439"/>
        <w:rPr>
          <w:rFonts w:hint="default"/>
          <w:color w:val="auto"/>
          <w:highlight w:val="none"/>
          <w:lang w:val="en-US" w:eastAsia="zh-CN"/>
        </w:rPr>
      </w:pPr>
      <w:r>
        <w:rPr>
          <w:rFonts w:hint="default"/>
          <w:color w:val="auto"/>
          <w:highlight w:val="none"/>
          <w:lang w:val="en-US" w:eastAsia="zh-CN"/>
        </w:rPr>
        <w:t>（</w:t>
      </w:r>
      <w:r>
        <w:rPr>
          <w:rFonts w:hint="eastAsia" w:ascii="Times New Roman" w:hAnsi="Times New Roman"/>
          <w:color w:val="auto"/>
          <w:highlight w:val="none"/>
          <w:lang w:val="en-US" w:eastAsia="zh-CN"/>
        </w:rPr>
        <w:t>9</w:t>
      </w:r>
      <w:r>
        <w:rPr>
          <w:rFonts w:hint="default"/>
          <w:color w:val="auto"/>
          <w:highlight w:val="none"/>
          <w:lang w:val="en-US" w:eastAsia="zh-CN"/>
        </w:rPr>
        <w:t>）代表甲方签署设计、监理、施工总包、重要分包、主要设备采购（如电梯、变电等设备）等合同；</w:t>
      </w:r>
    </w:p>
    <w:p>
      <w:pPr>
        <w:pStyle w:val="17"/>
        <w:spacing w:before="146" w:line="364" w:lineRule="auto"/>
        <w:ind w:right="865" w:firstLine="439"/>
        <w:rPr>
          <w:rFonts w:hint="default"/>
          <w:color w:val="auto"/>
          <w:highlight w:val="none"/>
          <w:lang w:val="en-US" w:eastAsia="zh-CN"/>
        </w:rPr>
      </w:pPr>
      <w:r>
        <w:rPr>
          <w:rFonts w:hint="default"/>
          <w:color w:val="auto"/>
          <w:highlight w:val="none"/>
          <w:lang w:val="en-US" w:eastAsia="zh-CN"/>
        </w:rPr>
        <w:t>（</w:t>
      </w:r>
      <w:r>
        <w:rPr>
          <w:rFonts w:hint="eastAsia" w:ascii="Times New Roman" w:hAnsi="Times New Roman"/>
          <w:color w:val="auto"/>
          <w:highlight w:val="none"/>
          <w:lang w:val="en-US" w:eastAsia="zh-CN"/>
        </w:rPr>
        <w:t>10</w:t>
      </w:r>
      <w:r>
        <w:rPr>
          <w:rFonts w:hint="default"/>
          <w:color w:val="auto"/>
          <w:highlight w:val="none"/>
          <w:lang w:val="en-US" w:eastAsia="zh-CN"/>
        </w:rPr>
        <w:t>）甲方授权行使的其他权利。</w:t>
      </w:r>
    </w:p>
    <w:p>
      <w:pPr>
        <w:pStyle w:val="17"/>
        <w:spacing w:before="146" w:line="364" w:lineRule="auto"/>
        <w:ind w:right="865" w:firstLine="439"/>
        <w:rPr>
          <w:color w:val="auto"/>
          <w:highlight w:val="none"/>
          <w:lang w:eastAsia="zh-CN"/>
        </w:rPr>
      </w:pPr>
      <w:r>
        <w:rPr>
          <w:rFonts w:hint="eastAsia" w:ascii="Times New Roman" w:hAnsi="Times New Roman"/>
          <w:color w:val="auto"/>
          <w:highlight w:val="none"/>
          <w:lang w:eastAsia="zh-CN"/>
        </w:rPr>
        <w:t>4</w:t>
      </w:r>
      <w:r>
        <w:rPr>
          <w:color w:val="auto"/>
          <w:spacing w:val="-3"/>
          <w:highlight w:val="none"/>
          <w:lang w:eastAsia="zh-CN"/>
        </w:rPr>
        <w:t>、双方代表在授权范围内行使本合同的权利并履行本合同的义务，在授权范围内由双方代表签署的意见（包括通过乙方协同办公平台签署的意见）</w:t>
      </w:r>
      <w:r>
        <w:rPr>
          <w:color w:val="auto"/>
          <w:spacing w:val="-2"/>
          <w:highlight w:val="none"/>
          <w:lang w:eastAsia="zh-CN"/>
        </w:rPr>
        <w:t>即视为甲乙双方对该</w:t>
      </w:r>
      <w:r>
        <w:rPr>
          <w:color w:val="auto"/>
          <w:spacing w:val="-3"/>
          <w:highlight w:val="none"/>
          <w:lang w:eastAsia="zh-CN"/>
        </w:rPr>
        <w:t>项事务的处理意见，本合同另有约定的除外。</w:t>
      </w:r>
    </w:p>
    <w:p>
      <w:pPr>
        <w:pStyle w:val="17"/>
        <w:spacing w:line="364" w:lineRule="auto"/>
        <w:ind w:right="978" w:firstLine="439"/>
        <w:rPr>
          <w:color w:val="auto"/>
          <w:highlight w:val="none"/>
          <w:lang w:eastAsia="zh-CN"/>
        </w:rPr>
      </w:pPr>
      <w:r>
        <w:rPr>
          <w:rFonts w:hint="eastAsia" w:ascii="Times New Roman" w:hAnsi="Times New Roman"/>
          <w:color w:val="auto"/>
          <w:highlight w:val="none"/>
          <w:lang w:eastAsia="zh-CN"/>
        </w:rPr>
        <w:t>5</w:t>
      </w:r>
      <w:r>
        <w:rPr>
          <w:color w:val="auto"/>
          <w:spacing w:val="-6"/>
          <w:highlight w:val="none"/>
          <w:lang w:eastAsia="zh-CN"/>
        </w:rPr>
        <w:t xml:space="preserve">、甲乙双方任何一方更换代表人选的，必须提前 </w:t>
      </w:r>
      <w:r>
        <w:rPr>
          <w:rFonts w:hint="eastAsia" w:ascii="Times New Roman" w:hAnsi="Times New Roman"/>
          <w:color w:val="auto"/>
          <w:highlight w:val="none"/>
          <w:lang w:eastAsia="zh-CN"/>
        </w:rPr>
        <w:t>5</w:t>
      </w:r>
      <w:r>
        <w:rPr>
          <w:color w:val="auto"/>
          <w:spacing w:val="-9"/>
          <w:highlight w:val="none"/>
          <w:lang w:eastAsia="zh-CN"/>
        </w:rPr>
        <w:t xml:space="preserve"> 日以书面形式加盖公司印章告</w:t>
      </w:r>
      <w:r>
        <w:rPr>
          <w:color w:val="auto"/>
          <w:spacing w:val="-3"/>
          <w:highlight w:val="none"/>
          <w:lang w:eastAsia="zh-CN"/>
        </w:rPr>
        <w:t>知另一方。</w:t>
      </w:r>
    </w:p>
    <w:p>
      <w:pPr>
        <w:pStyle w:val="13"/>
        <w:rPr>
          <w:color w:val="auto"/>
          <w:highlight w:val="none"/>
          <w:lang w:eastAsia="zh-CN"/>
        </w:rPr>
      </w:pPr>
      <w:r>
        <w:rPr>
          <w:color w:val="auto"/>
          <w:highlight w:val="none"/>
          <w:lang w:eastAsia="zh-CN"/>
        </w:rPr>
        <w:t>第三条 人力资源管理</w:t>
      </w:r>
    </w:p>
    <w:p>
      <w:pPr>
        <w:pStyle w:val="17"/>
        <w:spacing w:before="143" w:line="364" w:lineRule="auto"/>
        <w:ind w:right="865" w:firstLine="439"/>
        <w:rPr>
          <w:color w:val="auto"/>
          <w:highlight w:val="none"/>
          <w:lang w:eastAsia="zh-CN"/>
        </w:rPr>
      </w:pPr>
      <w:r>
        <w:rPr>
          <w:rFonts w:hint="eastAsia" w:ascii="Times New Roman" w:hAnsi="Times New Roman"/>
          <w:color w:val="auto"/>
          <w:highlight w:val="none"/>
          <w:lang w:eastAsia="zh-CN"/>
        </w:rPr>
        <w:t>1</w:t>
      </w:r>
      <w:r>
        <w:rPr>
          <w:color w:val="auto"/>
          <w:spacing w:val="-3"/>
          <w:highlight w:val="none"/>
          <w:lang w:eastAsia="zh-CN"/>
        </w:rPr>
        <w:t>、项目管理团队的人员编制由乙方提出方案，报甲方</w:t>
      </w:r>
      <w:r>
        <w:rPr>
          <w:rFonts w:hint="eastAsia"/>
          <w:color w:val="auto"/>
          <w:spacing w:val="-3"/>
          <w:highlight w:val="none"/>
          <w:lang w:eastAsia="zh-CN"/>
        </w:rPr>
        <w:t>同意</w:t>
      </w:r>
      <w:r>
        <w:rPr>
          <w:color w:val="auto"/>
          <w:spacing w:val="-3"/>
          <w:highlight w:val="none"/>
          <w:lang w:eastAsia="zh-CN"/>
        </w:rPr>
        <w:t>后执行。人员编制实施年度动态管理，在本合同履行过程中可根据项目开发建设的实际需要进行调整，原则上</w:t>
      </w:r>
      <w:r>
        <w:rPr>
          <w:color w:val="auto"/>
          <w:spacing w:val="-11"/>
          <w:highlight w:val="none"/>
          <w:lang w:eastAsia="zh-CN"/>
        </w:rPr>
        <w:t xml:space="preserve">由乙方于当年 </w:t>
      </w:r>
      <w:r>
        <w:rPr>
          <w:rFonts w:hint="eastAsia" w:ascii="Times New Roman" w:hAnsi="Times New Roman"/>
          <w:color w:val="auto"/>
          <w:highlight w:val="none"/>
          <w:lang w:eastAsia="zh-CN"/>
        </w:rPr>
        <w:t>1</w:t>
      </w:r>
      <w:r>
        <w:rPr>
          <w:color w:val="auto"/>
          <w:spacing w:val="-9"/>
          <w:highlight w:val="none"/>
          <w:lang w:eastAsia="zh-CN"/>
        </w:rPr>
        <w:t xml:space="preserve"> 月底前提报当年人员编制计划或调整方案。</w:t>
      </w:r>
    </w:p>
    <w:p>
      <w:pPr>
        <w:pStyle w:val="17"/>
        <w:spacing w:line="281" w:lineRule="exact"/>
        <w:ind w:firstLine="210" w:firstLineChars="100"/>
        <w:rPr>
          <w:color w:val="auto"/>
          <w:highlight w:val="none"/>
        </w:rPr>
      </w:pPr>
      <w:r>
        <w:rPr>
          <w:rFonts w:hint="eastAsia" w:ascii="Times New Roman" w:hAnsi="Times New Roman"/>
          <w:color w:val="auto"/>
          <w:highlight w:val="none"/>
          <w:lang w:eastAsia="zh-CN"/>
        </w:rPr>
        <w:t>2</w:t>
      </w:r>
      <w:r>
        <w:rPr>
          <w:color w:val="auto"/>
          <w:highlight w:val="none"/>
        </w:rPr>
        <w:t>、劳动人事关系</w:t>
      </w:r>
    </w:p>
    <w:p>
      <w:pPr>
        <w:pStyle w:val="90"/>
        <w:numPr>
          <w:ilvl w:val="0"/>
          <w:numId w:val="0"/>
        </w:numPr>
        <w:tabs>
          <w:tab w:val="left" w:pos="1811"/>
        </w:tabs>
        <w:spacing w:before="146"/>
        <w:rPr>
          <w:color w:val="auto"/>
          <w:highlight w:val="none"/>
          <w:lang w:eastAsia="zh-CN"/>
        </w:rPr>
      </w:pPr>
      <w:r>
        <w:rPr>
          <w:rFonts w:hint="default" w:ascii="宋体" w:hAnsi="宋体" w:eastAsia="宋体" w:cs="宋体"/>
          <w:color w:val="auto"/>
          <w:spacing w:val="-3"/>
          <w:w w:val="100"/>
          <w:kern w:val="2"/>
          <w:sz w:val="20"/>
          <w:szCs w:val="20"/>
          <w:highlight w:val="none"/>
          <w:lang w:val="en-US" w:eastAsia="zh-CN" w:bidi="ar-SA"/>
        </w:rPr>
        <w:t>（</w:t>
      </w:r>
      <w:r>
        <w:rPr>
          <w:rFonts w:hint="eastAsia" w:ascii="Times New Roman" w:hAnsi="Times New Roman" w:cs="宋体"/>
          <w:color w:val="auto"/>
          <w:spacing w:val="-3"/>
          <w:w w:val="100"/>
          <w:kern w:val="2"/>
          <w:sz w:val="20"/>
          <w:szCs w:val="20"/>
          <w:highlight w:val="none"/>
          <w:lang w:val="en-US" w:eastAsia="zh-CN" w:bidi="ar-SA"/>
        </w:rPr>
        <w:t>1</w:t>
      </w:r>
      <w:r>
        <w:rPr>
          <w:rFonts w:hint="default" w:ascii="宋体" w:hAnsi="宋体" w:eastAsia="宋体" w:cs="宋体"/>
          <w:color w:val="auto"/>
          <w:spacing w:val="-3"/>
          <w:w w:val="100"/>
          <w:kern w:val="2"/>
          <w:sz w:val="20"/>
          <w:szCs w:val="20"/>
          <w:highlight w:val="none"/>
          <w:lang w:val="en-US" w:eastAsia="zh-CN" w:bidi="ar-SA"/>
        </w:rPr>
        <w:t>）</w:t>
      </w:r>
      <w:r>
        <w:rPr>
          <w:color w:val="auto"/>
          <w:spacing w:val="-3"/>
          <w:highlight w:val="none"/>
          <w:lang w:eastAsia="zh-CN"/>
        </w:rPr>
        <w:t>甲方委派人员：由甲方</w:t>
      </w:r>
      <w:r>
        <w:rPr>
          <w:color w:val="auto"/>
          <w:highlight w:val="none"/>
          <w:lang w:eastAsia="zh-CN"/>
        </w:rPr>
        <w:t>（</w:t>
      </w:r>
      <w:r>
        <w:rPr>
          <w:color w:val="auto"/>
          <w:spacing w:val="-3"/>
          <w:highlight w:val="none"/>
          <w:lang w:eastAsia="zh-CN"/>
        </w:rPr>
        <w:t>或甲方所属控股母公司</w:t>
      </w:r>
      <w:r>
        <w:rPr>
          <w:rFonts w:hint="eastAsia"/>
          <w:color w:val="auto"/>
          <w:spacing w:val="-3"/>
          <w:highlight w:val="none"/>
          <w:lang w:eastAsia="zh-CN"/>
        </w:rPr>
        <w:t>及其子公司</w:t>
      </w:r>
      <w:r>
        <w:rPr>
          <w:color w:val="auto"/>
          <w:spacing w:val="-3"/>
          <w:highlight w:val="none"/>
          <w:lang w:eastAsia="zh-CN"/>
        </w:rPr>
        <w:t>）</w:t>
      </w:r>
      <w:r>
        <w:rPr>
          <w:color w:val="auto"/>
          <w:spacing w:val="-2"/>
          <w:highlight w:val="none"/>
          <w:lang w:eastAsia="zh-CN"/>
        </w:rPr>
        <w:t>与其签订劳动合同；</w:t>
      </w:r>
    </w:p>
    <w:p>
      <w:pPr>
        <w:pStyle w:val="90"/>
        <w:numPr>
          <w:ilvl w:val="0"/>
          <w:numId w:val="0"/>
        </w:numPr>
        <w:tabs>
          <w:tab w:val="left" w:pos="1811"/>
        </w:tabs>
        <w:spacing w:before="147"/>
        <w:rPr>
          <w:color w:val="auto"/>
          <w:highlight w:val="none"/>
          <w:lang w:eastAsia="zh-CN"/>
        </w:rPr>
      </w:pPr>
      <w:r>
        <w:rPr>
          <w:rFonts w:hint="default" w:ascii="宋体" w:hAnsi="宋体" w:eastAsia="宋体" w:cs="宋体"/>
          <w:color w:val="auto"/>
          <w:spacing w:val="-3"/>
          <w:w w:val="100"/>
          <w:kern w:val="2"/>
          <w:sz w:val="20"/>
          <w:szCs w:val="20"/>
          <w:highlight w:val="none"/>
          <w:lang w:val="en-US" w:eastAsia="zh-CN" w:bidi="ar-SA"/>
        </w:rPr>
        <w:t>（</w:t>
      </w:r>
      <w:r>
        <w:rPr>
          <w:rFonts w:hint="eastAsia" w:ascii="Times New Roman" w:hAnsi="Times New Roman" w:cs="宋体"/>
          <w:color w:val="auto"/>
          <w:spacing w:val="-3"/>
          <w:w w:val="100"/>
          <w:kern w:val="2"/>
          <w:sz w:val="20"/>
          <w:szCs w:val="20"/>
          <w:highlight w:val="none"/>
          <w:lang w:val="en-US" w:eastAsia="zh-CN" w:bidi="ar-SA"/>
        </w:rPr>
        <w:t>2</w:t>
      </w:r>
      <w:r>
        <w:rPr>
          <w:rFonts w:hint="default" w:ascii="宋体" w:hAnsi="宋体" w:eastAsia="宋体" w:cs="宋体"/>
          <w:color w:val="auto"/>
          <w:spacing w:val="-3"/>
          <w:w w:val="100"/>
          <w:kern w:val="2"/>
          <w:sz w:val="20"/>
          <w:szCs w:val="20"/>
          <w:highlight w:val="none"/>
          <w:lang w:val="en-US" w:eastAsia="zh-CN" w:bidi="ar-SA"/>
        </w:rPr>
        <w:t>）</w:t>
      </w:r>
      <w:r>
        <w:rPr>
          <w:color w:val="auto"/>
          <w:spacing w:val="-3"/>
          <w:highlight w:val="none"/>
          <w:lang w:eastAsia="zh-CN"/>
        </w:rPr>
        <w:t>乙方委派人员：由乙方或乙方指定的下属公司与其签订劳动合同。</w:t>
      </w:r>
    </w:p>
    <w:p>
      <w:pPr>
        <w:pStyle w:val="90"/>
        <w:numPr>
          <w:ilvl w:val="0"/>
          <w:numId w:val="0"/>
        </w:numPr>
        <w:tabs>
          <w:tab w:val="left" w:pos="1811"/>
        </w:tabs>
        <w:spacing w:before="146" w:line="364" w:lineRule="auto"/>
        <w:ind w:right="978" w:rightChars="0"/>
        <w:rPr>
          <w:color w:val="auto"/>
          <w:highlight w:val="none"/>
          <w:lang w:eastAsia="zh-CN"/>
        </w:rPr>
      </w:pPr>
      <w:r>
        <w:rPr>
          <w:rFonts w:hint="default" w:ascii="宋体" w:hAnsi="宋体" w:eastAsia="宋体" w:cs="宋体"/>
          <w:color w:val="auto"/>
          <w:spacing w:val="-3"/>
          <w:w w:val="100"/>
          <w:kern w:val="2"/>
          <w:sz w:val="20"/>
          <w:szCs w:val="20"/>
          <w:highlight w:val="none"/>
          <w:lang w:val="en-US" w:eastAsia="zh-CN" w:bidi="ar-SA"/>
        </w:rPr>
        <w:t>（</w:t>
      </w:r>
      <w:r>
        <w:rPr>
          <w:rFonts w:hint="eastAsia" w:ascii="Times New Roman" w:hAnsi="Times New Roman" w:cs="宋体"/>
          <w:color w:val="auto"/>
          <w:spacing w:val="-3"/>
          <w:w w:val="100"/>
          <w:kern w:val="2"/>
          <w:sz w:val="20"/>
          <w:szCs w:val="20"/>
          <w:highlight w:val="none"/>
          <w:lang w:val="en-US" w:eastAsia="zh-CN" w:bidi="ar-SA"/>
        </w:rPr>
        <w:t>3</w:t>
      </w:r>
      <w:r>
        <w:rPr>
          <w:rFonts w:hint="default" w:ascii="宋体" w:hAnsi="宋体" w:eastAsia="宋体" w:cs="宋体"/>
          <w:color w:val="auto"/>
          <w:spacing w:val="-3"/>
          <w:w w:val="100"/>
          <w:kern w:val="2"/>
          <w:sz w:val="20"/>
          <w:szCs w:val="20"/>
          <w:highlight w:val="none"/>
          <w:lang w:val="en-US" w:eastAsia="zh-CN" w:bidi="ar-SA"/>
        </w:rPr>
        <w:t>）</w:t>
      </w:r>
      <w:r>
        <w:rPr>
          <w:color w:val="auto"/>
          <w:spacing w:val="-3"/>
          <w:highlight w:val="none"/>
          <w:lang w:eastAsia="zh-CN"/>
        </w:rPr>
        <w:t>除以上人事关系安排外，如还有其他事项劳动人事关系处理，可由甲乙双方另行协商约定。</w:t>
      </w:r>
    </w:p>
    <w:p>
      <w:pPr>
        <w:pStyle w:val="17"/>
        <w:ind w:firstLine="210" w:firstLineChars="100"/>
        <w:rPr>
          <w:color w:val="auto"/>
          <w:highlight w:val="none"/>
        </w:rPr>
      </w:pPr>
      <w:r>
        <w:rPr>
          <w:rFonts w:hint="eastAsia" w:ascii="Times New Roman" w:hAnsi="Times New Roman"/>
          <w:color w:val="auto"/>
          <w:highlight w:val="none"/>
          <w:lang w:eastAsia="zh-CN"/>
        </w:rPr>
        <w:t>3</w:t>
      </w:r>
      <w:r>
        <w:rPr>
          <w:color w:val="auto"/>
          <w:highlight w:val="none"/>
        </w:rPr>
        <w:t>、薪酬福利</w:t>
      </w:r>
    </w:p>
    <w:p>
      <w:pPr>
        <w:pStyle w:val="90"/>
        <w:numPr>
          <w:ilvl w:val="0"/>
          <w:numId w:val="0"/>
        </w:numPr>
        <w:tabs>
          <w:tab w:val="left" w:pos="1811"/>
        </w:tabs>
        <w:spacing w:before="145" w:line="364" w:lineRule="auto"/>
        <w:ind w:right="978" w:rightChars="0"/>
        <w:rPr>
          <w:color w:val="auto"/>
          <w:highlight w:val="none"/>
          <w:lang w:eastAsia="zh-CN"/>
        </w:rPr>
      </w:pPr>
      <w:r>
        <w:rPr>
          <w:rFonts w:hint="default" w:ascii="宋体" w:hAnsi="宋体" w:eastAsia="宋体" w:cs="宋体"/>
          <w:color w:val="auto"/>
          <w:spacing w:val="-3"/>
          <w:w w:val="100"/>
          <w:kern w:val="2"/>
          <w:sz w:val="20"/>
          <w:szCs w:val="20"/>
          <w:highlight w:val="none"/>
          <w:lang w:val="en-US" w:eastAsia="zh-CN" w:bidi="ar-SA"/>
        </w:rPr>
        <w:t>（</w:t>
      </w:r>
      <w:r>
        <w:rPr>
          <w:rFonts w:hint="eastAsia" w:ascii="Times New Roman" w:hAnsi="Times New Roman" w:cs="宋体"/>
          <w:color w:val="auto"/>
          <w:spacing w:val="-3"/>
          <w:w w:val="100"/>
          <w:kern w:val="2"/>
          <w:sz w:val="20"/>
          <w:szCs w:val="20"/>
          <w:highlight w:val="none"/>
          <w:lang w:val="en-US" w:eastAsia="zh-CN" w:bidi="ar-SA"/>
        </w:rPr>
        <w:t>1</w:t>
      </w:r>
      <w:r>
        <w:rPr>
          <w:rFonts w:hint="default" w:ascii="宋体" w:hAnsi="宋体" w:eastAsia="宋体" w:cs="宋体"/>
          <w:color w:val="auto"/>
          <w:spacing w:val="-3"/>
          <w:w w:val="100"/>
          <w:kern w:val="2"/>
          <w:sz w:val="20"/>
          <w:szCs w:val="20"/>
          <w:highlight w:val="none"/>
          <w:lang w:val="en-US" w:eastAsia="zh-CN" w:bidi="ar-SA"/>
        </w:rPr>
        <w:t>）</w:t>
      </w:r>
      <w:r>
        <w:rPr>
          <w:color w:val="auto"/>
          <w:spacing w:val="-3"/>
          <w:highlight w:val="none"/>
          <w:lang w:eastAsia="zh-CN"/>
        </w:rPr>
        <w:t>甲方委派人员：其薪酬和福利标准由甲方单独制定，可参照乙方公司薪酬福</w:t>
      </w:r>
      <w:r>
        <w:rPr>
          <w:color w:val="auto"/>
          <w:spacing w:val="-2"/>
          <w:highlight w:val="none"/>
          <w:lang w:eastAsia="zh-CN"/>
        </w:rPr>
        <w:t>利标准；</w:t>
      </w:r>
    </w:p>
    <w:p>
      <w:pPr>
        <w:pStyle w:val="90"/>
        <w:numPr>
          <w:ilvl w:val="0"/>
          <w:numId w:val="0"/>
        </w:numPr>
        <w:tabs>
          <w:tab w:val="left" w:pos="1811"/>
        </w:tabs>
        <w:spacing w:line="364" w:lineRule="auto"/>
        <w:ind w:right="978" w:rightChars="0"/>
        <w:rPr>
          <w:color w:val="auto"/>
          <w:highlight w:val="none"/>
          <w:lang w:eastAsia="zh-CN"/>
        </w:rPr>
      </w:pPr>
      <w:r>
        <w:rPr>
          <w:rFonts w:hint="default" w:ascii="宋体" w:hAnsi="宋体" w:eastAsia="宋体" w:cs="宋体"/>
          <w:color w:val="auto"/>
          <w:spacing w:val="-3"/>
          <w:w w:val="100"/>
          <w:kern w:val="2"/>
          <w:sz w:val="20"/>
          <w:szCs w:val="20"/>
          <w:highlight w:val="none"/>
          <w:lang w:val="en-US" w:eastAsia="zh-CN" w:bidi="ar-SA"/>
        </w:rPr>
        <w:t>（</w:t>
      </w:r>
      <w:r>
        <w:rPr>
          <w:rFonts w:hint="eastAsia" w:ascii="Times New Roman" w:hAnsi="Times New Roman" w:cs="宋体"/>
          <w:color w:val="auto"/>
          <w:spacing w:val="-3"/>
          <w:w w:val="100"/>
          <w:kern w:val="2"/>
          <w:sz w:val="20"/>
          <w:szCs w:val="20"/>
          <w:highlight w:val="none"/>
          <w:lang w:val="en-US" w:eastAsia="zh-CN" w:bidi="ar-SA"/>
        </w:rPr>
        <w:t>2</w:t>
      </w:r>
      <w:r>
        <w:rPr>
          <w:rFonts w:hint="default" w:ascii="宋体" w:hAnsi="宋体" w:eastAsia="宋体" w:cs="宋体"/>
          <w:color w:val="auto"/>
          <w:spacing w:val="-3"/>
          <w:w w:val="100"/>
          <w:kern w:val="2"/>
          <w:sz w:val="20"/>
          <w:szCs w:val="20"/>
          <w:highlight w:val="none"/>
          <w:lang w:val="en-US" w:eastAsia="zh-CN" w:bidi="ar-SA"/>
        </w:rPr>
        <w:t>）</w:t>
      </w:r>
      <w:r>
        <w:rPr>
          <w:color w:val="auto"/>
          <w:spacing w:val="-3"/>
          <w:highlight w:val="none"/>
          <w:lang w:eastAsia="zh-CN"/>
        </w:rPr>
        <w:t>乙方委派人员：参照乙方公司薪酬福利标准并结合项目所在地有关社会保险费缴纳标准的相关政策规定拟定。</w:t>
      </w:r>
    </w:p>
    <w:p>
      <w:pPr>
        <w:pStyle w:val="17"/>
        <w:spacing w:line="279" w:lineRule="exact"/>
        <w:ind w:firstLine="210" w:firstLineChars="100"/>
        <w:rPr>
          <w:color w:val="auto"/>
          <w:highlight w:val="none"/>
          <w:lang w:eastAsia="zh-CN"/>
        </w:rPr>
      </w:pPr>
      <w:r>
        <w:rPr>
          <w:rFonts w:hint="eastAsia" w:ascii="Times New Roman" w:hAnsi="Times New Roman"/>
          <w:color w:val="auto"/>
          <w:highlight w:val="none"/>
          <w:lang w:eastAsia="zh-CN"/>
        </w:rPr>
        <w:t>4</w:t>
      </w:r>
      <w:r>
        <w:rPr>
          <w:color w:val="auto"/>
          <w:highlight w:val="none"/>
          <w:lang w:eastAsia="zh-CN"/>
        </w:rPr>
        <w:t>、考核评估：按照乙方绩效管理考核办法对项目管理团队实施考核，其中乙方委</w:t>
      </w:r>
      <w:r>
        <w:rPr>
          <w:color w:val="auto"/>
          <w:spacing w:val="-3"/>
          <w:highlight w:val="none"/>
          <w:lang w:eastAsia="zh-CN"/>
        </w:rPr>
        <w:t>派的经营班子人员由乙方考核，并征询甲方意见，考核结果报甲方备案；其他人员按乙方管理权限逐级考核，考核结果报甲方备案。考核结果作为人员激励、退出的重要依据。</w:t>
      </w:r>
    </w:p>
    <w:p>
      <w:pPr>
        <w:pStyle w:val="17"/>
        <w:spacing w:line="364" w:lineRule="auto"/>
        <w:ind w:right="975" w:firstLine="439"/>
        <w:rPr>
          <w:color w:val="auto"/>
          <w:highlight w:val="none"/>
          <w:lang w:eastAsia="zh-CN"/>
        </w:rPr>
      </w:pPr>
      <w:r>
        <w:rPr>
          <w:rFonts w:hint="eastAsia" w:ascii="Times New Roman" w:hAnsi="Times New Roman"/>
          <w:color w:val="auto"/>
          <w:highlight w:val="none"/>
          <w:lang w:eastAsia="zh-CN"/>
        </w:rPr>
        <w:t>5</w:t>
      </w:r>
      <w:r>
        <w:rPr>
          <w:color w:val="auto"/>
          <w:highlight w:val="none"/>
          <w:lang w:eastAsia="zh-CN"/>
        </w:rPr>
        <w:t>、激励与退出：项目</w:t>
      </w:r>
      <w:r>
        <w:rPr>
          <w:rFonts w:hint="eastAsia"/>
          <w:color w:val="auto"/>
          <w:highlight w:val="none"/>
          <w:lang w:eastAsia="zh-CN"/>
        </w:rPr>
        <w:t>负责人</w:t>
      </w:r>
      <w:r>
        <w:rPr>
          <w:color w:val="auto"/>
          <w:highlight w:val="none"/>
          <w:lang w:eastAsia="zh-CN"/>
        </w:rPr>
        <w:t>有权依据绩效考核结果提出人员晋升、调薪或退出的建议，按甲、乙双方约定的审批权限批准后，报甲方备案。</w:t>
      </w:r>
    </w:p>
    <w:p>
      <w:pPr>
        <w:pStyle w:val="17"/>
        <w:spacing w:line="364" w:lineRule="auto"/>
        <w:ind w:right="867" w:firstLine="439"/>
        <w:rPr>
          <w:color w:val="auto"/>
          <w:highlight w:val="none"/>
          <w:lang w:eastAsia="zh-CN"/>
        </w:rPr>
      </w:pPr>
      <w:r>
        <w:rPr>
          <w:color w:val="auto"/>
          <w:highlight w:val="none"/>
          <w:lang w:eastAsia="zh-CN"/>
        </w:rPr>
        <w:t>经甲</w:t>
      </w:r>
      <w:r>
        <w:rPr>
          <w:rFonts w:hint="eastAsia"/>
          <w:color w:val="auto"/>
          <w:highlight w:val="none"/>
          <w:lang w:eastAsia="zh-CN"/>
        </w:rPr>
        <w:t>方</w:t>
      </w:r>
      <w:r>
        <w:rPr>
          <w:color w:val="auto"/>
          <w:highlight w:val="none"/>
          <w:lang w:eastAsia="zh-CN"/>
        </w:rPr>
        <w:t xml:space="preserve">认为不能胜任相应管理工作的乙方委派人员，甲方可要求乙方另行委派，乙方于 </w:t>
      </w:r>
      <w:r>
        <w:rPr>
          <w:rFonts w:hint="eastAsia" w:ascii="Times New Roman" w:hAnsi="Times New Roman"/>
          <w:color w:val="auto"/>
          <w:highlight w:val="none"/>
          <w:lang w:eastAsia="zh-CN"/>
        </w:rPr>
        <w:t>2</w:t>
      </w:r>
      <w:r>
        <w:rPr>
          <w:color w:val="auto"/>
          <w:highlight w:val="none"/>
          <w:lang w:eastAsia="zh-CN"/>
        </w:rPr>
        <w:t xml:space="preserve"> 个月内完成人员调整。</w:t>
      </w:r>
    </w:p>
    <w:p>
      <w:pPr>
        <w:pStyle w:val="17"/>
        <w:spacing w:line="364" w:lineRule="auto"/>
        <w:ind w:right="867" w:firstLine="439"/>
        <w:rPr>
          <w:color w:val="auto"/>
          <w:highlight w:val="none"/>
          <w:lang w:eastAsia="zh-CN"/>
        </w:rPr>
      </w:pPr>
      <w:r>
        <w:rPr>
          <w:color w:val="auto"/>
          <w:highlight w:val="none"/>
          <w:lang w:eastAsia="zh-CN"/>
        </w:rPr>
        <w:t>甲方委派人员不能胜任相应管理工作的，乙方可</w:t>
      </w:r>
      <w:r>
        <w:rPr>
          <w:rFonts w:hint="eastAsia"/>
          <w:color w:val="auto"/>
          <w:highlight w:val="none"/>
          <w:lang w:eastAsia="zh-CN"/>
        </w:rPr>
        <w:t>建议</w:t>
      </w:r>
      <w:r>
        <w:rPr>
          <w:color w:val="auto"/>
          <w:highlight w:val="none"/>
          <w:lang w:eastAsia="zh-CN"/>
        </w:rPr>
        <w:t>甲方予以更换或相应增加项目管理团队人员编制。</w:t>
      </w:r>
    </w:p>
    <w:p>
      <w:pPr>
        <w:pStyle w:val="17"/>
        <w:spacing w:line="364" w:lineRule="auto"/>
        <w:ind w:right="865" w:firstLine="439"/>
        <w:rPr>
          <w:color w:val="auto"/>
          <w:highlight w:val="none"/>
          <w:lang w:eastAsia="zh-CN"/>
        </w:rPr>
      </w:pPr>
      <w:r>
        <w:rPr>
          <w:rFonts w:hint="eastAsia" w:ascii="Times New Roman" w:hAnsi="Times New Roman"/>
          <w:color w:val="auto"/>
          <w:highlight w:val="none"/>
          <w:lang w:eastAsia="zh-CN"/>
        </w:rPr>
        <w:t>6</w:t>
      </w:r>
      <w:r>
        <w:rPr>
          <w:color w:val="auto"/>
          <w:spacing w:val="-3"/>
          <w:highlight w:val="none"/>
          <w:lang w:eastAsia="zh-CN"/>
        </w:rPr>
        <w:t>、甲方委派人员培养费用：为保证项目开发品质，提升员工工作能力，乙方应积极创造条件为项目甲方委派人员提供进修学习的机会，甲方应予以支持和认可</w:t>
      </w:r>
      <w:r>
        <w:rPr>
          <w:rFonts w:hint="eastAsia"/>
          <w:color w:val="auto"/>
          <w:spacing w:val="-3"/>
          <w:highlight w:val="none"/>
          <w:lang w:eastAsia="zh-CN"/>
        </w:rPr>
        <w:t>，相关费用由甲方承担。</w:t>
      </w:r>
    </w:p>
    <w:p>
      <w:pPr>
        <w:spacing w:line="364" w:lineRule="auto"/>
        <w:ind w:right="2295" w:firstLine="420" w:firstLineChars="200"/>
        <w:rPr>
          <w:color w:val="auto"/>
          <w:highlight w:val="none"/>
          <w:lang w:eastAsia="zh-CN"/>
        </w:rPr>
      </w:pPr>
      <w:r>
        <w:rPr>
          <w:rFonts w:hint="eastAsia" w:ascii="Times New Roman" w:hAnsi="Times New Roman"/>
          <w:color w:val="auto"/>
          <w:highlight w:val="none"/>
          <w:lang w:eastAsia="zh-CN"/>
        </w:rPr>
        <w:t>7</w:t>
      </w:r>
      <w:r>
        <w:rPr>
          <w:color w:val="auto"/>
          <w:highlight w:val="none"/>
          <w:lang w:eastAsia="zh-CN"/>
        </w:rPr>
        <w:t>、除非甲乙双方协商一致，双方均承诺不得聘用另一方工作人员。</w:t>
      </w:r>
    </w:p>
    <w:p>
      <w:pPr>
        <w:spacing w:line="364" w:lineRule="auto"/>
        <w:ind w:left="1260" w:right="2295"/>
        <w:rPr>
          <w:b/>
          <w:color w:val="auto"/>
          <w:highlight w:val="none"/>
          <w:lang w:eastAsia="zh-CN"/>
        </w:rPr>
      </w:pPr>
      <w:r>
        <w:rPr>
          <w:b/>
          <w:color w:val="auto"/>
          <w:highlight w:val="none"/>
          <w:lang w:eastAsia="zh-CN"/>
        </w:rPr>
        <w:t>第四条 合同和印章管理</w:t>
      </w:r>
    </w:p>
    <w:p>
      <w:pPr>
        <w:pStyle w:val="17"/>
        <w:spacing w:line="364" w:lineRule="auto"/>
        <w:ind w:right="975" w:firstLine="439"/>
        <w:rPr>
          <w:color w:val="auto"/>
          <w:highlight w:val="none"/>
          <w:lang w:eastAsia="zh-CN"/>
        </w:rPr>
      </w:pPr>
      <w:r>
        <w:rPr>
          <w:rFonts w:hint="eastAsia" w:ascii="Times New Roman" w:hAnsi="Times New Roman"/>
          <w:color w:val="auto"/>
          <w:highlight w:val="none"/>
          <w:lang w:eastAsia="zh-CN"/>
        </w:rPr>
        <w:t>1</w:t>
      </w:r>
      <w:r>
        <w:rPr>
          <w:color w:val="auto"/>
          <w:highlight w:val="none"/>
          <w:lang w:eastAsia="zh-CN"/>
        </w:rPr>
        <w:t>、项目开发建设过程中所涉及的各类合同由乙方负责拟订，</w:t>
      </w:r>
      <w:r>
        <w:rPr>
          <w:rFonts w:hint="eastAsia"/>
          <w:color w:val="auto"/>
          <w:highlight w:val="none"/>
          <w:lang w:eastAsia="zh-CN"/>
        </w:rPr>
        <w:t>履行甲方相关审批程序后</w:t>
      </w:r>
      <w:r>
        <w:rPr>
          <w:color w:val="auto"/>
          <w:highlight w:val="none"/>
          <w:lang w:eastAsia="zh-CN"/>
        </w:rPr>
        <w:t>以甲方的名义进行签订。各类合同签订的前置审批，按双方另行约定的项目管理审批权限表及流程执行。</w:t>
      </w:r>
    </w:p>
    <w:p>
      <w:pPr>
        <w:pStyle w:val="17"/>
        <w:spacing w:line="364" w:lineRule="auto"/>
        <w:ind w:right="975" w:firstLine="439"/>
        <w:rPr>
          <w:color w:val="auto"/>
          <w:highlight w:val="none"/>
          <w:lang w:eastAsia="zh-CN"/>
        </w:rPr>
      </w:pPr>
      <w:r>
        <w:rPr>
          <w:rFonts w:hint="eastAsia" w:ascii="Times New Roman" w:hAnsi="Times New Roman"/>
          <w:color w:val="auto"/>
          <w:highlight w:val="none"/>
          <w:lang w:eastAsia="zh-CN"/>
        </w:rPr>
        <w:t>2</w:t>
      </w:r>
      <w:r>
        <w:rPr>
          <w:color w:val="auto"/>
          <w:highlight w:val="none"/>
          <w:lang w:eastAsia="zh-CN"/>
        </w:rPr>
        <w:t>、合同签订后，由乙方</w:t>
      </w:r>
      <w:r>
        <w:rPr>
          <w:rFonts w:hint="eastAsia"/>
          <w:color w:val="auto"/>
          <w:highlight w:val="none"/>
          <w:lang w:eastAsia="zh-CN"/>
        </w:rPr>
        <w:t>按照项目管理制度</w:t>
      </w:r>
      <w:r>
        <w:rPr>
          <w:color w:val="auto"/>
          <w:highlight w:val="none"/>
          <w:lang w:eastAsia="zh-CN"/>
        </w:rPr>
        <w:t>负责合同履行过程中的管理，维护甲方权益</w:t>
      </w:r>
      <w:r>
        <w:rPr>
          <w:rFonts w:hint="eastAsia"/>
          <w:color w:val="auto"/>
          <w:highlight w:val="none"/>
          <w:lang w:eastAsia="zh-CN"/>
        </w:rPr>
        <w:t>，</w:t>
      </w:r>
      <w:r>
        <w:rPr>
          <w:rFonts w:hint="eastAsia"/>
          <w:color w:val="auto"/>
          <w:highlight w:val="none"/>
          <w:lang w:val="en-US" w:eastAsia="zh-CN"/>
        </w:rPr>
        <w:t>因乙方原因产生的各类合同风险，由乙方承担相关责任。</w:t>
      </w:r>
    </w:p>
    <w:p>
      <w:pPr>
        <w:pStyle w:val="17"/>
        <w:spacing w:line="364" w:lineRule="auto"/>
        <w:ind w:right="865" w:firstLine="439"/>
        <w:rPr>
          <w:color w:val="auto"/>
          <w:highlight w:val="none"/>
          <w:lang w:eastAsia="zh-CN"/>
        </w:rPr>
      </w:pPr>
      <w:r>
        <w:rPr>
          <w:rFonts w:hint="eastAsia" w:ascii="Times New Roman" w:hAnsi="Times New Roman"/>
          <w:color w:val="auto"/>
          <w:highlight w:val="none"/>
          <w:lang w:eastAsia="zh-CN"/>
        </w:rPr>
        <w:t>3</w:t>
      </w:r>
      <w:r>
        <w:rPr>
          <w:color w:val="auto"/>
          <w:spacing w:val="-3"/>
          <w:highlight w:val="none"/>
          <w:lang w:eastAsia="zh-CN"/>
        </w:rPr>
        <w:t>、公司印章由甲方指定专人进行保管，财务印鉴章由甲方委派的财务人员保管。为便于商品房销售和按揭办理，甲方同意刻制销售合同专用章以专门使用。各类印章具体的使用办法，按另行制定的相应管理制度（</w:t>
      </w:r>
      <w:r>
        <w:rPr>
          <w:color w:val="auto"/>
          <w:spacing w:val="-2"/>
          <w:highlight w:val="none"/>
          <w:lang w:eastAsia="zh-CN"/>
        </w:rPr>
        <w:t>经甲方审批后</w:t>
      </w:r>
      <w:r>
        <w:rPr>
          <w:color w:val="auto"/>
          <w:highlight w:val="none"/>
          <w:lang w:eastAsia="zh-CN"/>
        </w:rPr>
        <w:t>）</w:t>
      </w:r>
      <w:r>
        <w:rPr>
          <w:color w:val="auto"/>
          <w:spacing w:val="-2"/>
          <w:highlight w:val="none"/>
          <w:lang w:eastAsia="zh-CN"/>
        </w:rPr>
        <w:t>执行。</w:t>
      </w:r>
    </w:p>
    <w:p>
      <w:pPr>
        <w:pStyle w:val="13"/>
        <w:spacing w:line="281" w:lineRule="exact"/>
        <w:rPr>
          <w:color w:val="auto"/>
          <w:highlight w:val="none"/>
          <w:lang w:eastAsia="zh-CN"/>
        </w:rPr>
      </w:pPr>
      <w:r>
        <w:rPr>
          <w:color w:val="auto"/>
          <w:highlight w:val="none"/>
          <w:lang w:eastAsia="zh-CN"/>
        </w:rPr>
        <w:t>第五条 财务和资金管理</w:t>
      </w:r>
    </w:p>
    <w:p>
      <w:pPr>
        <w:pStyle w:val="17"/>
        <w:spacing w:before="135"/>
        <w:ind w:firstLine="420" w:firstLineChars="200"/>
        <w:rPr>
          <w:color w:val="auto"/>
          <w:highlight w:val="none"/>
          <w:lang w:eastAsia="zh-CN"/>
        </w:rPr>
      </w:pPr>
      <w:r>
        <w:rPr>
          <w:rFonts w:hint="eastAsia" w:ascii="Times New Roman" w:hAnsi="Times New Roman"/>
          <w:color w:val="auto"/>
          <w:highlight w:val="none"/>
          <w:lang w:eastAsia="zh-CN"/>
        </w:rPr>
        <w:t>1</w:t>
      </w:r>
      <w:r>
        <w:rPr>
          <w:color w:val="auto"/>
          <w:highlight w:val="none"/>
          <w:lang w:eastAsia="zh-CN"/>
        </w:rPr>
        <w:t>、项目财务负责人由甲方委派，项目财务和资金管理由甲方负责。</w:t>
      </w:r>
    </w:p>
    <w:p>
      <w:pPr>
        <w:pStyle w:val="17"/>
        <w:spacing w:before="146" w:line="364" w:lineRule="auto"/>
        <w:ind w:right="975" w:firstLine="439"/>
        <w:rPr>
          <w:color w:val="auto"/>
          <w:highlight w:val="none"/>
          <w:lang w:eastAsia="zh-CN"/>
        </w:rPr>
      </w:pPr>
      <w:r>
        <w:rPr>
          <w:rFonts w:hint="eastAsia" w:ascii="Times New Roman" w:hAnsi="Times New Roman"/>
          <w:color w:val="auto"/>
          <w:highlight w:val="none"/>
          <w:lang w:eastAsia="zh-CN"/>
        </w:rPr>
        <w:t>2</w:t>
      </w:r>
      <w:r>
        <w:rPr>
          <w:color w:val="auto"/>
          <w:highlight w:val="none"/>
          <w:lang w:eastAsia="zh-CN"/>
        </w:rPr>
        <w:t>、各类款项的支付</w:t>
      </w:r>
      <w:r>
        <w:rPr>
          <w:rFonts w:hint="eastAsia"/>
          <w:color w:val="auto"/>
          <w:highlight w:val="none"/>
          <w:lang w:val="en-US" w:eastAsia="zh-CN"/>
        </w:rPr>
        <w:t>及</w:t>
      </w:r>
      <w:r>
        <w:rPr>
          <w:color w:val="auto"/>
          <w:highlight w:val="none"/>
          <w:lang w:eastAsia="zh-CN"/>
        </w:rPr>
        <w:t>费用报销，需经过乙方委派项目负责人审核，按照</w:t>
      </w:r>
      <w:r>
        <w:rPr>
          <w:rFonts w:hint="eastAsia"/>
          <w:color w:val="auto"/>
          <w:highlight w:val="none"/>
          <w:lang w:eastAsia="zh-CN"/>
        </w:rPr>
        <w:t>甲方规</w:t>
      </w:r>
      <w:r>
        <w:rPr>
          <w:color w:val="auto"/>
          <w:highlight w:val="none"/>
          <w:lang w:eastAsia="zh-CN"/>
        </w:rPr>
        <w:t>定的管理权限及财务管理制度执行。</w:t>
      </w:r>
    </w:p>
    <w:p>
      <w:pPr>
        <w:pStyle w:val="17"/>
        <w:spacing w:line="364" w:lineRule="auto"/>
        <w:ind w:right="975" w:firstLine="439"/>
        <w:rPr>
          <w:color w:val="auto"/>
          <w:highlight w:val="none"/>
          <w:lang w:eastAsia="zh-CN"/>
        </w:rPr>
      </w:pPr>
      <w:r>
        <w:rPr>
          <w:rFonts w:hint="eastAsia" w:ascii="Times New Roman" w:hAnsi="Times New Roman"/>
          <w:color w:val="auto"/>
          <w:highlight w:val="none"/>
          <w:lang w:eastAsia="zh-CN"/>
        </w:rPr>
        <w:t>3</w:t>
      </w:r>
      <w:r>
        <w:rPr>
          <w:color w:val="auto"/>
          <w:highlight w:val="none"/>
          <w:lang w:eastAsia="zh-CN"/>
        </w:rPr>
        <w:t>、项目开发建设资金全部由甲方负责筹措。在项目具备融资条件后，如甲方需要向金融机构融资，乙方</w:t>
      </w:r>
      <w:r>
        <w:rPr>
          <w:rFonts w:hint="eastAsia"/>
          <w:color w:val="auto"/>
          <w:highlight w:val="none"/>
          <w:lang w:eastAsia="zh-CN"/>
        </w:rPr>
        <w:t>积极配合</w:t>
      </w:r>
      <w:r>
        <w:rPr>
          <w:color w:val="auto"/>
          <w:highlight w:val="none"/>
          <w:lang w:eastAsia="zh-CN"/>
        </w:rPr>
        <w:t>。</w:t>
      </w:r>
    </w:p>
    <w:p>
      <w:pPr>
        <w:pStyle w:val="17"/>
        <w:spacing w:line="364" w:lineRule="auto"/>
        <w:ind w:right="865" w:firstLine="439"/>
        <w:rPr>
          <w:color w:val="auto"/>
          <w:highlight w:val="none"/>
          <w:lang w:eastAsia="zh-CN"/>
        </w:rPr>
      </w:pPr>
      <w:r>
        <w:rPr>
          <w:rFonts w:hint="eastAsia" w:ascii="Times New Roman" w:hAnsi="Times New Roman"/>
          <w:color w:val="auto"/>
          <w:highlight w:val="none"/>
          <w:lang w:eastAsia="zh-CN"/>
        </w:rPr>
        <w:t>4</w:t>
      </w:r>
      <w:r>
        <w:rPr>
          <w:color w:val="auto"/>
          <w:spacing w:val="-3"/>
          <w:highlight w:val="none"/>
          <w:lang w:eastAsia="zh-CN"/>
        </w:rPr>
        <w:t>、项目开发过程中，由乙方根据项目建设需要编制项目年度资金使用计划，项目年度资金使用计划经甲方核准后实施。</w:t>
      </w:r>
    </w:p>
    <w:p>
      <w:pPr>
        <w:pStyle w:val="17"/>
        <w:spacing w:line="364" w:lineRule="auto"/>
        <w:ind w:right="865" w:firstLine="439"/>
        <w:rPr>
          <w:color w:val="auto"/>
          <w:highlight w:val="none"/>
          <w:lang w:eastAsia="zh-CN"/>
        </w:rPr>
      </w:pPr>
      <w:r>
        <w:rPr>
          <w:rFonts w:hint="eastAsia" w:ascii="Times New Roman" w:hAnsi="Times New Roman"/>
          <w:color w:val="auto"/>
          <w:highlight w:val="none"/>
          <w:lang w:eastAsia="zh-CN"/>
        </w:rPr>
        <w:t>5</w:t>
      </w:r>
      <w:r>
        <w:rPr>
          <w:color w:val="auto"/>
          <w:spacing w:val="-3"/>
          <w:highlight w:val="none"/>
          <w:lang w:eastAsia="zh-CN"/>
        </w:rPr>
        <w:t>、项目开发建设过程中的各类应付合同款项，由甲方根据相关约定、管理制度，支付给各专业工作单位。每次付款前，各专业工作单位</w:t>
      </w:r>
      <w:r>
        <w:rPr>
          <w:rFonts w:hint="eastAsia"/>
          <w:color w:val="auto"/>
          <w:spacing w:val="-3"/>
          <w:highlight w:val="none"/>
          <w:lang w:eastAsia="zh-CN"/>
        </w:rPr>
        <w:t>根据甲方付款计划</w:t>
      </w:r>
      <w:r>
        <w:rPr>
          <w:color w:val="auto"/>
          <w:spacing w:val="-3"/>
          <w:highlight w:val="none"/>
          <w:lang w:eastAsia="zh-CN"/>
        </w:rPr>
        <w:t>应提出付款申请，并附上相应金额的发票及其他所需的付款证明文件，</w:t>
      </w:r>
      <w:r>
        <w:rPr>
          <w:rFonts w:hint="eastAsia"/>
          <w:color w:val="auto"/>
          <w:spacing w:val="-3"/>
          <w:highlight w:val="none"/>
          <w:lang w:eastAsia="zh-CN"/>
        </w:rPr>
        <w:t>履行相关程序后</w:t>
      </w:r>
      <w:r>
        <w:rPr>
          <w:color w:val="auto"/>
          <w:spacing w:val="-3"/>
          <w:highlight w:val="none"/>
          <w:lang w:eastAsia="zh-CN"/>
        </w:rPr>
        <w:t>，报甲方审</w:t>
      </w:r>
      <w:r>
        <w:rPr>
          <w:color w:val="auto"/>
          <w:spacing w:val="-2"/>
          <w:highlight w:val="none"/>
          <w:lang w:eastAsia="zh-CN"/>
        </w:rPr>
        <w:t>核付款。</w:t>
      </w:r>
    </w:p>
    <w:p>
      <w:pPr>
        <w:pStyle w:val="17"/>
        <w:spacing w:line="364" w:lineRule="auto"/>
        <w:ind w:right="975" w:firstLine="439"/>
        <w:rPr>
          <w:color w:val="auto"/>
          <w:highlight w:val="none"/>
          <w:lang w:eastAsia="zh-CN"/>
        </w:rPr>
      </w:pPr>
      <w:r>
        <w:rPr>
          <w:rFonts w:hint="eastAsia" w:ascii="Times New Roman" w:hAnsi="Times New Roman"/>
          <w:color w:val="auto"/>
          <w:spacing w:val="-1"/>
          <w:highlight w:val="none"/>
          <w:lang w:eastAsia="zh-CN"/>
        </w:rPr>
        <w:t>8</w:t>
      </w:r>
      <w:r>
        <w:rPr>
          <w:color w:val="auto"/>
          <w:spacing w:val="-3"/>
          <w:highlight w:val="none"/>
          <w:lang w:eastAsia="zh-CN"/>
        </w:rPr>
        <w:t>、在本合同履行期间，甲方有权定期或不定期委托第三方财务咨询机构对项目财务进行审计</w:t>
      </w:r>
      <w:r>
        <w:rPr>
          <w:rFonts w:hint="eastAsia"/>
          <w:color w:val="auto"/>
          <w:spacing w:val="-3"/>
          <w:highlight w:val="none"/>
          <w:lang w:eastAsia="zh-CN"/>
        </w:rPr>
        <w:t>或接受上级巡查审计</w:t>
      </w:r>
      <w:r>
        <w:rPr>
          <w:color w:val="auto"/>
          <w:spacing w:val="-3"/>
          <w:highlight w:val="none"/>
          <w:lang w:eastAsia="zh-CN"/>
        </w:rPr>
        <w:t>。如发现财务审批、资金支付等各方面存在问题的，甲方有权提出整改意见，并督促整改落实。</w:t>
      </w:r>
    </w:p>
    <w:p>
      <w:pPr>
        <w:pStyle w:val="17"/>
        <w:ind w:left="0"/>
        <w:rPr>
          <w:color w:val="auto"/>
          <w:highlight w:val="none"/>
          <w:lang w:eastAsia="zh-CN"/>
        </w:rPr>
      </w:pPr>
    </w:p>
    <w:p>
      <w:pPr>
        <w:pStyle w:val="13"/>
        <w:tabs>
          <w:tab w:val="left" w:pos="3866"/>
        </w:tabs>
        <w:spacing w:before="152" w:line="364" w:lineRule="auto"/>
        <w:ind w:right="2427" w:firstLine="1608"/>
        <w:rPr>
          <w:color w:val="auto"/>
          <w:highlight w:val="none"/>
          <w:lang w:eastAsia="zh-CN"/>
        </w:rPr>
      </w:pPr>
      <w:r>
        <w:rPr>
          <w:color w:val="auto"/>
          <w:highlight w:val="none"/>
          <w:lang w:eastAsia="zh-CN"/>
        </w:rPr>
        <w:t>第二章</w:t>
      </w:r>
      <w:r>
        <w:rPr>
          <w:color w:val="auto"/>
          <w:highlight w:val="none"/>
          <w:lang w:eastAsia="zh-CN"/>
        </w:rPr>
        <w:tab/>
      </w:r>
      <w:bookmarkStart w:id="140" w:name="第二章项目开发委托管理工作内容和开展方式"/>
      <w:bookmarkEnd w:id="140"/>
      <w:r>
        <w:rPr>
          <w:color w:val="auto"/>
          <w:spacing w:val="-1"/>
          <w:highlight w:val="none"/>
          <w:lang w:eastAsia="zh-CN"/>
        </w:rPr>
        <w:t>项目开发</w:t>
      </w:r>
      <w:r>
        <w:rPr>
          <w:color w:val="auto"/>
          <w:highlight w:val="none"/>
          <w:lang w:eastAsia="zh-CN"/>
        </w:rPr>
        <w:t>管理</w:t>
      </w:r>
      <w:r>
        <w:rPr>
          <w:rFonts w:hint="eastAsia"/>
          <w:color w:val="auto"/>
          <w:highlight w:val="none"/>
          <w:lang w:eastAsia="zh-CN"/>
        </w:rPr>
        <w:t>服务</w:t>
      </w:r>
      <w:r>
        <w:rPr>
          <w:color w:val="auto"/>
          <w:highlight w:val="none"/>
          <w:lang w:eastAsia="zh-CN"/>
        </w:rPr>
        <w:t>工作内容和开展方式第六条</w:t>
      </w:r>
      <w:r>
        <w:rPr>
          <w:color w:val="auto"/>
          <w:spacing w:val="-2"/>
          <w:highlight w:val="none"/>
          <w:lang w:eastAsia="zh-CN"/>
        </w:rPr>
        <w:t xml:space="preserve"> </w:t>
      </w:r>
      <w:r>
        <w:rPr>
          <w:color w:val="auto"/>
          <w:highlight w:val="none"/>
          <w:lang w:eastAsia="zh-CN"/>
        </w:rPr>
        <w:t>项目前期管理</w:t>
      </w:r>
    </w:p>
    <w:p>
      <w:pPr>
        <w:pStyle w:val="17"/>
        <w:spacing w:line="364" w:lineRule="auto"/>
        <w:ind w:right="865" w:firstLine="439"/>
        <w:rPr>
          <w:color w:val="auto"/>
          <w:highlight w:val="none"/>
          <w:lang w:eastAsia="zh-CN"/>
        </w:rPr>
      </w:pPr>
      <w:r>
        <w:rPr>
          <w:rFonts w:hint="eastAsia" w:ascii="Times New Roman" w:hAnsi="Times New Roman"/>
          <w:color w:val="auto"/>
          <w:highlight w:val="none"/>
          <w:lang w:eastAsia="zh-CN"/>
        </w:rPr>
        <w:t>1</w:t>
      </w:r>
      <w:r>
        <w:rPr>
          <w:color w:val="auto"/>
          <w:spacing w:val="-3"/>
          <w:highlight w:val="none"/>
          <w:lang w:eastAsia="zh-CN"/>
        </w:rPr>
        <w:t>、在合同签订后，甲方应将项目的基本情况及各项工作开展的情况制作一份书面材料，连同与该项目有关的所有书面材料</w:t>
      </w:r>
      <w:r>
        <w:rPr>
          <w:color w:val="auto"/>
          <w:highlight w:val="none"/>
          <w:lang w:eastAsia="zh-CN"/>
        </w:rPr>
        <w:t>（</w:t>
      </w:r>
      <w:r>
        <w:rPr>
          <w:color w:val="auto"/>
          <w:spacing w:val="-3"/>
          <w:highlight w:val="none"/>
          <w:lang w:eastAsia="zh-CN"/>
        </w:rPr>
        <w:t>包括但不限于土地出让合同、与第三方已签订的合同、协议等</w:t>
      </w:r>
      <w:r>
        <w:rPr>
          <w:color w:val="auto"/>
          <w:highlight w:val="none"/>
          <w:lang w:eastAsia="zh-CN"/>
        </w:rPr>
        <w:t>）</w:t>
      </w:r>
      <w:r>
        <w:rPr>
          <w:color w:val="auto"/>
          <w:spacing w:val="-3"/>
          <w:highlight w:val="none"/>
          <w:lang w:eastAsia="zh-CN"/>
        </w:rPr>
        <w:t>一并移交给</w:t>
      </w:r>
      <w:r>
        <w:rPr>
          <w:rFonts w:hint="eastAsia"/>
          <w:color w:val="auto"/>
          <w:spacing w:val="-3"/>
          <w:highlight w:val="none"/>
          <w:lang w:eastAsia="zh-CN"/>
        </w:rPr>
        <w:t>项目公司</w:t>
      </w:r>
      <w:r>
        <w:rPr>
          <w:color w:val="auto"/>
          <w:spacing w:val="-3"/>
          <w:highlight w:val="none"/>
          <w:lang w:eastAsia="zh-CN"/>
        </w:rPr>
        <w:t>指定人员，建立项目档案。</w:t>
      </w:r>
    </w:p>
    <w:p>
      <w:pPr>
        <w:pStyle w:val="17"/>
        <w:spacing w:line="364" w:lineRule="auto"/>
        <w:ind w:right="865" w:firstLine="439"/>
        <w:rPr>
          <w:color w:val="auto"/>
          <w:highlight w:val="none"/>
          <w:lang w:eastAsia="zh-CN"/>
        </w:rPr>
      </w:pPr>
      <w:r>
        <w:rPr>
          <w:rFonts w:hint="eastAsia" w:ascii="Times New Roman" w:hAnsi="Times New Roman"/>
          <w:color w:val="auto"/>
          <w:highlight w:val="none"/>
          <w:lang w:eastAsia="zh-CN"/>
        </w:rPr>
        <w:t>2</w:t>
      </w:r>
      <w:r>
        <w:rPr>
          <w:color w:val="auto"/>
          <w:spacing w:val="-3"/>
          <w:highlight w:val="none"/>
          <w:lang w:eastAsia="zh-CN"/>
        </w:rPr>
        <w:t>、在项目总体规划方案审批通过并取得批复且首批项目团队到岗后，结合项目的具体规划设计方案和开发思路，乙方制订项目全景开发计划，并报甲方审批后，作为双方正式确认的项目开发建设周期目标（合同履行过程中可根据实际情况相应调整，经甲乙双方共同确认后的全景开发计划作为项目最终的开发建设周期目标</w:t>
      </w:r>
      <w:r>
        <w:rPr>
          <w:color w:val="auto"/>
          <w:highlight w:val="none"/>
          <w:lang w:eastAsia="zh-CN"/>
        </w:rPr>
        <w:t>）。</w:t>
      </w:r>
    </w:p>
    <w:p>
      <w:pPr>
        <w:pStyle w:val="17"/>
        <w:spacing w:before="59" w:line="364" w:lineRule="auto"/>
        <w:ind w:right="865" w:firstLine="525" w:firstLineChars="250"/>
        <w:rPr>
          <w:color w:val="auto"/>
          <w:highlight w:val="none"/>
          <w:lang w:eastAsia="zh-CN"/>
        </w:rPr>
      </w:pPr>
      <w:r>
        <w:rPr>
          <w:rFonts w:hint="eastAsia" w:ascii="Times New Roman" w:hAnsi="Times New Roman"/>
          <w:color w:val="auto"/>
          <w:highlight w:val="none"/>
          <w:lang w:eastAsia="zh-CN"/>
        </w:rPr>
        <w:t>3</w:t>
      </w:r>
      <w:r>
        <w:rPr>
          <w:color w:val="auto"/>
          <w:spacing w:val="-3"/>
          <w:highlight w:val="none"/>
          <w:lang w:eastAsia="zh-CN"/>
        </w:rPr>
        <w:t>、乙方负责完成国有土地使用证、立项、用地规划许可证、建设工程规划许可证及施工许可证等的具体申领工作，并统一管理使用。甲方积极协调与项目有关的各政府行政主管部门的关系，支持乙方办理项目相关审批手续，包括但不限于立项、建设用</w:t>
      </w:r>
      <w:r>
        <w:rPr>
          <w:color w:val="auto"/>
          <w:highlight w:val="none"/>
          <w:lang w:eastAsia="zh-CN"/>
        </w:rPr>
        <w:t>规划许可、规划方案、初步设计、施工图、建设工程规划许可、施工、预售许可以及规划、防雷、交评、环评、节能、绿化、人防等专项审批。</w:t>
      </w:r>
    </w:p>
    <w:p>
      <w:pPr>
        <w:pStyle w:val="17"/>
        <w:spacing w:line="364" w:lineRule="auto"/>
        <w:ind w:right="865" w:firstLine="439"/>
        <w:rPr>
          <w:color w:val="auto"/>
          <w:highlight w:val="none"/>
          <w:lang w:eastAsia="zh-CN"/>
        </w:rPr>
      </w:pPr>
      <w:r>
        <w:rPr>
          <w:rFonts w:hint="eastAsia" w:ascii="Times New Roman" w:hAnsi="Times New Roman"/>
          <w:color w:val="auto"/>
          <w:highlight w:val="none"/>
          <w:lang w:eastAsia="zh-CN"/>
        </w:rPr>
        <w:t>4</w:t>
      </w:r>
      <w:r>
        <w:rPr>
          <w:color w:val="auto"/>
          <w:spacing w:val="-3"/>
          <w:highlight w:val="none"/>
          <w:lang w:eastAsia="zh-CN"/>
        </w:rPr>
        <w:t>、涉及到与土地使用权确权、土地交付、用地性质与用途调整以及规划设计条件调整相关的前期审批事项，由甲方负责，乙方予以配合。因甲方负责的前期审批事项未能按期完成，项目开发建设周期相应顺延。</w:t>
      </w:r>
    </w:p>
    <w:p>
      <w:pPr>
        <w:pStyle w:val="17"/>
        <w:spacing w:line="364" w:lineRule="auto"/>
        <w:ind w:right="975" w:firstLine="439"/>
        <w:rPr>
          <w:color w:val="auto"/>
          <w:highlight w:val="none"/>
          <w:lang w:eastAsia="zh-CN"/>
        </w:rPr>
      </w:pPr>
      <w:r>
        <w:rPr>
          <w:rFonts w:hint="eastAsia" w:ascii="Times New Roman" w:hAnsi="Times New Roman"/>
          <w:color w:val="auto"/>
          <w:highlight w:val="none"/>
          <w:lang w:eastAsia="zh-CN"/>
        </w:rPr>
        <w:t>5</w:t>
      </w:r>
      <w:r>
        <w:rPr>
          <w:color w:val="auto"/>
          <w:highlight w:val="none"/>
          <w:lang w:eastAsia="zh-CN"/>
        </w:rPr>
        <w:t>、办理项目前期审批手续过程中产生的各项政策性费用，按照规定及时缴纳，费用列入开发成本。</w:t>
      </w:r>
    </w:p>
    <w:p>
      <w:pPr>
        <w:pStyle w:val="17"/>
        <w:tabs>
          <w:tab w:val="left" w:pos="1480"/>
          <w:tab w:val="left" w:pos="5769"/>
          <w:tab w:val="left" w:pos="6650"/>
          <w:tab w:val="left" w:pos="8848"/>
        </w:tabs>
        <w:spacing w:line="364" w:lineRule="auto"/>
        <w:ind w:right="865" w:firstLine="439"/>
        <w:rPr>
          <w:color w:val="auto"/>
          <w:highlight w:val="none"/>
          <w:lang w:eastAsia="zh-CN"/>
        </w:rPr>
      </w:pPr>
      <w:r>
        <w:rPr>
          <w:rFonts w:hint="eastAsia" w:ascii="Times New Roman" w:hAnsi="Times New Roman"/>
          <w:color w:val="auto"/>
          <w:highlight w:val="none"/>
          <w:lang w:eastAsia="zh-CN"/>
        </w:rPr>
        <w:t>6</w:t>
      </w:r>
      <w:r>
        <w:rPr>
          <w:color w:val="auto"/>
          <w:highlight w:val="none"/>
          <w:lang w:eastAsia="zh-CN"/>
        </w:rPr>
        <w:t>、</w:t>
      </w:r>
      <w:r>
        <w:rPr>
          <w:color w:val="auto"/>
          <w:spacing w:val="-3"/>
          <w:highlight w:val="none"/>
          <w:lang w:eastAsia="zh-CN"/>
        </w:rPr>
        <w:t>本</w:t>
      </w:r>
      <w:r>
        <w:rPr>
          <w:color w:val="auto"/>
          <w:highlight w:val="none"/>
          <w:lang w:eastAsia="zh-CN"/>
        </w:rPr>
        <w:t>项目</w:t>
      </w:r>
      <w:r>
        <w:rPr>
          <w:color w:val="auto"/>
          <w:spacing w:val="-3"/>
          <w:highlight w:val="none"/>
          <w:lang w:eastAsia="zh-CN"/>
        </w:rPr>
        <w:t>土</w:t>
      </w:r>
      <w:r>
        <w:rPr>
          <w:color w:val="auto"/>
          <w:highlight w:val="none"/>
          <w:lang w:eastAsia="zh-CN"/>
        </w:rPr>
        <w:t>地出</w:t>
      </w:r>
      <w:r>
        <w:rPr>
          <w:color w:val="auto"/>
          <w:spacing w:val="-3"/>
          <w:highlight w:val="none"/>
          <w:lang w:eastAsia="zh-CN"/>
        </w:rPr>
        <w:t>让</w:t>
      </w:r>
      <w:r>
        <w:rPr>
          <w:color w:val="auto"/>
          <w:highlight w:val="none"/>
          <w:lang w:eastAsia="zh-CN"/>
        </w:rPr>
        <w:t>合同</w:t>
      </w:r>
      <w:r>
        <w:rPr>
          <w:color w:val="auto"/>
          <w:spacing w:val="-3"/>
          <w:highlight w:val="none"/>
          <w:lang w:eastAsia="zh-CN"/>
        </w:rPr>
        <w:t>约</w:t>
      </w:r>
      <w:r>
        <w:rPr>
          <w:color w:val="auto"/>
          <w:highlight w:val="none"/>
          <w:lang w:eastAsia="zh-CN"/>
        </w:rPr>
        <w:t>定的</w:t>
      </w:r>
      <w:r>
        <w:rPr>
          <w:color w:val="auto"/>
          <w:spacing w:val="-3"/>
          <w:highlight w:val="none"/>
          <w:lang w:eastAsia="zh-CN"/>
        </w:rPr>
        <w:t>动</w:t>
      </w:r>
      <w:r>
        <w:rPr>
          <w:color w:val="auto"/>
          <w:highlight w:val="none"/>
          <w:lang w:eastAsia="zh-CN"/>
        </w:rPr>
        <w:t>工期</w:t>
      </w:r>
      <w:r>
        <w:rPr>
          <w:color w:val="auto"/>
          <w:spacing w:val="-3"/>
          <w:highlight w:val="none"/>
          <w:lang w:eastAsia="zh-CN"/>
        </w:rPr>
        <w:t>限</w:t>
      </w:r>
      <w:r>
        <w:rPr>
          <w:color w:val="auto"/>
          <w:highlight w:val="none"/>
          <w:lang w:eastAsia="zh-CN"/>
        </w:rPr>
        <w:t>为【</w:t>
      </w:r>
      <w:r>
        <w:rPr>
          <w:color w:val="auto"/>
          <w:highlight w:val="none"/>
          <w:lang w:eastAsia="zh-CN"/>
        </w:rPr>
        <w:tab/>
      </w:r>
      <w:r>
        <w:rPr>
          <w:color w:val="auto"/>
          <w:highlight w:val="none"/>
          <w:lang w:eastAsia="zh-CN"/>
        </w:rPr>
        <w:t>】</w:t>
      </w:r>
      <w:r>
        <w:rPr>
          <w:color w:val="auto"/>
          <w:spacing w:val="-3"/>
          <w:highlight w:val="none"/>
          <w:lang w:eastAsia="zh-CN"/>
        </w:rPr>
        <w:t>年</w:t>
      </w:r>
      <w:r>
        <w:rPr>
          <w:color w:val="auto"/>
          <w:highlight w:val="none"/>
          <w:lang w:eastAsia="zh-CN"/>
        </w:rPr>
        <w:t>【</w:t>
      </w:r>
      <w:r>
        <w:rPr>
          <w:color w:val="auto"/>
          <w:highlight w:val="none"/>
          <w:lang w:eastAsia="zh-CN"/>
        </w:rPr>
        <w:tab/>
      </w:r>
      <w:r>
        <w:rPr>
          <w:color w:val="auto"/>
          <w:highlight w:val="none"/>
          <w:lang w:eastAsia="zh-CN"/>
        </w:rPr>
        <w:t>】</w:t>
      </w:r>
      <w:r>
        <w:rPr>
          <w:color w:val="auto"/>
          <w:spacing w:val="-3"/>
          <w:highlight w:val="none"/>
          <w:lang w:eastAsia="zh-CN"/>
        </w:rPr>
        <w:t>月</w:t>
      </w:r>
      <w:r>
        <w:rPr>
          <w:color w:val="auto"/>
          <w:highlight w:val="none"/>
          <w:lang w:eastAsia="zh-CN"/>
        </w:rPr>
        <w:t>，竣</w:t>
      </w:r>
      <w:r>
        <w:rPr>
          <w:color w:val="auto"/>
          <w:spacing w:val="-3"/>
          <w:highlight w:val="none"/>
          <w:lang w:eastAsia="zh-CN"/>
        </w:rPr>
        <w:t>工</w:t>
      </w:r>
      <w:r>
        <w:rPr>
          <w:color w:val="auto"/>
          <w:highlight w:val="none"/>
          <w:lang w:eastAsia="zh-CN"/>
        </w:rPr>
        <w:t>期限</w:t>
      </w:r>
      <w:r>
        <w:rPr>
          <w:color w:val="auto"/>
          <w:spacing w:val="-3"/>
          <w:highlight w:val="none"/>
          <w:lang w:eastAsia="zh-CN"/>
        </w:rPr>
        <w:t>为</w:t>
      </w:r>
      <w:r>
        <w:rPr>
          <w:color w:val="auto"/>
          <w:highlight w:val="none"/>
          <w:lang w:eastAsia="zh-CN"/>
        </w:rPr>
        <w:t>【</w:t>
      </w:r>
      <w:r>
        <w:rPr>
          <w:color w:val="auto"/>
          <w:highlight w:val="none"/>
          <w:lang w:eastAsia="zh-CN"/>
        </w:rPr>
        <w:tab/>
      </w:r>
      <w:r>
        <w:rPr>
          <w:color w:val="auto"/>
          <w:highlight w:val="none"/>
          <w:lang w:eastAsia="zh-CN"/>
        </w:rPr>
        <w:t>】年【</w:t>
      </w:r>
      <w:r>
        <w:rPr>
          <w:color w:val="auto"/>
          <w:highlight w:val="none"/>
          <w:lang w:eastAsia="zh-CN"/>
        </w:rPr>
        <w:tab/>
      </w:r>
      <w:r>
        <w:rPr>
          <w:color w:val="auto"/>
          <w:spacing w:val="-1"/>
          <w:highlight w:val="none"/>
          <w:lang w:eastAsia="zh-CN"/>
        </w:rPr>
        <w:t>】</w:t>
      </w:r>
      <w:r>
        <w:rPr>
          <w:color w:val="auto"/>
          <w:spacing w:val="-3"/>
          <w:highlight w:val="none"/>
          <w:lang w:eastAsia="zh-CN"/>
        </w:rPr>
        <w:t>月</w:t>
      </w:r>
      <w:r>
        <w:rPr>
          <w:color w:val="auto"/>
          <w:spacing w:val="-1"/>
          <w:highlight w:val="none"/>
          <w:lang w:eastAsia="zh-CN"/>
        </w:rPr>
        <w:t>，乙</w:t>
      </w:r>
      <w:r>
        <w:rPr>
          <w:color w:val="auto"/>
          <w:spacing w:val="-3"/>
          <w:highlight w:val="none"/>
          <w:lang w:eastAsia="zh-CN"/>
        </w:rPr>
        <w:t>方</w:t>
      </w:r>
      <w:r>
        <w:rPr>
          <w:color w:val="auto"/>
          <w:spacing w:val="-1"/>
          <w:highlight w:val="none"/>
          <w:lang w:eastAsia="zh-CN"/>
        </w:rPr>
        <w:t>负责</w:t>
      </w:r>
      <w:r>
        <w:rPr>
          <w:color w:val="auto"/>
          <w:spacing w:val="-3"/>
          <w:highlight w:val="none"/>
          <w:lang w:eastAsia="zh-CN"/>
        </w:rPr>
        <w:t>按</w:t>
      </w:r>
      <w:r>
        <w:rPr>
          <w:color w:val="auto"/>
          <w:spacing w:val="-1"/>
          <w:highlight w:val="none"/>
          <w:lang w:eastAsia="zh-CN"/>
        </w:rPr>
        <w:t>本</w:t>
      </w:r>
      <w:r>
        <w:rPr>
          <w:color w:val="auto"/>
          <w:highlight w:val="none"/>
          <w:lang w:eastAsia="zh-CN"/>
        </w:rPr>
        <w:t>合</w:t>
      </w:r>
      <w:r>
        <w:rPr>
          <w:color w:val="auto"/>
          <w:spacing w:val="-3"/>
          <w:highlight w:val="none"/>
          <w:lang w:eastAsia="zh-CN"/>
        </w:rPr>
        <w:t>同</w:t>
      </w:r>
      <w:r>
        <w:rPr>
          <w:color w:val="auto"/>
          <w:highlight w:val="none"/>
          <w:lang w:eastAsia="zh-CN"/>
        </w:rPr>
        <w:t>约定</w:t>
      </w:r>
      <w:r>
        <w:rPr>
          <w:color w:val="auto"/>
          <w:spacing w:val="-3"/>
          <w:highlight w:val="none"/>
          <w:lang w:eastAsia="zh-CN"/>
        </w:rPr>
        <w:t>的</w:t>
      </w:r>
      <w:r>
        <w:rPr>
          <w:color w:val="auto"/>
          <w:highlight w:val="none"/>
          <w:lang w:eastAsia="zh-CN"/>
        </w:rPr>
        <w:t>开发</w:t>
      </w:r>
      <w:r>
        <w:rPr>
          <w:color w:val="auto"/>
          <w:spacing w:val="-3"/>
          <w:highlight w:val="none"/>
          <w:lang w:eastAsia="zh-CN"/>
        </w:rPr>
        <w:t>建</w:t>
      </w:r>
      <w:r>
        <w:rPr>
          <w:color w:val="auto"/>
          <w:highlight w:val="none"/>
          <w:lang w:eastAsia="zh-CN"/>
        </w:rPr>
        <w:t>设周</w:t>
      </w:r>
      <w:r>
        <w:rPr>
          <w:color w:val="auto"/>
          <w:spacing w:val="-3"/>
          <w:highlight w:val="none"/>
          <w:lang w:eastAsia="zh-CN"/>
        </w:rPr>
        <w:t>期</w:t>
      </w:r>
      <w:r>
        <w:rPr>
          <w:color w:val="auto"/>
          <w:highlight w:val="none"/>
          <w:lang w:eastAsia="zh-CN"/>
        </w:rPr>
        <w:t>目标</w:t>
      </w:r>
      <w:r>
        <w:rPr>
          <w:color w:val="auto"/>
          <w:spacing w:val="-3"/>
          <w:highlight w:val="none"/>
          <w:lang w:eastAsia="zh-CN"/>
        </w:rPr>
        <w:t>完</w:t>
      </w:r>
      <w:r>
        <w:rPr>
          <w:color w:val="auto"/>
          <w:highlight w:val="none"/>
          <w:lang w:eastAsia="zh-CN"/>
        </w:rPr>
        <w:t>成开</w:t>
      </w:r>
      <w:r>
        <w:rPr>
          <w:color w:val="auto"/>
          <w:spacing w:val="-3"/>
          <w:highlight w:val="none"/>
          <w:lang w:eastAsia="zh-CN"/>
        </w:rPr>
        <w:t>发</w:t>
      </w:r>
      <w:r>
        <w:rPr>
          <w:color w:val="auto"/>
          <w:highlight w:val="none"/>
          <w:lang w:eastAsia="zh-CN"/>
        </w:rPr>
        <w:t>建设</w:t>
      </w:r>
      <w:r>
        <w:rPr>
          <w:color w:val="auto"/>
          <w:spacing w:val="-3"/>
          <w:highlight w:val="none"/>
          <w:lang w:eastAsia="zh-CN"/>
        </w:rPr>
        <w:t>。</w:t>
      </w:r>
      <w:r>
        <w:rPr>
          <w:color w:val="auto"/>
          <w:highlight w:val="none"/>
          <w:lang w:eastAsia="zh-CN"/>
        </w:rPr>
        <w:t>如因</w:t>
      </w:r>
      <w:r>
        <w:rPr>
          <w:rFonts w:hint="eastAsia"/>
          <w:color w:val="auto"/>
          <w:highlight w:val="none"/>
          <w:lang w:eastAsia="zh-CN"/>
        </w:rPr>
        <w:t>甲方原因</w:t>
      </w:r>
      <w:r>
        <w:rPr>
          <w:color w:val="auto"/>
          <w:spacing w:val="-3"/>
          <w:highlight w:val="none"/>
          <w:lang w:eastAsia="zh-CN"/>
        </w:rPr>
        <w:t>项</w:t>
      </w:r>
      <w:r>
        <w:rPr>
          <w:color w:val="auto"/>
          <w:highlight w:val="none"/>
          <w:lang w:eastAsia="zh-CN"/>
        </w:rPr>
        <w:t>目延期开</w:t>
      </w:r>
      <w:r>
        <w:rPr>
          <w:color w:val="auto"/>
          <w:spacing w:val="-3"/>
          <w:highlight w:val="none"/>
          <w:lang w:eastAsia="zh-CN"/>
        </w:rPr>
        <w:t>发</w:t>
      </w:r>
      <w:r>
        <w:rPr>
          <w:color w:val="auto"/>
          <w:highlight w:val="none"/>
          <w:lang w:eastAsia="zh-CN"/>
        </w:rPr>
        <w:t>引起</w:t>
      </w:r>
      <w:r>
        <w:rPr>
          <w:color w:val="auto"/>
          <w:spacing w:val="-3"/>
          <w:highlight w:val="none"/>
          <w:lang w:eastAsia="zh-CN"/>
        </w:rPr>
        <w:t>的</w:t>
      </w:r>
      <w:r>
        <w:rPr>
          <w:color w:val="auto"/>
          <w:highlight w:val="none"/>
          <w:lang w:eastAsia="zh-CN"/>
        </w:rPr>
        <w:t>风险</w:t>
      </w:r>
      <w:r>
        <w:rPr>
          <w:color w:val="auto"/>
          <w:spacing w:val="-3"/>
          <w:highlight w:val="none"/>
          <w:lang w:eastAsia="zh-CN"/>
        </w:rPr>
        <w:t>和</w:t>
      </w:r>
      <w:r>
        <w:rPr>
          <w:color w:val="auto"/>
          <w:highlight w:val="none"/>
          <w:lang w:eastAsia="zh-CN"/>
        </w:rPr>
        <w:t>责任</w:t>
      </w:r>
      <w:r>
        <w:rPr>
          <w:color w:val="auto"/>
          <w:spacing w:val="-3"/>
          <w:highlight w:val="none"/>
          <w:lang w:eastAsia="zh-CN"/>
        </w:rPr>
        <w:t>，</w:t>
      </w:r>
      <w:r>
        <w:rPr>
          <w:color w:val="auto"/>
          <w:highlight w:val="none"/>
          <w:lang w:eastAsia="zh-CN"/>
        </w:rPr>
        <w:t>与乙</w:t>
      </w:r>
      <w:r>
        <w:rPr>
          <w:color w:val="auto"/>
          <w:spacing w:val="-3"/>
          <w:highlight w:val="none"/>
          <w:lang w:eastAsia="zh-CN"/>
        </w:rPr>
        <w:t>方</w:t>
      </w:r>
      <w:r>
        <w:rPr>
          <w:color w:val="auto"/>
          <w:highlight w:val="none"/>
          <w:lang w:eastAsia="zh-CN"/>
        </w:rPr>
        <w:t>无关。</w:t>
      </w:r>
    </w:p>
    <w:p>
      <w:pPr>
        <w:pStyle w:val="13"/>
        <w:spacing w:line="281" w:lineRule="exact"/>
        <w:rPr>
          <w:color w:val="auto"/>
          <w:highlight w:val="none"/>
          <w:lang w:eastAsia="zh-CN"/>
        </w:rPr>
      </w:pPr>
      <w:r>
        <w:rPr>
          <w:color w:val="auto"/>
          <w:highlight w:val="none"/>
          <w:lang w:eastAsia="zh-CN"/>
        </w:rPr>
        <w:t>第七条 规划设计管理</w:t>
      </w:r>
    </w:p>
    <w:p>
      <w:pPr>
        <w:pStyle w:val="17"/>
        <w:spacing w:before="141" w:line="364" w:lineRule="auto"/>
        <w:ind w:right="865" w:firstLine="439"/>
        <w:rPr>
          <w:color w:val="auto"/>
          <w:highlight w:val="none"/>
          <w:lang w:eastAsia="zh-CN"/>
        </w:rPr>
      </w:pPr>
      <w:r>
        <w:rPr>
          <w:rFonts w:hint="eastAsia" w:ascii="Times New Roman" w:hAnsi="Times New Roman"/>
          <w:color w:val="auto"/>
          <w:highlight w:val="none"/>
          <w:lang w:eastAsia="zh-CN"/>
        </w:rPr>
        <w:t>1</w:t>
      </w:r>
      <w:r>
        <w:rPr>
          <w:color w:val="auto"/>
          <w:spacing w:val="-3"/>
          <w:highlight w:val="none"/>
          <w:lang w:eastAsia="zh-CN"/>
        </w:rPr>
        <w:t>、乙方应在对项目情况与项目所在地市场情况进行充分调查了解基础上，向甲方提出产品策划书或产品定位报告，经与甲方充分沟通后，共同书面予以确认，作为项目产品规划设计的输入条件。</w:t>
      </w:r>
    </w:p>
    <w:p>
      <w:pPr>
        <w:pStyle w:val="17"/>
        <w:spacing w:line="364" w:lineRule="auto"/>
        <w:ind w:right="975" w:firstLine="439"/>
        <w:rPr>
          <w:color w:val="auto"/>
          <w:highlight w:val="none"/>
          <w:lang w:eastAsia="zh-CN"/>
        </w:rPr>
      </w:pPr>
      <w:r>
        <w:rPr>
          <w:rFonts w:hint="eastAsia" w:ascii="Times New Roman" w:hAnsi="Times New Roman"/>
          <w:color w:val="auto"/>
          <w:highlight w:val="none"/>
          <w:lang w:eastAsia="zh-CN"/>
        </w:rPr>
        <w:t>2</w:t>
      </w:r>
      <w:r>
        <w:rPr>
          <w:color w:val="auto"/>
          <w:highlight w:val="none"/>
          <w:lang w:eastAsia="zh-CN"/>
        </w:rPr>
        <w:t>、乙方负责协调、督促设计单位按规定期限要求完成设计任务，设计中应当充分利用各项规划指标，以利于实现项目的最佳整体效益。</w:t>
      </w:r>
    </w:p>
    <w:p>
      <w:pPr>
        <w:pStyle w:val="17"/>
        <w:spacing w:line="364" w:lineRule="auto"/>
        <w:ind w:right="865" w:firstLine="439"/>
        <w:rPr>
          <w:color w:val="auto"/>
          <w:highlight w:val="none"/>
          <w:lang w:eastAsia="zh-CN"/>
        </w:rPr>
      </w:pPr>
      <w:r>
        <w:rPr>
          <w:rFonts w:hint="eastAsia" w:ascii="Times New Roman" w:hAnsi="Times New Roman"/>
          <w:color w:val="auto"/>
          <w:highlight w:val="none"/>
          <w:lang w:eastAsia="zh-CN"/>
        </w:rPr>
        <w:t>3</w:t>
      </w:r>
      <w:r>
        <w:rPr>
          <w:color w:val="auto"/>
          <w:spacing w:val="-3"/>
          <w:highlight w:val="none"/>
          <w:lang w:eastAsia="zh-CN"/>
        </w:rPr>
        <w:t>、对于各设计单位提交的设计成果，甲乙双方共同参与评审，在保证设计质量并满足乙方产品规划设计标准的前提下，充分听取并尊重甲方意见。为保证项目房产品质符合乙方产品标准，以下设计相关工作成果在与甲方充分沟通并听取意见后，由甲方负责选定：</w:t>
      </w:r>
    </w:p>
    <w:p>
      <w:pPr>
        <w:pStyle w:val="90"/>
        <w:numPr>
          <w:ilvl w:val="0"/>
          <w:numId w:val="0"/>
        </w:numPr>
        <w:tabs>
          <w:tab w:val="left" w:pos="1811"/>
        </w:tabs>
        <w:spacing w:line="279" w:lineRule="exact"/>
        <w:ind w:firstLine="194" w:firstLineChars="100"/>
        <w:rPr>
          <w:color w:val="auto"/>
          <w:highlight w:val="none"/>
        </w:rPr>
      </w:pPr>
      <w:r>
        <w:rPr>
          <w:rFonts w:hint="default" w:ascii="宋体" w:hAnsi="宋体" w:eastAsia="宋体" w:cs="宋体"/>
          <w:color w:val="auto"/>
          <w:spacing w:val="-3"/>
          <w:w w:val="100"/>
          <w:kern w:val="2"/>
          <w:sz w:val="20"/>
          <w:szCs w:val="20"/>
          <w:highlight w:val="none"/>
          <w:lang w:val="en-US" w:eastAsia="zh-CN" w:bidi="ar-SA"/>
        </w:rPr>
        <w:t>（</w:t>
      </w:r>
      <w:r>
        <w:rPr>
          <w:rFonts w:hint="eastAsia" w:ascii="Times New Roman" w:hAnsi="Times New Roman" w:cs="宋体"/>
          <w:color w:val="auto"/>
          <w:spacing w:val="-3"/>
          <w:w w:val="100"/>
          <w:kern w:val="2"/>
          <w:sz w:val="20"/>
          <w:szCs w:val="20"/>
          <w:highlight w:val="none"/>
          <w:lang w:val="en-US" w:eastAsia="zh-CN" w:bidi="ar-SA"/>
        </w:rPr>
        <w:t>1</w:t>
      </w:r>
      <w:r>
        <w:rPr>
          <w:rFonts w:hint="default" w:ascii="宋体" w:hAnsi="宋体" w:eastAsia="宋体" w:cs="宋体"/>
          <w:color w:val="auto"/>
          <w:spacing w:val="-3"/>
          <w:w w:val="100"/>
          <w:kern w:val="2"/>
          <w:sz w:val="20"/>
          <w:szCs w:val="20"/>
          <w:highlight w:val="none"/>
          <w:lang w:val="en-US" w:eastAsia="zh-CN" w:bidi="ar-SA"/>
        </w:rPr>
        <w:t>）</w:t>
      </w:r>
      <w:r>
        <w:rPr>
          <w:color w:val="auto"/>
          <w:spacing w:val="-3"/>
          <w:highlight w:val="none"/>
        </w:rPr>
        <w:t>规划、建筑设计方案；</w:t>
      </w:r>
    </w:p>
    <w:p>
      <w:pPr>
        <w:pStyle w:val="90"/>
        <w:numPr>
          <w:ilvl w:val="0"/>
          <w:numId w:val="0"/>
        </w:numPr>
        <w:tabs>
          <w:tab w:val="left" w:pos="1811"/>
        </w:tabs>
        <w:spacing w:before="146" w:line="364" w:lineRule="auto"/>
        <w:ind w:right="978" w:rightChars="0" w:firstLine="194" w:firstLineChars="100"/>
        <w:rPr>
          <w:color w:val="auto"/>
          <w:highlight w:val="none"/>
          <w:lang w:eastAsia="zh-CN"/>
        </w:rPr>
      </w:pPr>
      <w:r>
        <w:rPr>
          <w:rFonts w:hint="default" w:ascii="宋体" w:hAnsi="宋体" w:eastAsia="宋体" w:cs="宋体"/>
          <w:color w:val="auto"/>
          <w:spacing w:val="-3"/>
          <w:w w:val="100"/>
          <w:kern w:val="2"/>
          <w:sz w:val="20"/>
          <w:szCs w:val="20"/>
          <w:highlight w:val="none"/>
          <w:lang w:val="en-US" w:eastAsia="zh-CN" w:bidi="ar-SA"/>
        </w:rPr>
        <w:t>（</w:t>
      </w:r>
      <w:r>
        <w:rPr>
          <w:rFonts w:hint="eastAsia" w:ascii="Times New Roman" w:hAnsi="Times New Roman" w:cs="宋体"/>
          <w:color w:val="auto"/>
          <w:spacing w:val="-3"/>
          <w:w w:val="100"/>
          <w:kern w:val="2"/>
          <w:sz w:val="20"/>
          <w:szCs w:val="20"/>
          <w:highlight w:val="none"/>
          <w:lang w:val="en-US" w:eastAsia="zh-CN" w:bidi="ar-SA"/>
        </w:rPr>
        <w:t>2</w:t>
      </w:r>
      <w:r>
        <w:rPr>
          <w:rFonts w:hint="default" w:ascii="宋体" w:hAnsi="宋体" w:eastAsia="宋体" w:cs="宋体"/>
          <w:color w:val="auto"/>
          <w:spacing w:val="-3"/>
          <w:w w:val="100"/>
          <w:kern w:val="2"/>
          <w:sz w:val="20"/>
          <w:szCs w:val="20"/>
          <w:highlight w:val="none"/>
          <w:lang w:val="en-US" w:eastAsia="zh-CN" w:bidi="ar-SA"/>
        </w:rPr>
        <w:t>）</w:t>
      </w:r>
      <w:r>
        <w:rPr>
          <w:color w:val="auto"/>
          <w:spacing w:val="-3"/>
          <w:highlight w:val="none"/>
          <w:lang w:eastAsia="zh-CN"/>
        </w:rPr>
        <w:t>主要外立面设计方案及材料选样定板，如主要石材、面砖、外墙涂料、玻璃幕墙、外立面门窗、外立面栏杆等；</w:t>
      </w:r>
    </w:p>
    <w:p>
      <w:pPr>
        <w:pStyle w:val="90"/>
        <w:numPr>
          <w:ilvl w:val="0"/>
          <w:numId w:val="0"/>
        </w:numPr>
        <w:tabs>
          <w:tab w:val="left" w:pos="1811"/>
        </w:tabs>
        <w:spacing w:line="279" w:lineRule="exact"/>
        <w:ind w:firstLine="194" w:firstLineChars="100"/>
        <w:rPr>
          <w:color w:val="auto"/>
          <w:highlight w:val="none"/>
          <w:lang w:eastAsia="zh-CN"/>
        </w:rPr>
      </w:pPr>
      <w:r>
        <w:rPr>
          <w:rFonts w:hint="default" w:ascii="宋体" w:hAnsi="宋体" w:eastAsia="宋体" w:cs="宋体"/>
          <w:color w:val="auto"/>
          <w:spacing w:val="-3"/>
          <w:w w:val="100"/>
          <w:kern w:val="2"/>
          <w:sz w:val="20"/>
          <w:szCs w:val="20"/>
          <w:highlight w:val="none"/>
          <w:lang w:val="en-US" w:eastAsia="zh-CN" w:bidi="ar-SA"/>
        </w:rPr>
        <w:t>（</w:t>
      </w:r>
      <w:r>
        <w:rPr>
          <w:rFonts w:hint="eastAsia" w:ascii="Times New Roman" w:hAnsi="Times New Roman" w:cs="宋体"/>
          <w:color w:val="auto"/>
          <w:spacing w:val="-3"/>
          <w:w w:val="100"/>
          <w:kern w:val="2"/>
          <w:sz w:val="20"/>
          <w:szCs w:val="20"/>
          <w:highlight w:val="none"/>
          <w:lang w:val="en-US" w:eastAsia="zh-CN" w:bidi="ar-SA"/>
        </w:rPr>
        <w:t>3</w:t>
      </w:r>
      <w:r>
        <w:rPr>
          <w:rFonts w:hint="default" w:ascii="宋体" w:hAnsi="宋体" w:eastAsia="宋体" w:cs="宋体"/>
          <w:color w:val="auto"/>
          <w:spacing w:val="-3"/>
          <w:w w:val="100"/>
          <w:kern w:val="2"/>
          <w:sz w:val="20"/>
          <w:szCs w:val="20"/>
          <w:highlight w:val="none"/>
          <w:lang w:val="en-US" w:eastAsia="zh-CN" w:bidi="ar-SA"/>
        </w:rPr>
        <w:t>）</w:t>
      </w:r>
      <w:r>
        <w:rPr>
          <w:color w:val="auto"/>
          <w:spacing w:val="-3"/>
          <w:highlight w:val="none"/>
          <w:lang w:eastAsia="zh-CN"/>
        </w:rPr>
        <w:t>景观设计方案和主要材料的选定；</w:t>
      </w:r>
    </w:p>
    <w:p>
      <w:pPr>
        <w:pStyle w:val="90"/>
        <w:numPr>
          <w:ilvl w:val="0"/>
          <w:numId w:val="0"/>
        </w:numPr>
        <w:tabs>
          <w:tab w:val="left" w:pos="1811"/>
        </w:tabs>
        <w:spacing w:before="148"/>
        <w:ind w:firstLine="194" w:firstLineChars="100"/>
        <w:rPr>
          <w:color w:val="auto"/>
          <w:highlight w:val="none"/>
          <w:lang w:eastAsia="zh-CN"/>
        </w:rPr>
      </w:pPr>
      <w:r>
        <w:rPr>
          <w:rFonts w:hint="default" w:ascii="宋体" w:hAnsi="宋体" w:eastAsia="宋体" w:cs="宋体"/>
          <w:color w:val="auto"/>
          <w:spacing w:val="-3"/>
          <w:w w:val="100"/>
          <w:kern w:val="2"/>
          <w:sz w:val="20"/>
          <w:szCs w:val="20"/>
          <w:highlight w:val="none"/>
          <w:lang w:val="en-US" w:eastAsia="zh-CN" w:bidi="ar-SA"/>
        </w:rPr>
        <w:t>（</w:t>
      </w:r>
      <w:r>
        <w:rPr>
          <w:rFonts w:hint="eastAsia" w:ascii="Times New Roman" w:hAnsi="Times New Roman" w:cs="宋体"/>
          <w:color w:val="auto"/>
          <w:spacing w:val="-3"/>
          <w:w w:val="100"/>
          <w:kern w:val="2"/>
          <w:sz w:val="20"/>
          <w:szCs w:val="20"/>
          <w:highlight w:val="none"/>
          <w:lang w:val="en-US" w:eastAsia="zh-CN" w:bidi="ar-SA"/>
        </w:rPr>
        <w:t>4</w:t>
      </w:r>
      <w:r>
        <w:rPr>
          <w:rFonts w:hint="default" w:ascii="宋体" w:hAnsi="宋体" w:eastAsia="宋体" w:cs="宋体"/>
          <w:color w:val="auto"/>
          <w:spacing w:val="-3"/>
          <w:w w:val="100"/>
          <w:kern w:val="2"/>
          <w:sz w:val="20"/>
          <w:szCs w:val="20"/>
          <w:highlight w:val="none"/>
          <w:lang w:val="en-US" w:eastAsia="zh-CN" w:bidi="ar-SA"/>
        </w:rPr>
        <w:t>）</w:t>
      </w:r>
      <w:r>
        <w:rPr>
          <w:color w:val="auto"/>
          <w:spacing w:val="-3"/>
          <w:highlight w:val="none"/>
          <w:lang w:eastAsia="zh-CN"/>
        </w:rPr>
        <w:t>室内硬装设计和软装饰设计方案</w:t>
      </w:r>
      <w:r>
        <w:rPr>
          <w:color w:val="auto"/>
          <w:highlight w:val="none"/>
          <w:lang w:eastAsia="zh-CN"/>
        </w:rPr>
        <w:t>（</w:t>
      </w:r>
      <w:r>
        <w:rPr>
          <w:color w:val="auto"/>
          <w:spacing w:val="-3"/>
          <w:highlight w:val="none"/>
          <w:lang w:eastAsia="zh-CN"/>
        </w:rPr>
        <w:t>含样板房、精装修产品、公共空间</w:t>
      </w:r>
      <w:r>
        <w:rPr>
          <w:color w:val="auto"/>
          <w:highlight w:val="none"/>
          <w:lang w:eastAsia="zh-CN"/>
        </w:rPr>
        <w:t>）；</w:t>
      </w:r>
    </w:p>
    <w:p>
      <w:pPr>
        <w:pStyle w:val="90"/>
        <w:numPr>
          <w:ilvl w:val="0"/>
          <w:numId w:val="0"/>
        </w:numPr>
        <w:tabs>
          <w:tab w:val="left" w:pos="1811"/>
        </w:tabs>
        <w:spacing w:before="145"/>
        <w:ind w:firstLine="194" w:firstLineChars="100"/>
        <w:rPr>
          <w:color w:val="auto"/>
          <w:highlight w:val="none"/>
          <w:lang w:eastAsia="zh-CN"/>
        </w:rPr>
      </w:pPr>
      <w:r>
        <w:rPr>
          <w:rFonts w:hint="default" w:ascii="宋体" w:hAnsi="宋体" w:eastAsia="宋体" w:cs="宋体"/>
          <w:color w:val="auto"/>
          <w:spacing w:val="-3"/>
          <w:w w:val="100"/>
          <w:kern w:val="2"/>
          <w:sz w:val="20"/>
          <w:szCs w:val="20"/>
          <w:highlight w:val="none"/>
          <w:lang w:val="en-US" w:eastAsia="zh-CN" w:bidi="ar-SA"/>
        </w:rPr>
        <w:t>（</w:t>
      </w:r>
      <w:r>
        <w:rPr>
          <w:rFonts w:hint="eastAsia" w:ascii="Times New Roman" w:hAnsi="Times New Roman" w:cs="宋体"/>
          <w:color w:val="auto"/>
          <w:spacing w:val="-3"/>
          <w:w w:val="100"/>
          <w:kern w:val="2"/>
          <w:sz w:val="20"/>
          <w:szCs w:val="20"/>
          <w:highlight w:val="none"/>
          <w:lang w:val="en-US" w:eastAsia="zh-CN" w:bidi="ar-SA"/>
        </w:rPr>
        <w:t>5</w:t>
      </w:r>
      <w:r>
        <w:rPr>
          <w:rFonts w:hint="default" w:ascii="宋体" w:hAnsi="宋体" w:eastAsia="宋体" w:cs="宋体"/>
          <w:color w:val="auto"/>
          <w:spacing w:val="-3"/>
          <w:w w:val="100"/>
          <w:kern w:val="2"/>
          <w:sz w:val="20"/>
          <w:szCs w:val="20"/>
          <w:highlight w:val="none"/>
          <w:lang w:val="en-US" w:eastAsia="zh-CN" w:bidi="ar-SA"/>
        </w:rPr>
        <w:t>）</w:t>
      </w:r>
      <w:r>
        <w:rPr>
          <w:color w:val="auto"/>
          <w:spacing w:val="-3"/>
          <w:highlight w:val="none"/>
          <w:lang w:eastAsia="zh-CN"/>
        </w:rPr>
        <w:t>其他乙方认为对产品品质和外立面效果有重大影响的设计环节。</w:t>
      </w:r>
    </w:p>
    <w:p>
      <w:pPr>
        <w:pStyle w:val="17"/>
        <w:spacing w:before="146"/>
        <w:ind w:firstLine="420" w:firstLineChars="200"/>
        <w:rPr>
          <w:color w:val="auto"/>
          <w:highlight w:val="none"/>
          <w:lang w:eastAsia="zh-CN"/>
        </w:rPr>
      </w:pPr>
      <w:r>
        <w:rPr>
          <w:rFonts w:hint="eastAsia" w:ascii="Times New Roman" w:hAnsi="Times New Roman"/>
          <w:color w:val="auto"/>
          <w:highlight w:val="none"/>
          <w:lang w:eastAsia="zh-CN"/>
        </w:rPr>
        <w:t>4</w:t>
      </w:r>
      <w:r>
        <w:rPr>
          <w:color w:val="auto"/>
          <w:highlight w:val="none"/>
          <w:lang w:eastAsia="zh-CN"/>
        </w:rPr>
        <w:t>、乙方应根据成本管理的需要，要求设计单位按成本概算进行合理的限额设计。</w:t>
      </w:r>
    </w:p>
    <w:p>
      <w:pPr>
        <w:pStyle w:val="17"/>
        <w:spacing w:before="147" w:line="364" w:lineRule="auto"/>
        <w:ind w:right="865" w:firstLine="439"/>
        <w:rPr>
          <w:color w:val="auto"/>
          <w:highlight w:val="none"/>
          <w:lang w:eastAsia="zh-CN"/>
        </w:rPr>
      </w:pPr>
      <w:r>
        <w:rPr>
          <w:rFonts w:hint="eastAsia" w:ascii="Times New Roman" w:hAnsi="Times New Roman"/>
          <w:color w:val="auto"/>
          <w:highlight w:val="none"/>
          <w:lang w:eastAsia="zh-CN"/>
        </w:rPr>
        <w:t>5</w:t>
      </w:r>
      <w:r>
        <w:rPr>
          <w:color w:val="auto"/>
          <w:spacing w:val="-3"/>
          <w:highlight w:val="none"/>
          <w:lang w:eastAsia="zh-CN"/>
        </w:rPr>
        <w:t>、如果甲方在没有取得当地规划设计管理部门调整本项目规划设计条件的书面许可文件情况下，要求乙方和设计单位不按照本项目规划设计条件或当地规划和建筑设计管理规范要求进行设计的，由此引起的责任，以及设计和报批报建进度延误等损失由甲</w:t>
      </w:r>
      <w:r>
        <w:rPr>
          <w:color w:val="auto"/>
          <w:spacing w:val="-2"/>
          <w:highlight w:val="none"/>
          <w:lang w:eastAsia="zh-CN"/>
        </w:rPr>
        <w:t>方承担。</w:t>
      </w:r>
    </w:p>
    <w:p>
      <w:pPr>
        <w:pStyle w:val="13"/>
        <w:spacing w:line="279" w:lineRule="exact"/>
        <w:rPr>
          <w:color w:val="auto"/>
          <w:highlight w:val="none"/>
          <w:lang w:eastAsia="zh-CN"/>
        </w:rPr>
      </w:pPr>
      <w:r>
        <w:rPr>
          <w:color w:val="auto"/>
          <w:highlight w:val="none"/>
          <w:lang w:eastAsia="zh-CN"/>
        </w:rPr>
        <w:t>第八条 工程成本管理</w:t>
      </w:r>
    </w:p>
    <w:p>
      <w:pPr>
        <w:pStyle w:val="17"/>
        <w:spacing w:before="146"/>
        <w:ind w:firstLine="420" w:firstLineChars="200"/>
        <w:rPr>
          <w:color w:val="auto"/>
          <w:highlight w:val="none"/>
          <w:lang w:eastAsia="zh-CN"/>
        </w:rPr>
      </w:pPr>
      <w:r>
        <w:rPr>
          <w:rFonts w:hint="eastAsia" w:ascii="Times New Roman" w:hAnsi="Times New Roman"/>
          <w:color w:val="auto"/>
          <w:highlight w:val="none"/>
          <w:lang w:eastAsia="zh-CN"/>
        </w:rPr>
        <w:t>1</w:t>
      </w:r>
      <w:r>
        <w:rPr>
          <w:color w:val="auto"/>
          <w:highlight w:val="none"/>
          <w:lang w:eastAsia="zh-CN"/>
        </w:rPr>
        <w:t>、甲乙双方对本项目目标成本的管理约定如下：</w:t>
      </w:r>
    </w:p>
    <w:p>
      <w:pPr>
        <w:rPr>
          <w:color w:val="auto"/>
          <w:highlight w:val="none"/>
          <w:lang w:eastAsia="zh-CN"/>
        </w:rPr>
      </w:pPr>
    </w:p>
    <w:p>
      <w:pPr>
        <w:pStyle w:val="90"/>
        <w:numPr>
          <w:ilvl w:val="0"/>
          <w:numId w:val="0"/>
        </w:numPr>
        <w:tabs>
          <w:tab w:val="left" w:pos="1811"/>
        </w:tabs>
        <w:spacing w:before="59" w:line="364" w:lineRule="auto"/>
        <w:ind w:right="865" w:rightChars="0" w:firstLine="388" w:firstLineChars="200"/>
        <w:rPr>
          <w:color w:val="auto"/>
          <w:highlight w:val="none"/>
          <w:lang w:eastAsia="zh-CN"/>
        </w:rPr>
      </w:pPr>
      <w:r>
        <w:rPr>
          <w:rFonts w:hint="default" w:ascii="宋体" w:hAnsi="宋体" w:eastAsia="宋体" w:cs="宋体"/>
          <w:color w:val="auto"/>
          <w:spacing w:val="-3"/>
          <w:w w:val="100"/>
          <w:kern w:val="2"/>
          <w:sz w:val="20"/>
          <w:szCs w:val="20"/>
          <w:highlight w:val="none"/>
          <w:lang w:val="en-US" w:eastAsia="zh-CN" w:bidi="ar-SA"/>
        </w:rPr>
        <w:t>（</w:t>
      </w:r>
      <w:r>
        <w:rPr>
          <w:rFonts w:hint="eastAsia" w:ascii="Times New Roman" w:hAnsi="Times New Roman" w:cs="宋体"/>
          <w:color w:val="auto"/>
          <w:spacing w:val="-3"/>
          <w:w w:val="100"/>
          <w:kern w:val="2"/>
          <w:sz w:val="20"/>
          <w:szCs w:val="20"/>
          <w:highlight w:val="none"/>
          <w:lang w:val="en-US" w:eastAsia="zh-CN" w:bidi="ar-SA"/>
        </w:rPr>
        <w:t>1</w:t>
      </w:r>
      <w:r>
        <w:rPr>
          <w:rFonts w:hint="default" w:ascii="宋体" w:hAnsi="宋体" w:eastAsia="宋体" w:cs="宋体"/>
          <w:color w:val="auto"/>
          <w:spacing w:val="-3"/>
          <w:w w:val="100"/>
          <w:kern w:val="2"/>
          <w:sz w:val="20"/>
          <w:szCs w:val="20"/>
          <w:highlight w:val="none"/>
          <w:lang w:val="en-US" w:eastAsia="zh-CN" w:bidi="ar-SA"/>
        </w:rPr>
        <w:t>）</w:t>
      </w:r>
      <w:r>
        <w:rPr>
          <w:color w:val="auto"/>
          <w:spacing w:val="-3"/>
          <w:highlight w:val="none"/>
          <w:lang w:eastAsia="zh-CN"/>
        </w:rPr>
        <w:t>由甲方根据相关程序选取第三方专业咨询公司，提供全过程造价咨询服务。在项目规划方案审批通过并取得批复后，由乙方组织编制方案版目标工程成本报甲方</w:t>
      </w:r>
      <w:r>
        <w:rPr>
          <w:rFonts w:hint="eastAsia"/>
          <w:color w:val="auto"/>
          <w:spacing w:val="-3"/>
          <w:highlight w:val="none"/>
          <w:lang w:eastAsia="zh-CN"/>
        </w:rPr>
        <w:t>批准</w:t>
      </w:r>
      <w:r>
        <w:rPr>
          <w:color w:val="auto"/>
          <w:spacing w:val="-3"/>
          <w:highlight w:val="none"/>
          <w:lang w:eastAsia="zh-CN"/>
        </w:rPr>
        <w:t>，形成甲乙双方确认的方案版成本管理目标。</w:t>
      </w:r>
    </w:p>
    <w:p>
      <w:pPr>
        <w:pStyle w:val="90"/>
        <w:numPr>
          <w:ilvl w:val="0"/>
          <w:numId w:val="0"/>
        </w:numPr>
        <w:tabs>
          <w:tab w:val="left" w:pos="1811"/>
        </w:tabs>
        <w:spacing w:line="364" w:lineRule="auto"/>
        <w:ind w:right="865" w:rightChars="0" w:firstLine="194" w:firstLineChars="100"/>
        <w:rPr>
          <w:color w:val="auto"/>
          <w:highlight w:val="none"/>
          <w:lang w:eastAsia="zh-CN"/>
        </w:rPr>
      </w:pPr>
      <w:r>
        <w:rPr>
          <w:rFonts w:hint="default" w:ascii="宋体" w:hAnsi="宋体" w:eastAsia="宋体" w:cs="宋体"/>
          <w:color w:val="auto"/>
          <w:spacing w:val="-3"/>
          <w:w w:val="100"/>
          <w:kern w:val="2"/>
          <w:sz w:val="20"/>
          <w:szCs w:val="20"/>
          <w:highlight w:val="none"/>
          <w:lang w:val="en-US" w:eastAsia="zh-CN" w:bidi="ar-SA"/>
        </w:rPr>
        <w:t>（</w:t>
      </w:r>
      <w:r>
        <w:rPr>
          <w:rFonts w:hint="eastAsia" w:ascii="Times New Roman" w:hAnsi="Times New Roman" w:cs="宋体"/>
          <w:color w:val="auto"/>
          <w:spacing w:val="-3"/>
          <w:w w:val="100"/>
          <w:kern w:val="2"/>
          <w:sz w:val="20"/>
          <w:szCs w:val="20"/>
          <w:highlight w:val="none"/>
          <w:lang w:val="en-US" w:eastAsia="zh-CN" w:bidi="ar-SA"/>
        </w:rPr>
        <w:t>2</w:t>
      </w:r>
      <w:r>
        <w:rPr>
          <w:rFonts w:hint="default" w:ascii="宋体" w:hAnsi="宋体" w:eastAsia="宋体" w:cs="宋体"/>
          <w:color w:val="auto"/>
          <w:spacing w:val="-3"/>
          <w:w w:val="100"/>
          <w:kern w:val="2"/>
          <w:sz w:val="20"/>
          <w:szCs w:val="20"/>
          <w:highlight w:val="none"/>
          <w:lang w:val="en-US" w:eastAsia="zh-CN" w:bidi="ar-SA"/>
        </w:rPr>
        <w:t>）</w:t>
      </w:r>
      <w:r>
        <w:rPr>
          <w:color w:val="auto"/>
          <w:spacing w:val="-5"/>
          <w:highlight w:val="none"/>
          <w:lang w:eastAsia="zh-CN"/>
        </w:rPr>
        <w:t xml:space="preserve">在项目【整体】完整的建筑安装施工图设计图纸取得后 </w:t>
      </w:r>
      <w:r>
        <w:rPr>
          <w:rFonts w:hint="eastAsia" w:ascii="Times New Roman" w:hAnsi="Times New Roman"/>
          <w:color w:val="auto"/>
          <w:highlight w:val="none"/>
          <w:lang w:eastAsia="zh-CN"/>
        </w:rPr>
        <w:t>30</w:t>
      </w:r>
      <w:r>
        <w:rPr>
          <w:color w:val="auto"/>
          <w:spacing w:val="-8"/>
          <w:highlight w:val="none"/>
          <w:lang w:eastAsia="zh-CN"/>
        </w:rPr>
        <w:t xml:space="preserve"> 个工作日内，由甲</w:t>
      </w:r>
      <w:r>
        <w:rPr>
          <w:color w:val="auto"/>
          <w:spacing w:val="-2"/>
          <w:highlight w:val="none"/>
          <w:lang w:eastAsia="zh-CN"/>
        </w:rPr>
        <w:t>方确定</w:t>
      </w:r>
      <w:r>
        <w:rPr>
          <w:color w:val="auto"/>
          <w:spacing w:val="-3"/>
          <w:highlight w:val="none"/>
          <w:lang w:eastAsia="zh-CN"/>
        </w:rPr>
        <w:t>的第三方造价咨询公司编制【整期】施工图预算，据预算调整</w:t>
      </w:r>
    </w:p>
    <w:p>
      <w:pPr>
        <w:pStyle w:val="17"/>
        <w:spacing w:line="364" w:lineRule="auto"/>
        <w:ind w:right="865"/>
        <w:rPr>
          <w:color w:val="auto"/>
          <w:highlight w:val="none"/>
          <w:lang w:eastAsia="zh-CN"/>
        </w:rPr>
      </w:pPr>
      <w:r>
        <w:rPr>
          <w:color w:val="auto"/>
          <w:spacing w:val="-3"/>
          <w:highlight w:val="none"/>
          <w:lang w:eastAsia="zh-CN"/>
        </w:rPr>
        <w:t>【整期】施工图版工程成本，并提交施工图版工程成本管理目标及组织甲乙双方共同评</w:t>
      </w:r>
      <w:r>
        <w:rPr>
          <w:color w:val="auto"/>
          <w:spacing w:val="-5"/>
          <w:highlight w:val="none"/>
          <w:lang w:eastAsia="zh-CN"/>
        </w:rPr>
        <w:t xml:space="preserve">审。评审意见落实后的施工图版工程成本管理目标提交给甲方的 </w:t>
      </w:r>
      <w:r>
        <w:rPr>
          <w:rFonts w:hint="eastAsia" w:ascii="Times New Roman" w:hAnsi="Times New Roman"/>
          <w:color w:val="auto"/>
          <w:highlight w:val="none"/>
          <w:lang w:eastAsia="zh-CN"/>
        </w:rPr>
        <w:t>15</w:t>
      </w:r>
      <w:r>
        <w:rPr>
          <w:color w:val="auto"/>
          <w:spacing w:val="-8"/>
          <w:highlight w:val="none"/>
          <w:lang w:eastAsia="zh-CN"/>
        </w:rPr>
        <w:t xml:space="preserve"> 个工作日内，且在</w:t>
      </w:r>
      <w:r>
        <w:rPr>
          <w:color w:val="auto"/>
          <w:spacing w:val="-3"/>
          <w:highlight w:val="none"/>
          <w:lang w:eastAsia="zh-CN"/>
        </w:rPr>
        <w:t>项目当期首次开盘前，需完成甲乙双方共同确认，并将其作为项目【整期】施工图版工程成本管理考核目标。</w:t>
      </w:r>
    </w:p>
    <w:p>
      <w:pPr>
        <w:pStyle w:val="90"/>
        <w:numPr>
          <w:ilvl w:val="1"/>
          <w:numId w:val="0"/>
        </w:numPr>
        <w:tabs>
          <w:tab w:val="left" w:pos="1811"/>
        </w:tabs>
        <w:spacing w:line="364" w:lineRule="auto"/>
        <w:ind w:right="867" w:rightChars="0" w:firstLine="388" w:firstLineChars="200"/>
        <w:rPr>
          <w:color w:val="auto"/>
          <w:highlight w:val="none"/>
          <w:lang w:eastAsia="zh-CN"/>
        </w:rPr>
      </w:pPr>
      <w:r>
        <w:rPr>
          <w:rFonts w:hint="default" w:ascii="宋体" w:hAnsi="宋体" w:eastAsia="宋体" w:cs="宋体"/>
          <w:color w:val="auto"/>
          <w:spacing w:val="-3"/>
          <w:w w:val="100"/>
          <w:kern w:val="2"/>
          <w:sz w:val="20"/>
          <w:szCs w:val="20"/>
          <w:highlight w:val="none"/>
          <w:lang w:val="en-US" w:eastAsia="zh-CN" w:bidi="ar-SA"/>
        </w:rPr>
        <w:t>（</w:t>
      </w:r>
      <w:r>
        <w:rPr>
          <w:rFonts w:hint="eastAsia" w:ascii="Times New Roman" w:hAnsi="Times New Roman" w:cs="宋体"/>
          <w:color w:val="auto"/>
          <w:spacing w:val="-3"/>
          <w:w w:val="100"/>
          <w:kern w:val="2"/>
          <w:sz w:val="20"/>
          <w:szCs w:val="20"/>
          <w:highlight w:val="none"/>
          <w:lang w:val="en-US" w:eastAsia="zh-CN" w:bidi="ar-SA"/>
        </w:rPr>
        <w:t>a</w:t>
      </w:r>
      <w:r>
        <w:rPr>
          <w:rFonts w:hint="default" w:ascii="宋体" w:hAnsi="宋体" w:eastAsia="宋体" w:cs="宋体"/>
          <w:color w:val="auto"/>
          <w:spacing w:val="-3"/>
          <w:w w:val="100"/>
          <w:kern w:val="2"/>
          <w:sz w:val="20"/>
          <w:szCs w:val="20"/>
          <w:highlight w:val="none"/>
          <w:lang w:val="en-US" w:eastAsia="zh-CN" w:bidi="ar-SA"/>
        </w:rPr>
        <w:t>）</w:t>
      </w:r>
      <w:r>
        <w:rPr>
          <w:color w:val="auto"/>
          <w:spacing w:val="-9"/>
          <w:highlight w:val="none"/>
          <w:lang w:eastAsia="zh-CN"/>
        </w:rPr>
        <w:t xml:space="preserve">若经乙方书面提醒 </w:t>
      </w:r>
      <w:r>
        <w:rPr>
          <w:rFonts w:hint="eastAsia" w:ascii="Times New Roman" w:hAnsi="Times New Roman"/>
          <w:color w:val="auto"/>
          <w:highlight w:val="none"/>
          <w:lang w:eastAsia="zh-CN"/>
        </w:rPr>
        <w:t>10</w:t>
      </w:r>
      <w:r>
        <w:rPr>
          <w:color w:val="auto"/>
          <w:spacing w:val="-9"/>
          <w:highlight w:val="none"/>
          <w:lang w:eastAsia="zh-CN"/>
        </w:rPr>
        <w:t xml:space="preserve"> 个工作日后，甲方仍逾期未提出疑义，则以双方评审意</w:t>
      </w:r>
      <w:r>
        <w:rPr>
          <w:color w:val="auto"/>
          <w:spacing w:val="-3"/>
          <w:highlight w:val="none"/>
          <w:lang w:eastAsia="zh-CN"/>
        </w:rPr>
        <w:t>见落实后的版本作为项目【整期】施工图版工程成本管理考核目标。</w:t>
      </w:r>
    </w:p>
    <w:p>
      <w:pPr>
        <w:pStyle w:val="90"/>
        <w:numPr>
          <w:ilvl w:val="1"/>
          <w:numId w:val="0"/>
        </w:numPr>
        <w:tabs>
          <w:tab w:val="left" w:pos="1811"/>
        </w:tabs>
        <w:spacing w:line="364" w:lineRule="auto"/>
        <w:ind w:right="978" w:rightChars="0" w:firstLine="388" w:firstLineChars="200"/>
        <w:rPr>
          <w:color w:val="auto"/>
          <w:highlight w:val="none"/>
          <w:lang w:eastAsia="zh-CN"/>
        </w:rPr>
      </w:pPr>
      <w:r>
        <w:rPr>
          <w:rFonts w:hint="default" w:ascii="宋体" w:hAnsi="宋体" w:eastAsia="宋体" w:cs="宋体"/>
          <w:color w:val="auto"/>
          <w:spacing w:val="-3"/>
          <w:w w:val="100"/>
          <w:kern w:val="2"/>
          <w:sz w:val="20"/>
          <w:szCs w:val="20"/>
          <w:highlight w:val="none"/>
          <w:lang w:val="en-US" w:eastAsia="zh-CN" w:bidi="ar-SA"/>
        </w:rPr>
        <w:t>（</w:t>
      </w:r>
      <w:r>
        <w:rPr>
          <w:rFonts w:hint="eastAsia" w:ascii="Times New Roman" w:hAnsi="Times New Roman" w:cs="宋体"/>
          <w:color w:val="auto"/>
          <w:spacing w:val="-3"/>
          <w:w w:val="100"/>
          <w:kern w:val="2"/>
          <w:sz w:val="20"/>
          <w:szCs w:val="20"/>
          <w:highlight w:val="none"/>
          <w:lang w:val="en-US" w:eastAsia="zh-CN" w:bidi="ar-SA"/>
        </w:rPr>
        <w:t>b</w:t>
      </w:r>
      <w:r>
        <w:rPr>
          <w:rFonts w:hint="default" w:ascii="宋体" w:hAnsi="宋体" w:eastAsia="宋体" w:cs="宋体"/>
          <w:color w:val="auto"/>
          <w:spacing w:val="-3"/>
          <w:w w:val="100"/>
          <w:kern w:val="2"/>
          <w:sz w:val="20"/>
          <w:szCs w:val="20"/>
          <w:highlight w:val="none"/>
          <w:lang w:val="en-US" w:eastAsia="zh-CN" w:bidi="ar-SA"/>
        </w:rPr>
        <w:t>）</w:t>
      </w:r>
      <w:r>
        <w:rPr>
          <w:color w:val="auto"/>
          <w:spacing w:val="-3"/>
          <w:highlight w:val="none"/>
          <w:lang w:eastAsia="zh-CN"/>
        </w:rPr>
        <w:t>施工图版工程成本管理目标经双方多轮沟通仍未达成一致的，须就工程成本管理目标考核事宜另行协商</w:t>
      </w:r>
      <w:r>
        <w:rPr>
          <w:rFonts w:hint="eastAsia"/>
          <w:color w:val="auto"/>
          <w:spacing w:val="-3"/>
          <w:highlight w:val="none"/>
          <w:lang w:eastAsia="zh-CN"/>
        </w:rPr>
        <w:t>，最终由甲方确定</w:t>
      </w:r>
      <w:r>
        <w:rPr>
          <w:color w:val="auto"/>
          <w:spacing w:val="-3"/>
          <w:highlight w:val="none"/>
          <w:lang w:eastAsia="zh-CN"/>
        </w:rPr>
        <w:t>。</w:t>
      </w:r>
    </w:p>
    <w:p>
      <w:pPr>
        <w:pStyle w:val="90"/>
        <w:numPr>
          <w:ilvl w:val="0"/>
          <w:numId w:val="0"/>
        </w:numPr>
        <w:tabs>
          <w:tab w:val="left" w:pos="1811"/>
        </w:tabs>
        <w:spacing w:line="364" w:lineRule="auto"/>
        <w:ind w:right="978" w:rightChars="0" w:firstLine="194" w:firstLineChars="100"/>
        <w:rPr>
          <w:color w:val="auto"/>
          <w:highlight w:val="none"/>
          <w:lang w:eastAsia="zh-CN"/>
        </w:rPr>
      </w:pPr>
      <w:r>
        <w:rPr>
          <w:rFonts w:hint="default" w:ascii="宋体" w:hAnsi="宋体" w:eastAsia="宋体" w:cs="宋体"/>
          <w:color w:val="auto"/>
          <w:spacing w:val="-3"/>
          <w:w w:val="100"/>
          <w:kern w:val="2"/>
          <w:sz w:val="20"/>
          <w:szCs w:val="20"/>
          <w:highlight w:val="none"/>
          <w:lang w:val="en-US" w:eastAsia="zh-CN" w:bidi="ar-SA"/>
        </w:rPr>
        <w:t>（</w:t>
      </w:r>
      <w:r>
        <w:rPr>
          <w:rFonts w:hint="eastAsia" w:ascii="Times New Roman" w:hAnsi="Times New Roman" w:cs="宋体"/>
          <w:color w:val="auto"/>
          <w:spacing w:val="-3"/>
          <w:w w:val="100"/>
          <w:kern w:val="2"/>
          <w:sz w:val="20"/>
          <w:szCs w:val="20"/>
          <w:highlight w:val="none"/>
          <w:lang w:val="en-US" w:eastAsia="zh-CN" w:bidi="ar-SA"/>
        </w:rPr>
        <w:t>3</w:t>
      </w:r>
      <w:r>
        <w:rPr>
          <w:rFonts w:hint="default" w:ascii="宋体" w:hAnsi="宋体" w:eastAsia="宋体" w:cs="宋体"/>
          <w:color w:val="auto"/>
          <w:spacing w:val="-3"/>
          <w:w w:val="100"/>
          <w:kern w:val="2"/>
          <w:sz w:val="20"/>
          <w:szCs w:val="20"/>
          <w:highlight w:val="none"/>
          <w:lang w:val="en-US" w:eastAsia="zh-CN" w:bidi="ar-SA"/>
        </w:rPr>
        <w:t>）</w:t>
      </w:r>
      <w:r>
        <w:rPr>
          <w:color w:val="auto"/>
          <w:spacing w:val="-3"/>
          <w:highlight w:val="none"/>
          <w:lang w:eastAsia="zh-CN"/>
        </w:rPr>
        <w:t>乙方应及时做好动态成本跟踪管理，如发生引起工程造价调整的重大因素， 及时书面向甲方报告。</w:t>
      </w:r>
    </w:p>
    <w:p>
      <w:pPr>
        <w:pStyle w:val="17"/>
        <w:spacing w:line="364" w:lineRule="auto"/>
        <w:ind w:right="975" w:firstLine="439"/>
        <w:rPr>
          <w:color w:val="auto"/>
          <w:highlight w:val="none"/>
          <w:lang w:eastAsia="zh-CN"/>
        </w:rPr>
      </w:pPr>
      <w:r>
        <w:rPr>
          <w:rFonts w:hint="eastAsia" w:ascii="Times New Roman" w:hAnsi="Times New Roman"/>
          <w:color w:val="auto"/>
          <w:spacing w:val="-1"/>
          <w:highlight w:val="none"/>
          <w:lang w:eastAsia="zh-CN"/>
        </w:rPr>
        <w:t>2</w:t>
      </w:r>
      <w:r>
        <w:rPr>
          <w:color w:val="auto"/>
          <w:spacing w:val="-3"/>
          <w:highlight w:val="none"/>
          <w:lang w:eastAsia="zh-CN"/>
        </w:rPr>
        <w:t>、在项目开发建设过程中，如发生下列情形并引起工程成本发生变化的，乙方应及时以书面形式向甲方报告，并经甲方同意后相应调整施工图版工程成本管理考核目标：</w:t>
      </w:r>
    </w:p>
    <w:p>
      <w:pPr>
        <w:pStyle w:val="90"/>
        <w:numPr>
          <w:ilvl w:val="0"/>
          <w:numId w:val="0"/>
        </w:numPr>
        <w:tabs>
          <w:tab w:val="left" w:pos="1811"/>
        </w:tabs>
        <w:spacing w:line="281" w:lineRule="exact"/>
        <w:ind w:firstLine="194" w:firstLineChars="100"/>
        <w:rPr>
          <w:color w:val="auto"/>
          <w:highlight w:val="none"/>
        </w:rPr>
      </w:pPr>
      <w:r>
        <w:rPr>
          <w:rFonts w:hint="default" w:ascii="宋体" w:hAnsi="宋体" w:eastAsia="宋体" w:cs="宋体"/>
          <w:color w:val="auto"/>
          <w:spacing w:val="-3"/>
          <w:w w:val="100"/>
          <w:kern w:val="2"/>
          <w:sz w:val="20"/>
          <w:szCs w:val="20"/>
          <w:highlight w:val="none"/>
          <w:lang w:val="en-US" w:eastAsia="zh-CN" w:bidi="ar-SA"/>
        </w:rPr>
        <w:t>（</w:t>
      </w:r>
      <w:r>
        <w:rPr>
          <w:rFonts w:hint="eastAsia" w:ascii="Times New Roman" w:hAnsi="Times New Roman" w:cs="宋体"/>
          <w:color w:val="auto"/>
          <w:spacing w:val="-3"/>
          <w:w w:val="100"/>
          <w:kern w:val="2"/>
          <w:sz w:val="20"/>
          <w:szCs w:val="20"/>
          <w:highlight w:val="none"/>
          <w:lang w:val="en-US" w:eastAsia="zh-CN" w:bidi="ar-SA"/>
        </w:rPr>
        <w:t>1</w:t>
      </w:r>
      <w:r>
        <w:rPr>
          <w:rFonts w:hint="default" w:ascii="宋体" w:hAnsi="宋体" w:eastAsia="宋体" w:cs="宋体"/>
          <w:color w:val="auto"/>
          <w:spacing w:val="-3"/>
          <w:w w:val="100"/>
          <w:kern w:val="2"/>
          <w:sz w:val="20"/>
          <w:szCs w:val="20"/>
          <w:highlight w:val="none"/>
          <w:lang w:val="en-US" w:eastAsia="zh-CN" w:bidi="ar-SA"/>
        </w:rPr>
        <w:t>）</w:t>
      </w:r>
      <w:r>
        <w:rPr>
          <w:color w:val="auto"/>
          <w:spacing w:val="-3"/>
          <w:highlight w:val="none"/>
        </w:rPr>
        <w:t>不可抗力；</w:t>
      </w:r>
    </w:p>
    <w:p>
      <w:pPr>
        <w:pStyle w:val="90"/>
        <w:numPr>
          <w:ilvl w:val="0"/>
          <w:numId w:val="0"/>
        </w:numPr>
        <w:tabs>
          <w:tab w:val="left" w:pos="1811"/>
        </w:tabs>
        <w:spacing w:before="138"/>
        <w:ind w:firstLine="194" w:firstLineChars="100"/>
        <w:rPr>
          <w:color w:val="auto"/>
          <w:highlight w:val="none"/>
          <w:lang w:eastAsia="zh-CN"/>
        </w:rPr>
      </w:pPr>
      <w:r>
        <w:rPr>
          <w:rFonts w:hint="default" w:ascii="宋体" w:hAnsi="宋体" w:eastAsia="宋体" w:cs="宋体"/>
          <w:color w:val="auto"/>
          <w:spacing w:val="-3"/>
          <w:w w:val="100"/>
          <w:kern w:val="2"/>
          <w:sz w:val="20"/>
          <w:szCs w:val="20"/>
          <w:highlight w:val="none"/>
          <w:lang w:val="en-US" w:eastAsia="zh-CN" w:bidi="ar-SA"/>
        </w:rPr>
        <w:t>（</w:t>
      </w:r>
      <w:r>
        <w:rPr>
          <w:rFonts w:hint="eastAsia" w:ascii="Times New Roman" w:hAnsi="Times New Roman" w:cs="宋体"/>
          <w:color w:val="auto"/>
          <w:spacing w:val="-3"/>
          <w:w w:val="100"/>
          <w:kern w:val="2"/>
          <w:sz w:val="20"/>
          <w:szCs w:val="20"/>
          <w:highlight w:val="none"/>
          <w:lang w:val="en-US" w:eastAsia="zh-CN" w:bidi="ar-SA"/>
        </w:rPr>
        <w:t>2</w:t>
      </w:r>
      <w:r>
        <w:rPr>
          <w:rFonts w:hint="default" w:ascii="宋体" w:hAnsi="宋体" w:eastAsia="宋体" w:cs="宋体"/>
          <w:color w:val="auto"/>
          <w:spacing w:val="-3"/>
          <w:w w:val="100"/>
          <w:kern w:val="2"/>
          <w:sz w:val="20"/>
          <w:szCs w:val="20"/>
          <w:highlight w:val="none"/>
          <w:lang w:val="en-US" w:eastAsia="zh-CN" w:bidi="ar-SA"/>
        </w:rPr>
        <w:t>）</w:t>
      </w:r>
      <w:r>
        <w:rPr>
          <w:color w:val="auto"/>
          <w:spacing w:val="-3"/>
          <w:highlight w:val="none"/>
          <w:lang w:eastAsia="zh-CN"/>
        </w:rPr>
        <w:t>国家技术规范、标准调整，导致项目建设过程中的工艺、标准变化；</w:t>
      </w:r>
    </w:p>
    <w:p>
      <w:pPr>
        <w:pStyle w:val="90"/>
        <w:numPr>
          <w:ilvl w:val="0"/>
          <w:numId w:val="0"/>
        </w:numPr>
        <w:tabs>
          <w:tab w:val="left" w:pos="1811"/>
        </w:tabs>
        <w:spacing w:before="145"/>
        <w:ind w:firstLine="194" w:firstLineChars="100"/>
        <w:rPr>
          <w:color w:val="auto"/>
          <w:highlight w:val="none"/>
          <w:lang w:eastAsia="zh-CN"/>
        </w:rPr>
      </w:pPr>
      <w:r>
        <w:rPr>
          <w:rFonts w:hint="default" w:ascii="宋体" w:hAnsi="宋体" w:eastAsia="宋体" w:cs="宋体"/>
          <w:color w:val="auto"/>
          <w:spacing w:val="-3"/>
          <w:w w:val="100"/>
          <w:kern w:val="2"/>
          <w:sz w:val="20"/>
          <w:szCs w:val="20"/>
          <w:highlight w:val="none"/>
          <w:lang w:val="en-US" w:eastAsia="zh-CN" w:bidi="ar-SA"/>
        </w:rPr>
        <w:t>（</w:t>
      </w:r>
      <w:r>
        <w:rPr>
          <w:rFonts w:hint="eastAsia" w:ascii="Times New Roman" w:hAnsi="Times New Roman" w:cs="宋体"/>
          <w:color w:val="auto"/>
          <w:spacing w:val="-3"/>
          <w:w w:val="100"/>
          <w:kern w:val="2"/>
          <w:sz w:val="20"/>
          <w:szCs w:val="20"/>
          <w:highlight w:val="none"/>
          <w:lang w:val="en-US" w:eastAsia="zh-CN" w:bidi="ar-SA"/>
        </w:rPr>
        <w:t>3</w:t>
      </w:r>
      <w:r>
        <w:rPr>
          <w:rFonts w:hint="default" w:ascii="宋体" w:hAnsi="宋体" w:eastAsia="宋体" w:cs="宋体"/>
          <w:color w:val="auto"/>
          <w:spacing w:val="-3"/>
          <w:w w:val="100"/>
          <w:kern w:val="2"/>
          <w:sz w:val="20"/>
          <w:szCs w:val="20"/>
          <w:highlight w:val="none"/>
          <w:lang w:val="en-US" w:eastAsia="zh-CN" w:bidi="ar-SA"/>
        </w:rPr>
        <w:t>）</w:t>
      </w:r>
      <w:r>
        <w:rPr>
          <w:color w:val="auto"/>
          <w:spacing w:val="-3"/>
          <w:highlight w:val="none"/>
          <w:lang w:eastAsia="zh-CN"/>
        </w:rPr>
        <w:t>施工合同约定可调整合同价款的因素发生变化；</w:t>
      </w:r>
    </w:p>
    <w:p>
      <w:pPr>
        <w:pStyle w:val="90"/>
        <w:numPr>
          <w:ilvl w:val="0"/>
          <w:numId w:val="0"/>
        </w:numPr>
        <w:tabs>
          <w:tab w:val="left" w:pos="1811"/>
        </w:tabs>
        <w:spacing w:before="148" w:line="364" w:lineRule="auto"/>
        <w:ind w:right="978" w:rightChars="0" w:firstLine="194" w:firstLineChars="100"/>
        <w:rPr>
          <w:color w:val="auto"/>
          <w:highlight w:val="none"/>
          <w:lang w:eastAsia="zh-CN"/>
        </w:rPr>
      </w:pPr>
      <w:r>
        <w:rPr>
          <w:rFonts w:hint="default" w:ascii="宋体" w:hAnsi="宋体" w:eastAsia="宋体" w:cs="宋体"/>
          <w:color w:val="auto"/>
          <w:spacing w:val="-3"/>
          <w:w w:val="100"/>
          <w:kern w:val="2"/>
          <w:sz w:val="20"/>
          <w:szCs w:val="20"/>
          <w:highlight w:val="none"/>
          <w:lang w:val="en-US" w:eastAsia="zh-CN" w:bidi="ar-SA"/>
        </w:rPr>
        <w:t>（</w:t>
      </w:r>
      <w:r>
        <w:rPr>
          <w:rFonts w:hint="eastAsia" w:ascii="Times New Roman" w:hAnsi="Times New Roman" w:cs="宋体"/>
          <w:color w:val="auto"/>
          <w:spacing w:val="-3"/>
          <w:w w:val="100"/>
          <w:kern w:val="2"/>
          <w:sz w:val="20"/>
          <w:szCs w:val="20"/>
          <w:highlight w:val="none"/>
          <w:lang w:val="en-US" w:eastAsia="zh-CN" w:bidi="ar-SA"/>
        </w:rPr>
        <w:t>4</w:t>
      </w:r>
      <w:r>
        <w:rPr>
          <w:rFonts w:hint="default" w:ascii="宋体" w:hAnsi="宋体" w:eastAsia="宋体" w:cs="宋体"/>
          <w:color w:val="auto"/>
          <w:spacing w:val="-3"/>
          <w:w w:val="100"/>
          <w:kern w:val="2"/>
          <w:sz w:val="20"/>
          <w:szCs w:val="20"/>
          <w:highlight w:val="none"/>
          <w:lang w:val="en-US" w:eastAsia="zh-CN" w:bidi="ar-SA"/>
        </w:rPr>
        <w:t>）</w:t>
      </w:r>
      <w:r>
        <w:rPr>
          <w:color w:val="auto"/>
          <w:spacing w:val="-3"/>
          <w:highlight w:val="none"/>
          <w:lang w:eastAsia="zh-CN"/>
        </w:rPr>
        <w:t>根据项目开发实际需要或甲方要求，对项目建设内容、建设标准等进行重大</w:t>
      </w:r>
      <w:r>
        <w:rPr>
          <w:color w:val="auto"/>
          <w:spacing w:val="-2"/>
          <w:highlight w:val="none"/>
          <w:lang w:eastAsia="zh-CN"/>
        </w:rPr>
        <w:t>调整；</w:t>
      </w:r>
    </w:p>
    <w:p>
      <w:pPr>
        <w:pStyle w:val="90"/>
        <w:numPr>
          <w:ilvl w:val="0"/>
          <w:numId w:val="0"/>
        </w:numPr>
        <w:tabs>
          <w:tab w:val="left" w:pos="1811"/>
        </w:tabs>
        <w:spacing w:line="279" w:lineRule="exact"/>
        <w:ind w:firstLine="194" w:firstLineChars="100"/>
        <w:rPr>
          <w:color w:val="auto"/>
          <w:highlight w:val="none"/>
        </w:rPr>
      </w:pPr>
      <w:r>
        <w:rPr>
          <w:rFonts w:hint="default" w:ascii="宋体" w:hAnsi="宋体" w:eastAsia="宋体" w:cs="宋体"/>
          <w:color w:val="auto"/>
          <w:spacing w:val="-3"/>
          <w:w w:val="100"/>
          <w:kern w:val="2"/>
          <w:sz w:val="20"/>
          <w:szCs w:val="20"/>
          <w:highlight w:val="none"/>
          <w:lang w:val="en-US" w:eastAsia="zh-CN" w:bidi="ar-SA"/>
        </w:rPr>
        <w:t>（</w:t>
      </w:r>
      <w:r>
        <w:rPr>
          <w:rFonts w:hint="eastAsia" w:ascii="Times New Roman" w:hAnsi="Times New Roman" w:cs="宋体"/>
          <w:color w:val="auto"/>
          <w:spacing w:val="-3"/>
          <w:w w:val="100"/>
          <w:kern w:val="2"/>
          <w:sz w:val="20"/>
          <w:szCs w:val="20"/>
          <w:highlight w:val="none"/>
          <w:lang w:val="en-US" w:eastAsia="zh-CN" w:bidi="ar-SA"/>
        </w:rPr>
        <w:t>5</w:t>
      </w:r>
      <w:r>
        <w:rPr>
          <w:rFonts w:hint="default" w:ascii="宋体" w:hAnsi="宋体" w:eastAsia="宋体" w:cs="宋体"/>
          <w:color w:val="auto"/>
          <w:spacing w:val="-3"/>
          <w:w w:val="100"/>
          <w:kern w:val="2"/>
          <w:sz w:val="20"/>
          <w:szCs w:val="20"/>
          <w:highlight w:val="none"/>
          <w:lang w:val="en-US" w:eastAsia="zh-CN" w:bidi="ar-SA"/>
        </w:rPr>
        <w:t>）</w:t>
      </w:r>
      <w:r>
        <w:rPr>
          <w:color w:val="auto"/>
          <w:spacing w:val="-3"/>
          <w:highlight w:val="none"/>
        </w:rPr>
        <w:t>重大工程变更；</w:t>
      </w:r>
    </w:p>
    <w:p>
      <w:pPr>
        <w:pStyle w:val="90"/>
        <w:numPr>
          <w:ilvl w:val="0"/>
          <w:numId w:val="0"/>
        </w:numPr>
        <w:tabs>
          <w:tab w:val="left" w:pos="1811"/>
        </w:tabs>
        <w:spacing w:before="148" w:line="364" w:lineRule="auto"/>
        <w:ind w:right="978" w:rightChars="0" w:firstLine="194" w:firstLineChars="100"/>
        <w:rPr>
          <w:color w:val="auto"/>
          <w:highlight w:val="none"/>
          <w:lang w:eastAsia="zh-CN"/>
        </w:rPr>
      </w:pPr>
      <w:r>
        <w:rPr>
          <w:rFonts w:hint="default" w:ascii="宋体" w:hAnsi="宋体" w:eastAsia="宋体" w:cs="宋体"/>
          <w:color w:val="auto"/>
          <w:spacing w:val="-3"/>
          <w:w w:val="100"/>
          <w:kern w:val="2"/>
          <w:sz w:val="20"/>
          <w:szCs w:val="20"/>
          <w:highlight w:val="none"/>
          <w:lang w:val="en-US" w:eastAsia="zh-CN" w:bidi="ar-SA"/>
        </w:rPr>
        <w:t>（</w:t>
      </w:r>
      <w:r>
        <w:rPr>
          <w:rFonts w:hint="eastAsia" w:ascii="Times New Roman" w:hAnsi="Times New Roman" w:cs="宋体"/>
          <w:color w:val="auto"/>
          <w:spacing w:val="-3"/>
          <w:w w:val="100"/>
          <w:kern w:val="2"/>
          <w:sz w:val="20"/>
          <w:szCs w:val="20"/>
          <w:highlight w:val="none"/>
          <w:lang w:val="en-US" w:eastAsia="zh-CN" w:bidi="ar-SA"/>
        </w:rPr>
        <w:t>6</w:t>
      </w:r>
      <w:r>
        <w:rPr>
          <w:rFonts w:hint="default" w:ascii="宋体" w:hAnsi="宋体" w:eastAsia="宋体" w:cs="宋体"/>
          <w:color w:val="auto"/>
          <w:spacing w:val="-3"/>
          <w:w w:val="100"/>
          <w:kern w:val="2"/>
          <w:sz w:val="20"/>
          <w:szCs w:val="20"/>
          <w:highlight w:val="none"/>
          <w:lang w:val="en-US" w:eastAsia="zh-CN" w:bidi="ar-SA"/>
        </w:rPr>
        <w:t>）</w:t>
      </w:r>
      <w:r>
        <w:rPr>
          <w:color w:val="auto"/>
          <w:spacing w:val="-3"/>
          <w:highlight w:val="none"/>
          <w:lang w:eastAsia="zh-CN"/>
        </w:rPr>
        <w:t>因受地质等事前不可完全预料的自然条件制约，在具体施工过程中有重大技</w:t>
      </w:r>
      <w:r>
        <w:rPr>
          <w:color w:val="auto"/>
          <w:spacing w:val="-2"/>
          <w:highlight w:val="none"/>
          <w:lang w:eastAsia="zh-CN"/>
        </w:rPr>
        <w:t>术调整；</w:t>
      </w:r>
    </w:p>
    <w:p>
      <w:pPr>
        <w:pStyle w:val="90"/>
        <w:numPr>
          <w:ilvl w:val="0"/>
          <w:numId w:val="0"/>
        </w:numPr>
        <w:tabs>
          <w:tab w:val="left" w:pos="1811"/>
        </w:tabs>
        <w:spacing w:line="279" w:lineRule="exact"/>
        <w:ind w:firstLine="194" w:firstLineChars="100"/>
        <w:rPr>
          <w:color w:val="auto"/>
          <w:highlight w:val="none"/>
          <w:lang w:eastAsia="zh-CN"/>
        </w:rPr>
      </w:pPr>
      <w:r>
        <w:rPr>
          <w:rFonts w:hint="default" w:ascii="宋体" w:hAnsi="宋体" w:eastAsia="宋体" w:cs="宋体"/>
          <w:color w:val="auto"/>
          <w:spacing w:val="-3"/>
          <w:w w:val="100"/>
          <w:kern w:val="2"/>
          <w:sz w:val="20"/>
          <w:szCs w:val="20"/>
          <w:highlight w:val="none"/>
          <w:lang w:val="en-US" w:eastAsia="zh-CN" w:bidi="ar-SA"/>
        </w:rPr>
        <w:t>（</w:t>
      </w:r>
      <w:r>
        <w:rPr>
          <w:rFonts w:hint="eastAsia" w:ascii="Times New Roman" w:hAnsi="Times New Roman" w:cs="宋体"/>
          <w:color w:val="auto"/>
          <w:spacing w:val="-3"/>
          <w:w w:val="100"/>
          <w:kern w:val="2"/>
          <w:sz w:val="20"/>
          <w:szCs w:val="20"/>
          <w:highlight w:val="none"/>
          <w:lang w:val="en-US" w:eastAsia="zh-CN" w:bidi="ar-SA"/>
        </w:rPr>
        <w:t>7</w:t>
      </w:r>
      <w:r>
        <w:rPr>
          <w:rFonts w:hint="default" w:ascii="宋体" w:hAnsi="宋体" w:eastAsia="宋体" w:cs="宋体"/>
          <w:color w:val="auto"/>
          <w:spacing w:val="-3"/>
          <w:w w:val="100"/>
          <w:kern w:val="2"/>
          <w:sz w:val="20"/>
          <w:szCs w:val="20"/>
          <w:highlight w:val="none"/>
          <w:lang w:val="en-US" w:eastAsia="zh-CN" w:bidi="ar-SA"/>
        </w:rPr>
        <w:t>）</w:t>
      </w:r>
      <w:r>
        <w:rPr>
          <w:color w:val="auto"/>
          <w:spacing w:val="-3"/>
          <w:highlight w:val="none"/>
          <w:lang w:eastAsia="zh-CN"/>
        </w:rPr>
        <w:t>其他经甲方同意的变更情形。</w:t>
      </w:r>
    </w:p>
    <w:p>
      <w:pPr>
        <w:pStyle w:val="17"/>
        <w:spacing w:before="148" w:line="365" w:lineRule="auto"/>
        <w:ind w:right="868" w:firstLine="420" w:firstLineChars="200"/>
        <w:rPr>
          <w:color w:val="auto"/>
          <w:highlight w:val="none"/>
          <w:lang w:eastAsia="zh-CN"/>
        </w:rPr>
      </w:pPr>
      <w:r>
        <w:rPr>
          <w:rFonts w:hint="eastAsia" w:ascii="Times New Roman" w:hAnsi="Times New Roman"/>
          <w:color w:val="auto"/>
          <w:highlight w:val="none"/>
          <w:lang w:eastAsia="zh-CN"/>
        </w:rPr>
        <w:t>3</w:t>
      </w:r>
      <w:r>
        <w:rPr>
          <w:color w:val="auto"/>
          <w:spacing w:val="-3"/>
          <w:highlight w:val="none"/>
          <w:lang w:eastAsia="zh-CN"/>
        </w:rPr>
        <w:t>、项目开发建设过程中按规定必须招标的内容，由乙方拟订招标方案，报甲方审批后实施。乙方应在招标工作开始前准备招投标整个的工作流程、评标办法，以及招标文件等材料。</w:t>
      </w:r>
      <w:r>
        <w:rPr>
          <w:rFonts w:hint="eastAsia"/>
          <w:color w:val="auto"/>
          <w:spacing w:val="-3"/>
          <w:highlight w:val="none"/>
          <w:lang w:eastAsia="zh-CN"/>
        </w:rPr>
        <w:t>招标工作应按甲方招标制度执行，</w:t>
      </w:r>
      <w:r>
        <w:rPr>
          <w:color w:val="auto"/>
          <w:spacing w:val="-3"/>
          <w:highlight w:val="none"/>
          <w:lang w:eastAsia="zh-CN"/>
        </w:rPr>
        <w:t>乙方应积极协调并配合招标代理公司，完成招投标相关工作。</w:t>
      </w:r>
    </w:p>
    <w:p>
      <w:pPr>
        <w:pStyle w:val="17"/>
        <w:spacing w:line="365" w:lineRule="auto"/>
        <w:ind w:right="868" w:firstLine="408" w:firstLineChars="200"/>
        <w:rPr>
          <w:color w:val="auto"/>
          <w:spacing w:val="-3"/>
          <w:highlight w:val="none"/>
          <w:lang w:eastAsia="zh-CN"/>
        </w:rPr>
      </w:pPr>
      <w:r>
        <w:rPr>
          <w:rFonts w:hint="eastAsia" w:ascii="Times New Roman" w:hAnsi="Times New Roman"/>
          <w:color w:val="auto"/>
          <w:spacing w:val="-3"/>
          <w:highlight w:val="none"/>
          <w:lang w:eastAsia="zh-CN"/>
        </w:rPr>
        <w:t>4</w:t>
      </w:r>
      <w:r>
        <w:rPr>
          <w:color w:val="auto"/>
          <w:spacing w:val="-3"/>
          <w:highlight w:val="none"/>
          <w:lang w:eastAsia="zh-CN"/>
        </w:rPr>
        <w:t>、为确保本项目房屋产品质量并节省成本、提高效率，</w:t>
      </w:r>
      <w:r>
        <w:rPr>
          <w:rFonts w:hint="eastAsia"/>
          <w:color w:val="auto"/>
          <w:spacing w:val="-3"/>
          <w:highlight w:val="none"/>
          <w:lang w:eastAsia="zh-CN"/>
        </w:rPr>
        <w:t>同等条件下，优先支持</w:t>
      </w:r>
      <w:r>
        <w:rPr>
          <w:color w:val="auto"/>
          <w:spacing w:val="-3"/>
          <w:highlight w:val="none"/>
          <w:lang w:eastAsia="zh-CN"/>
        </w:rPr>
        <w:t>乙方充分利用其合格供应商库的资源，择优选取相关单位参与投标。</w:t>
      </w:r>
    </w:p>
    <w:p>
      <w:pPr>
        <w:pStyle w:val="17"/>
        <w:spacing w:before="59" w:line="365" w:lineRule="auto"/>
        <w:ind w:right="868" w:firstLine="420" w:firstLineChars="200"/>
        <w:rPr>
          <w:color w:val="auto"/>
          <w:highlight w:val="none"/>
          <w:lang w:eastAsia="zh-CN"/>
        </w:rPr>
      </w:pPr>
      <w:r>
        <w:rPr>
          <w:rFonts w:hint="eastAsia" w:ascii="Times New Roman" w:hAnsi="Times New Roman"/>
          <w:color w:val="auto"/>
          <w:highlight w:val="none"/>
          <w:lang w:eastAsia="zh-CN"/>
        </w:rPr>
        <w:t>5</w:t>
      </w:r>
      <w:r>
        <w:rPr>
          <w:color w:val="auto"/>
          <w:highlight w:val="none"/>
          <w:lang w:eastAsia="zh-CN"/>
        </w:rPr>
        <w:t>、材料供应管理</w:t>
      </w:r>
    </w:p>
    <w:p>
      <w:pPr>
        <w:pStyle w:val="17"/>
        <w:spacing w:before="148" w:line="365" w:lineRule="auto"/>
        <w:ind w:right="868" w:firstLine="408" w:firstLineChars="200"/>
        <w:rPr>
          <w:color w:val="auto"/>
          <w:spacing w:val="-3"/>
          <w:highlight w:val="none"/>
          <w:lang w:eastAsia="zh-CN"/>
        </w:rPr>
      </w:pPr>
      <w:r>
        <w:rPr>
          <w:rFonts w:hint="default"/>
          <w:color w:val="auto"/>
          <w:spacing w:val="-3"/>
          <w:highlight w:val="none"/>
          <w:lang w:val="en-US" w:eastAsia="zh-CN"/>
        </w:rPr>
        <w:t>（</w:t>
      </w:r>
      <w:r>
        <w:rPr>
          <w:rFonts w:hint="eastAsia" w:ascii="Times New Roman" w:hAnsi="Times New Roman"/>
          <w:color w:val="auto"/>
          <w:spacing w:val="-3"/>
          <w:highlight w:val="none"/>
          <w:lang w:val="en-US" w:eastAsia="zh-CN"/>
        </w:rPr>
        <w:t>1</w:t>
      </w:r>
      <w:r>
        <w:rPr>
          <w:rFonts w:hint="default"/>
          <w:color w:val="auto"/>
          <w:spacing w:val="-3"/>
          <w:highlight w:val="none"/>
          <w:lang w:val="en-US" w:eastAsia="zh-CN"/>
        </w:rPr>
        <w:t>）</w:t>
      </w:r>
      <w:r>
        <w:rPr>
          <w:color w:val="auto"/>
          <w:spacing w:val="-3"/>
          <w:highlight w:val="none"/>
          <w:lang w:eastAsia="zh-CN"/>
        </w:rPr>
        <w:t>供应方式划分为三类：甲方直接采购；施工单位采购（甲方</w:t>
      </w:r>
      <w:r>
        <w:rPr>
          <w:rFonts w:hint="eastAsia"/>
          <w:color w:val="auto"/>
          <w:spacing w:val="-3"/>
          <w:highlight w:val="none"/>
          <w:lang w:eastAsia="zh-CN"/>
        </w:rPr>
        <w:t>选</w:t>
      </w:r>
      <w:r>
        <w:rPr>
          <w:color w:val="auto"/>
          <w:spacing w:val="-3"/>
          <w:highlight w:val="none"/>
          <w:lang w:eastAsia="zh-CN"/>
        </w:rPr>
        <w:t>定品牌或同时</w:t>
      </w:r>
      <w:r>
        <w:rPr>
          <w:rFonts w:hint="eastAsia"/>
          <w:color w:val="auto"/>
          <w:spacing w:val="-3"/>
          <w:highlight w:val="none"/>
          <w:lang w:eastAsia="zh-CN"/>
        </w:rPr>
        <w:t>询</w:t>
      </w:r>
      <w:r>
        <w:rPr>
          <w:color w:val="auto"/>
          <w:spacing w:val="-3"/>
          <w:highlight w:val="none"/>
          <w:lang w:eastAsia="zh-CN"/>
        </w:rPr>
        <w:t>定价格、供应商）；施工单位直接采购。乙方应根据工程所在地条件、项目定位，</w:t>
      </w:r>
      <w:r>
        <w:rPr>
          <w:rFonts w:hint="eastAsia"/>
          <w:color w:val="auto"/>
          <w:spacing w:val="-3"/>
          <w:highlight w:val="none"/>
          <w:lang w:eastAsia="zh-CN"/>
        </w:rPr>
        <w:t>建议</w:t>
      </w:r>
      <w:r>
        <w:rPr>
          <w:color w:val="auto"/>
          <w:spacing w:val="-3"/>
          <w:highlight w:val="none"/>
          <w:lang w:eastAsia="zh-CN"/>
        </w:rPr>
        <w:t>各类工程材料供应方式并经甲方确认。</w:t>
      </w:r>
    </w:p>
    <w:p>
      <w:pPr>
        <w:pStyle w:val="17"/>
        <w:spacing w:before="148" w:line="365" w:lineRule="auto"/>
        <w:ind w:right="868" w:firstLine="408" w:firstLineChars="200"/>
        <w:rPr>
          <w:color w:val="auto"/>
          <w:spacing w:val="-3"/>
          <w:highlight w:val="none"/>
          <w:lang w:eastAsia="zh-CN"/>
        </w:rPr>
      </w:pPr>
      <w:r>
        <w:rPr>
          <w:rFonts w:hint="default"/>
          <w:color w:val="auto"/>
          <w:spacing w:val="-3"/>
          <w:highlight w:val="none"/>
          <w:lang w:val="en-US" w:eastAsia="zh-CN"/>
        </w:rPr>
        <w:t>（</w:t>
      </w:r>
      <w:r>
        <w:rPr>
          <w:rFonts w:hint="eastAsia" w:ascii="Times New Roman" w:hAnsi="Times New Roman"/>
          <w:color w:val="auto"/>
          <w:spacing w:val="-3"/>
          <w:highlight w:val="none"/>
          <w:lang w:val="en-US" w:eastAsia="zh-CN"/>
        </w:rPr>
        <w:t>2</w:t>
      </w:r>
      <w:r>
        <w:rPr>
          <w:rFonts w:hint="default"/>
          <w:color w:val="auto"/>
          <w:spacing w:val="-3"/>
          <w:highlight w:val="none"/>
          <w:lang w:val="en-US" w:eastAsia="zh-CN"/>
        </w:rPr>
        <w:t>）</w:t>
      </w:r>
      <w:r>
        <w:rPr>
          <w:color w:val="auto"/>
          <w:spacing w:val="-3"/>
          <w:highlight w:val="none"/>
          <w:lang w:eastAsia="zh-CN"/>
        </w:rPr>
        <w:t>直接影响产品质量的材料和设备，主要包括外立面材料（石材、面砖、涂料、门窗、构架、幕墙材料）、主要设备（电梯、空调系统、锅炉、生活给水系统、智能安防系统、排污、消防）、装修主材等，在相应的设计方案确定后，由乙方根据同类产品，并结合本项目的实际情况，拟订具体采购标准</w:t>
      </w:r>
      <w:r>
        <w:rPr>
          <w:rFonts w:hint="eastAsia"/>
          <w:color w:val="auto"/>
          <w:spacing w:val="-3"/>
          <w:highlight w:val="none"/>
          <w:lang w:eastAsia="zh-CN"/>
        </w:rPr>
        <w:t>及价格</w:t>
      </w:r>
      <w:r>
        <w:rPr>
          <w:color w:val="auto"/>
          <w:spacing w:val="-3"/>
          <w:highlight w:val="none"/>
          <w:lang w:eastAsia="zh-CN"/>
        </w:rPr>
        <w:t>，</w:t>
      </w:r>
      <w:r>
        <w:rPr>
          <w:rFonts w:hint="eastAsia"/>
          <w:color w:val="auto"/>
          <w:spacing w:val="-3"/>
          <w:highlight w:val="none"/>
          <w:lang w:eastAsia="zh-CN"/>
        </w:rPr>
        <w:t>报</w:t>
      </w:r>
      <w:r>
        <w:rPr>
          <w:color w:val="auto"/>
          <w:spacing w:val="-3"/>
          <w:highlight w:val="none"/>
          <w:lang w:eastAsia="zh-CN"/>
        </w:rPr>
        <w:t>与甲方确定后执行。</w:t>
      </w:r>
    </w:p>
    <w:p>
      <w:pPr>
        <w:pStyle w:val="90"/>
        <w:numPr>
          <w:ilvl w:val="0"/>
          <w:numId w:val="0"/>
        </w:numPr>
        <w:tabs>
          <w:tab w:val="left" w:pos="1811"/>
        </w:tabs>
        <w:spacing w:line="364" w:lineRule="auto"/>
        <w:ind w:right="978" w:rightChars="0" w:firstLine="388" w:firstLineChars="200"/>
        <w:rPr>
          <w:color w:val="auto"/>
          <w:highlight w:val="none"/>
          <w:lang w:eastAsia="zh-CN"/>
        </w:rPr>
      </w:pPr>
      <w:r>
        <w:rPr>
          <w:rFonts w:hint="default" w:ascii="宋体" w:hAnsi="宋体" w:eastAsia="宋体" w:cs="宋体"/>
          <w:color w:val="auto"/>
          <w:spacing w:val="-3"/>
          <w:w w:val="100"/>
          <w:kern w:val="2"/>
          <w:sz w:val="20"/>
          <w:szCs w:val="20"/>
          <w:highlight w:val="none"/>
          <w:lang w:val="en-US" w:eastAsia="zh-CN" w:bidi="ar-SA"/>
        </w:rPr>
        <w:t>（</w:t>
      </w:r>
      <w:r>
        <w:rPr>
          <w:rFonts w:hint="eastAsia" w:ascii="Times New Roman" w:hAnsi="Times New Roman" w:cs="宋体"/>
          <w:color w:val="auto"/>
          <w:spacing w:val="-3"/>
          <w:w w:val="100"/>
          <w:kern w:val="2"/>
          <w:sz w:val="20"/>
          <w:szCs w:val="20"/>
          <w:highlight w:val="none"/>
          <w:lang w:val="en-US" w:eastAsia="zh-CN" w:bidi="ar-SA"/>
        </w:rPr>
        <w:t>3</w:t>
      </w:r>
      <w:r>
        <w:rPr>
          <w:rFonts w:hint="default" w:ascii="宋体" w:hAnsi="宋体" w:eastAsia="宋体" w:cs="宋体"/>
          <w:color w:val="auto"/>
          <w:spacing w:val="-3"/>
          <w:w w:val="100"/>
          <w:kern w:val="2"/>
          <w:sz w:val="20"/>
          <w:szCs w:val="20"/>
          <w:highlight w:val="none"/>
          <w:lang w:val="en-US" w:eastAsia="zh-CN" w:bidi="ar-SA"/>
        </w:rPr>
        <w:t>）</w:t>
      </w:r>
      <w:r>
        <w:rPr>
          <w:rFonts w:hint="eastAsia"/>
          <w:color w:val="auto"/>
          <w:spacing w:val="-3"/>
          <w:highlight w:val="none"/>
          <w:lang w:eastAsia="zh-CN"/>
        </w:rPr>
        <w:t>根据需要，在招投标程序规范的前提下，乙方为项目公司免费提供集采资源</w:t>
      </w:r>
      <w:r>
        <w:rPr>
          <w:color w:val="auto"/>
          <w:spacing w:val="-3"/>
          <w:highlight w:val="none"/>
          <w:lang w:eastAsia="zh-CN"/>
        </w:rPr>
        <w:t>，通过乙方采购平台公司为本项目供应相关材料及设备，争取较好的采购价格、供货进度及付款条件等</w:t>
      </w:r>
      <w:r>
        <w:rPr>
          <w:rFonts w:hint="eastAsia"/>
          <w:color w:val="auto"/>
          <w:spacing w:val="-3"/>
          <w:highlight w:val="none"/>
          <w:lang w:eastAsia="zh-CN"/>
        </w:rPr>
        <w:t>,最大可能降低项目成本</w:t>
      </w:r>
      <w:r>
        <w:rPr>
          <w:color w:val="auto"/>
          <w:spacing w:val="-3"/>
          <w:highlight w:val="none"/>
          <w:lang w:eastAsia="zh-CN"/>
        </w:rPr>
        <w:t>。</w:t>
      </w:r>
    </w:p>
    <w:p>
      <w:pPr>
        <w:pStyle w:val="17"/>
        <w:spacing w:line="279" w:lineRule="exact"/>
        <w:ind w:firstLine="420" w:firstLineChars="200"/>
        <w:rPr>
          <w:color w:val="auto"/>
          <w:highlight w:val="none"/>
        </w:rPr>
      </w:pPr>
      <w:r>
        <w:rPr>
          <w:rFonts w:hint="eastAsia" w:ascii="Times New Roman" w:hAnsi="Times New Roman"/>
          <w:color w:val="auto"/>
          <w:highlight w:val="none"/>
          <w:lang w:eastAsia="zh-CN"/>
        </w:rPr>
        <w:t>6</w:t>
      </w:r>
      <w:r>
        <w:rPr>
          <w:color w:val="auto"/>
          <w:highlight w:val="none"/>
        </w:rPr>
        <w:t>、工程变更</w:t>
      </w:r>
    </w:p>
    <w:p>
      <w:pPr>
        <w:pStyle w:val="90"/>
        <w:numPr>
          <w:ilvl w:val="0"/>
          <w:numId w:val="0"/>
        </w:numPr>
        <w:tabs>
          <w:tab w:val="left" w:pos="1811"/>
        </w:tabs>
        <w:spacing w:before="146" w:line="364" w:lineRule="auto"/>
        <w:ind w:right="978" w:rightChars="0" w:firstLine="388" w:firstLineChars="200"/>
        <w:rPr>
          <w:color w:val="auto"/>
          <w:highlight w:val="none"/>
          <w:lang w:eastAsia="zh-CN"/>
        </w:rPr>
      </w:pPr>
      <w:r>
        <w:rPr>
          <w:rFonts w:hint="default" w:ascii="宋体" w:hAnsi="宋体" w:eastAsia="宋体" w:cs="宋体"/>
          <w:color w:val="auto"/>
          <w:spacing w:val="-3"/>
          <w:w w:val="100"/>
          <w:kern w:val="2"/>
          <w:sz w:val="20"/>
          <w:szCs w:val="20"/>
          <w:highlight w:val="none"/>
          <w:lang w:val="en-US" w:eastAsia="zh-CN" w:bidi="ar-SA"/>
        </w:rPr>
        <w:t>（</w:t>
      </w:r>
      <w:r>
        <w:rPr>
          <w:rFonts w:hint="eastAsia" w:ascii="Times New Roman" w:hAnsi="Times New Roman" w:cs="宋体"/>
          <w:color w:val="auto"/>
          <w:spacing w:val="-3"/>
          <w:w w:val="100"/>
          <w:kern w:val="2"/>
          <w:sz w:val="20"/>
          <w:szCs w:val="20"/>
          <w:highlight w:val="none"/>
          <w:lang w:val="en-US" w:eastAsia="zh-CN" w:bidi="ar-SA"/>
        </w:rPr>
        <w:t>1</w:t>
      </w:r>
      <w:r>
        <w:rPr>
          <w:rFonts w:hint="default" w:ascii="宋体" w:hAnsi="宋体" w:eastAsia="宋体" w:cs="宋体"/>
          <w:color w:val="auto"/>
          <w:spacing w:val="-3"/>
          <w:w w:val="100"/>
          <w:kern w:val="2"/>
          <w:sz w:val="20"/>
          <w:szCs w:val="20"/>
          <w:highlight w:val="none"/>
          <w:lang w:val="en-US" w:eastAsia="zh-CN" w:bidi="ar-SA"/>
        </w:rPr>
        <w:t>）</w:t>
      </w:r>
      <w:r>
        <w:rPr>
          <w:color w:val="auto"/>
          <w:spacing w:val="-3"/>
          <w:highlight w:val="none"/>
          <w:lang w:eastAsia="zh-CN"/>
        </w:rPr>
        <w:t>对于工程变更，</w:t>
      </w:r>
      <w:r>
        <w:rPr>
          <w:rFonts w:hint="eastAsia"/>
          <w:color w:val="auto"/>
          <w:spacing w:val="-3"/>
          <w:highlight w:val="none"/>
          <w:lang w:eastAsia="zh-CN"/>
        </w:rPr>
        <w:t>按照甲方工程变更制度及流程实施</w:t>
      </w:r>
      <w:r>
        <w:rPr>
          <w:color w:val="auto"/>
          <w:spacing w:val="-3"/>
          <w:highlight w:val="none"/>
          <w:lang w:eastAsia="zh-CN"/>
        </w:rPr>
        <w:t>；</w:t>
      </w:r>
    </w:p>
    <w:p>
      <w:pPr>
        <w:pStyle w:val="17"/>
        <w:spacing w:before="148" w:line="365" w:lineRule="auto"/>
        <w:ind w:right="868" w:firstLine="408" w:firstLineChars="200"/>
        <w:rPr>
          <w:color w:val="auto"/>
          <w:spacing w:val="-3"/>
          <w:highlight w:val="none"/>
          <w:lang w:eastAsia="zh-CN"/>
        </w:rPr>
      </w:pPr>
      <w:r>
        <w:rPr>
          <w:rFonts w:hint="default"/>
          <w:color w:val="auto"/>
          <w:spacing w:val="-3"/>
          <w:highlight w:val="none"/>
          <w:lang w:val="en-US" w:eastAsia="zh-CN"/>
        </w:rPr>
        <w:t>（</w:t>
      </w:r>
      <w:r>
        <w:rPr>
          <w:rFonts w:hint="eastAsia" w:ascii="Times New Roman" w:hAnsi="Times New Roman"/>
          <w:color w:val="auto"/>
          <w:spacing w:val="-3"/>
          <w:highlight w:val="none"/>
          <w:lang w:val="en-US" w:eastAsia="zh-CN"/>
        </w:rPr>
        <w:t>2</w:t>
      </w:r>
      <w:r>
        <w:rPr>
          <w:rFonts w:hint="default"/>
          <w:color w:val="auto"/>
          <w:spacing w:val="-3"/>
          <w:highlight w:val="none"/>
          <w:lang w:val="en-US" w:eastAsia="zh-CN"/>
        </w:rPr>
        <w:t>）</w:t>
      </w:r>
      <w:r>
        <w:rPr>
          <w:color w:val="auto"/>
          <w:spacing w:val="-3"/>
          <w:highlight w:val="none"/>
          <w:lang w:eastAsia="zh-CN"/>
        </w:rPr>
        <w:t>如重大工程变更涉及前期政府审批手续变更的，乙方负责按规定程序报有关政府职能部门审批，甲方予以协调；</w:t>
      </w:r>
    </w:p>
    <w:p>
      <w:pPr>
        <w:pStyle w:val="17"/>
        <w:spacing w:before="148" w:line="365" w:lineRule="auto"/>
        <w:ind w:right="868" w:firstLine="408" w:firstLineChars="200"/>
        <w:rPr>
          <w:color w:val="auto"/>
          <w:spacing w:val="-3"/>
          <w:highlight w:val="none"/>
          <w:lang w:eastAsia="zh-CN"/>
        </w:rPr>
      </w:pPr>
      <w:r>
        <w:rPr>
          <w:rFonts w:hint="default"/>
          <w:color w:val="auto"/>
          <w:spacing w:val="-3"/>
          <w:highlight w:val="none"/>
          <w:lang w:val="en-US" w:eastAsia="zh-CN"/>
        </w:rPr>
        <w:t>（</w:t>
      </w:r>
      <w:r>
        <w:rPr>
          <w:rFonts w:hint="eastAsia" w:ascii="Times New Roman" w:hAnsi="Times New Roman"/>
          <w:color w:val="auto"/>
          <w:spacing w:val="-3"/>
          <w:highlight w:val="none"/>
          <w:lang w:val="en-US" w:eastAsia="zh-CN"/>
        </w:rPr>
        <w:t>3</w:t>
      </w:r>
      <w:r>
        <w:rPr>
          <w:rFonts w:hint="default"/>
          <w:color w:val="auto"/>
          <w:spacing w:val="-3"/>
          <w:highlight w:val="none"/>
          <w:lang w:val="en-US" w:eastAsia="zh-CN"/>
        </w:rPr>
        <w:t>）</w:t>
      </w:r>
      <w:r>
        <w:rPr>
          <w:color w:val="auto"/>
          <w:spacing w:val="-3"/>
          <w:highlight w:val="none"/>
          <w:lang w:eastAsia="zh-CN"/>
        </w:rPr>
        <w:t>如重大工程变更涉及到调整项目工程成本考核目标，在甲方对重大工程变更确认后，工程成本考核目标相应调整。</w:t>
      </w:r>
    </w:p>
    <w:p>
      <w:pPr>
        <w:pStyle w:val="17"/>
        <w:spacing w:line="364" w:lineRule="auto"/>
        <w:ind w:right="975" w:firstLine="439"/>
        <w:rPr>
          <w:color w:val="auto"/>
          <w:highlight w:val="none"/>
          <w:lang w:eastAsia="zh-CN"/>
        </w:rPr>
      </w:pPr>
      <w:r>
        <w:rPr>
          <w:rFonts w:hint="eastAsia" w:ascii="Times New Roman" w:hAnsi="Times New Roman"/>
          <w:color w:val="auto"/>
          <w:highlight w:val="none"/>
          <w:lang w:eastAsia="zh-CN"/>
        </w:rPr>
        <w:t>7</w:t>
      </w:r>
      <w:r>
        <w:rPr>
          <w:color w:val="auto"/>
          <w:highlight w:val="none"/>
          <w:lang w:eastAsia="zh-CN"/>
        </w:rPr>
        <w:t>、</w:t>
      </w:r>
      <w:r>
        <w:rPr>
          <w:rFonts w:hint="eastAsia"/>
          <w:color w:val="auto"/>
          <w:highlight w:val="none"/>
          <w:lang w:eastAsia="zh-CN"/>
        </w:rPr>
        <w:t>甲</w:t>
      </w:r>
      <w:r>
        <w:rPr>
          <w:color w:val="auto"/>
          <w:highlight w:val="none"/>
          <w:lang w:eastAsia="zh-CN"/>
        </w:rPr>
        <w:t>乙</w:t>
      </w:r>
      <w:r>
        <w:rPr>
          <w:rFonts w:hint="eastAsia"/>
          <w:color w:val="auto"/>
          <w:highlight w:val="none"/>
          <w:lang w:eastAsia="zh-CN"/>
        </w:rPr>
        <w:t>双</w:t>
      </w:r>
      <w:r>
        <w:rPr>
          <w:color w:val="auto"/>
          <w:highlight w:val="none"/>
          <w:lang w:eastAsia="zh-CN"/>
        </w:rPr>
        <w:t>方应</w:t>
      </w:r>
      <w:r>
        <w:rPr>
          <w:rFonts w:hint="eastAsia"/>
          <w:color w:val="auto"/>
          <w:highlight w:val="none"/>
          <w:lang w:eastAsia="zh-CN"/>
        </w:rPr>
        <w:t>协同建立项目公司工程变更制度及现场签证管理流程。</w:t>
      </w:r>
      <w:r>
        <w:rPr>
          <w:color w:val="auto"/>
          <w:highlight w:val="none"/>
          <w:lang w:eastAsia="zh-CN"/>
        </w:rPr>
        <w:t>在施工过程中，由乙方严格按照流程做好施工现场的工程变更及签证管理工作。</w:t>
      </w:r>
    </w:p>
    <w:p>
      <w:pPr>
        <w:pStyle w:val="17"/>
        <w:spacing w:line="364" w:lineRule="auto"/>
        <w:ind w:right="865" w:firstLine="439"/>
        <w:rPr>
          <w:color w:val="auto"/>
          <w:highlight w:val="none"/>
          <w:lang w:eastAsia="zh-CN"/>
        </w:rPr>
      </w:pPr>
      <w:r>
        <w:rPr>
          <w:rFonts w:hint="eastAsia" w:ascii="Times New Roman" w:hAnsi="Times New Roman"/>
          <w:color w:val="auto"/>
          <w:highlight w:val="none"/>
          <w:lang w:eastAsia="zh-CN"/>
        </w:rPr>
        <w:t>8</w:t>
      </w:r>
      <w:r>
        <w:rPr>
          <w:color w:val="auto"/>
          <w:spacing w:val="-3"/>
          <w:highlight w:val="none"/>
          <w:lang w:eastAsia="zh-CN"/>
        </w:rPr>
        <w:t>、项目竣工验收通过后，乙方应要求施工单位及时提交竣工结算报告，</w:t>
      </w:r>
      <w:r>
        <w:rPr>
          <w:rFonts w:hint="eastAsia"/>
          <w:color w:val="auto"/>
          <w:spacing w:val="-3"/>
          <w:highlight w:val="none"/>
          <w:lang w:eastAsia="zh-CN"/>
        </w:rPr>
        <w:t>甲乙双方</w:t>
      </w:r>
      <w:r>
        <w:rPr>
          <w:color w:val="auto"/>
          <w:spacing w:val="-3"/>
          <w:highlight w:val="none"/>
          <w:lang w:eastAsia="zh-CN"/>
        </w:rPr>
        <w:t>组织第三方造价咨询机构出具审核意见，并组织协调完成结算对账相关工作，将结算报告一并报甲方审定。</w:t>
      </w:r>
    </w:p>
    <w:p>
      <w:pPr>
        <w:pStyle w:val="13"/>
        <w:spacing w:line="281" w:lineRule="exact"/>
        <w:rPr>
          <w:color w:val="auto"/>
          <w:highlight w:val="none"/>
          <w:lang w:eastAsia="zh-CN"/>
        </w:rPr>
      </w:pPr>
      <w:r>
        <w:rPr>
          <w:color w:val="auto"/>
          <w:highlight w:val="none"/>
          <w:lang w:eastAsia="zh-CN"/>
        </w:rPr>
        <w:t>第九条 工程管理</w:t>
      </w:r>
    </w:p>
    <w:p>
      <w:pPr>
        <w:pStyle w:val="17"/>
        <w:spacing w:line="365" w:lineRule="auto"/>
        <w:ind w:right="865" w:firstLine="439"/>
        <w:rPr>
          <w:color w:val="auto"/>
          <w:highlight w:val="none"/>
          <w:lang w:eastAsia="zh-CN"/>
        </w:rPr>
      </w:pPr>
      <w:r>
        <w:rPr>
          <w:rFonts w:hint="eastAsia" w:ascii="Times New Roman" w:hAnsi="Times New Roman"/>
          <w:color w:val="auto"/>
          <w:highlight w:val="none"/>
          <w:lang w:eastAsia="zh-CN"/>
        </w:rPr>
        <w:t>1</w:t>
      </w:r>
      <w:r>
        <w:rPr>
          <w:color w:val="auto"/>
          <w:spacing w:val="-3"/>
          <w:highlight w:val="none"/>
          <w:lang w:eastAsia="zh-CN"/>
        </w:rPr>
        <w:t>、在项目整体或分期施工总承包合同签订后，乙方应要求施工单位及时编制工程总体施工计划及施工组织方案，并根据招投标情况及甲乙双方确认的时间目标，提出专业的审核意见，经各方确认后，乙方应责成施工单位按月、季、年编制阶段进度计划， 认真按照标准、规范和设计图纸的要求督促施工单位按计划进行施工，并随时接受甲</w:t>
      </w:r>
      <w:r>
        <w:rPr>
          <w:rFonts w:hint="eastAsia"/>
          <w:color w:val="auto"/>
          <w:spacing w:val="-3"/>
          <w:highlight w:val="none"/>
          <w:lang w:eastAsia="zh-CN"/>
        </w:rPr>
        <w:t>乙双</w:t>
      </w:r>
      <w:r>
        <w:rPr>
          <w:color w:val="auto"/>
          <w:spacing w:val="-3"/>
          <w:highlight w:val="none"/>
          <w:lang w:eastAsia="zh-CN"/>
        </w:rPr>
        <w:t>方的检查检验，并为检查检验提供便利条件。</w:t>
      </w:r>
    </w:p>
    <w:p>
      <w:pPr>
        <w:tabs>
          <w:tab w:val="left" w:pos="1350"/>
        </w:tabs>
        <w:spacing w:line="365" w:lineRule="auto"/>
        <w:ind w:firstLine="630" w:firstLineChars="300"/>
        <w:rPr>
          <w:color w:val="auto"/>
          <w:highlight w:val="none"/>
          <w:lang w:eastAsia="zh-CN"/>
        </w:rPr>
      </w:pPr>
      <w:r>
        <w:rPr>
          <w:rFonts w:hint="eastAsia" w:ascii="Times New Roman" w:hAnsi="Times New Roman"/>
          <w:color w:val="auto"/>
          <w:highlight w:val="none"/>
          <w:lang w:eastAsia="zh-CN"/>
        </w:rPr>
        <w:t>2</w:t>
      </w:r>
      <w:r>
        <w:rPr>
          <w:color w:val="auto"/>
          <w:highlight w:val="none"/>
          <w:lang w:eastAsia="zh-CN"/>
        </w:rPr>
        <w:t>、如遇下列情况，工程工期应相应顺延，且甲乙双方确认的项目开发建设周期目标可作相应调整：</w:t>
      </w:r>
    </w:p>
    <w:p>
      <w:pPr>
        <w:pStyle w:val="17"/>
        <w:spacing w:before="148" w:line="364" w:lineRule="auto"/>
        <w:ind w:right="1086" w:firstLine="439"/>
        <w:rPr>
          <w:color w:val="auto"/>
          <w:highlight w:val="none"/>
          <w:lang w:eastAsia="zh-CN"/>
        </w:rPr>
      </w:pPr>
      <w:r>
        <w:rPr>
          <w:rFonts w:hint="default"/>
          <w:color w:val="auto"/>
          <w:highlight w:val="none"/>
          <w:lang w:val="en-US" w:eastAsia="zh-CN"/>
        </w:rPr>
        <w:t>（</w:t>
      </w:r>
      <w:r>
        <w:rPr>
          <w:rFonts w:hint="eastAsia" w:ascii="Times New Roman" w:hAnsi="Times New Roman"/>
          <w:color w:val="auto"/>
          <w:highlight w:val="none"/>
          <w:lang w:val="en-US" w:eastAsia="zh-CN"/>
        </w:rPr>
        <w:t>1</w:t>
      </w:r>
      <w:r>
        <w:rPr>
          <w:rFonts w:hint="default"/>
          <w:color w:val="auto"/>
          <w:highlight w:val="none"/>
          <w:lang w:val="en-US" w:eastAsia="zh-CN"/>
        </w:rPr>
        <w:t>）</w:t>
      </w:r>
      <w:r>
        <w:rPr>
          <w:color w:val="auto"/>
          <w:highlight w:val="none"/>
          <w:lang w:eastAsia="zh-CN"/>
        </w:rPr>
        <w:t>重大工程变更，项目建设内容和建设标准发生变化；</w:t>
      </w:r>
    </w:p>
    <w:p>
      <w:pPr>
        <w:pStyle w:val="17"/>
        <w:spacing w:before="148" w:line="364" w:lineRule="auto"/>
        <w:ind w:right="1086" w:firstLine="439"/>
        <w:rPr>
          <w:rFonts w:hint="default"/>
          <w:color w:val="auto"/>
          <w:highlight w:val="none"/>
          <w:lang w:val="en-US" w:eastAsia="zh-CN"/>
        </w:rPr>
      </w:pPr>
      <w:r>
        <w:rPr>
          <w:rFonts w:hint="default"/>
          <w:color w:val="auto"/>
          <w:highlight w:val="none"/>
          <w:lang w:val="en-US" w:eastAsia="zh-CN"/>
        </w:rPr>
        <w:t>（</w:t>
      </w:r>
      <w:r>
        <w:rPr>
          <w:rFonts w:hint="eastAsia" w:ascii="Times New Roman" w:hAnsi="Times New Roman"/>
          <w:color w:val="auto"/>
          <w:highlight w:val="none"/>
          <w:lang w:val="en-US" w:eastAsia="zh-CN"/>
        </w:rPr>
        <w:t>2</w:t>
      </w:r>
      <w:r>
        <w:rPr>
          <w:rFonts w:hint="default"/>
          <w:color w:val="auto"/>
          <w:highlight w:val="none"/>
          <w:lang w:val="en-US" w:eastAsia="zh-CN"/>
        </w:rPr>
        <w:t>）因施工过程中发现地质情况与详勘资料有较大出入而导致重大技术方案调整；</w:t>
      </w:r>
    </w:p>
    <w:p>
      <w:pPr>
        <w:pStyle w:val="17"/>
        <w:spacing w:before="148" w:line="364" w:lineRule="auto"/>
        <w:ind w:right="1086" w:firstLine="439"/>
        <w:rPr>
          <w:rFonts w:hint="default"/>
          <w:color w:val="auto"/>
          <w:highlight w:val="none"/>
          <w:lang w:val="en-US" w:eastAsia="zh-CN"/>
        </w:rPr>
      </w:pPr>
      <w:r>
        <w:rPr>
          <w:rFonts w:hint="default"/>
          <w:color w:val="auto"/>
          <w:highlight w:val="none"/>
          <w:lang w:val="en-US" w:eastAsia="zh-CN"/>
        </w:rPr>
        <w:t>（</w:t>
      </w:r>
      <w:r>
        <w:rPr>
          <w:rFonts w:hint="eastAsia" w:ascii="Times New Roman" w:hAnsi="Times New Roman"/>
          <w:color w:val="auto"/>
          <w:highlight w:val="none"/>
          <w:lang w:val="en-US" w:eastAsia="zh-CN"/>
        </w:rPr>
        <w:t>3</w:t>
      </w:r>
      <w:r>
        <w:rPr>
          <w:rFonts w:hint="default"/>
          <w:color w:val="auto"/>
          <w:highlight w:val="none"/>
          <w:lang w:val="en-US" w:eastAsia="zh-CN"/>
        </w:rPr>
        <w:t>）项目所在区域市政、电力等政府配套工程不具备条件或拆迁等前期工作不能及时完成而导致延期；</w:t>
      </w:r>
    </w:p>
    <w:p>
      <w:pPr>
        <w:pStyle w:val="17"/>
        <w:spacing w:before="148" w:line="364" w:lineRule="auto"/>
        <w:ind w:right="1086" w:firstLine="439"/>
        <w:rPr>
          <w:rFonts w:hint="default"/>
          <w:color w:val="auto"/>
          <w:highlight w:val="none"/>
          <w:lang w:val="en-US" w:eastAsia="zh-CN"/>
        </w:rPr>
      </w:pPr>
      <w:r>
        <w:rPr>
          <w:rFonts w:hint="default"/>
          <w:color w:val="auto"/>
          <w:highlight w:val="none"/>
          <w:lang w:val="en-US" w:eastAsia="zh-CN"/>
        </w:rPr>
        <w:t>（</w:t>
      </w:r>
      <w:r>
        <w:rPr>
          <w:rFonts w:hint="eastAsia" w:ascii="Times New Roman" w:hAnsi="Times New Roman"/>
          <w:color w:val="auto"/>
          <w:highlight w:val="none"/>
          <w:lang w:val="en-US" w:eastAsia="zh-CN"/>
        </w:rPr>
        <w:t>4</w:t>
      </w:r>
      <w:r>
        <w:rPr>
          <w:rFonts w:hint="default"/>
          <w:color w:val="auto"/>
          <w:highlight w:val="none"/>
          <w:lang w:val="en-US" w:eastAsia="zh-CN"/>
        </w:rPr>
        <w:t>）甲方未及时拨付建设资金造成工程延误；</w:t>
      </w:r>
    </w:p>
    <w:p>
      <w:pPr>
        <w:pStyle w:val="17"/>
        <w:spacing w:before="148" w:line="364" w:lineRule="auto"/>
        <w:ind w:right="1086" w:firstLine="439"/>
        <w:rPr>
          <w:rFonts w:hint="default"/>
          <w:color w:val="auto"/>
          <w:highlight w:val="none"/>
          <w:lang w:val="en-US" w:eastAsia="zh-CN"/>
        </w:rPr>
      </w:pPr>
      <w:r>
        <w:rPr>
          <w:rFonts w:hint="default"/>
          <w:color w:val="auto"/>
          <w:highlight w:val="none"/>
          <w:lang w:val="en-US" w:eastAsia="zh-CN"/>
        </w:rPr>
        <w:t>（</w:t>
      </w:r>
      <w:r>
        <w:rPr>
          <w:rFonts w:hint="eastAsia" w:ascii="Times New Roman" w:hAnsi="Times New Roman"/>
          <w:color w:val="auto"/>
          <w:highlight w:val="none"/>
          <w:lang w:val="en-US" w:eastAsia="zh-CN"/>
        </w:rPr>
        <w:t>5</w:t>
      </w:r>
      <w:r>
        <w:rPr>
          <w:rFonts w:hint="default"/>
          <w:color w:val="auto"/>
          <w:highlight w:val="none"/>
          <w:lang w:val="en-US" w:eastAsia="zh-CN"/>
        </w:rPr>
        <w:t>）施工合同中规定的施工单位可以顺延工期的其他情形；</w:t>
      </w:r>
    </w:p>
    <w:p>
      <w:pPr>
        <w:pStyle w:val="17"/>
        <w:spacing w:before="148" w:line="364" w:lineRule="auto"/>
        <w:ind w:right="1086" w:firstLine="439"/>
        <w:rPr>
          <w:rFonts w:hint="default"/>
          <w:color w:val="auto"/>
          <w:highlight w:val="none"/>
          <w:lang w:val="en-US" w:eastAsia="zh-CN"/>
        </w:rPr>
      </w:pPr>
      <w:r>
        <w:rPr>
          <w:rFonts w:hint="default"/>
          <w:color w:val="auto"/>
          <w:highlight w:val="none"/>
          <w:lang w:val="en-US" w:eastAsia="zh-CN"/>
        </w:rPr>
        <w:t>（</w:t>
      </w:r>
      <w:r>
        <w:rPr>
          <w:rFonts w:hint="eastAsia" w:ascii="Times New Roman" w:hAnsi="Times New Roman"/>
          <w:color w:val="auto"/>
          <w:highlight w:val="none"/>
          <w:lang w:val="en-US" w:eastAsia="zh-CN"/>
        </w:rPr>
        <w:t>6</w:t>
      </w:r>
      <w:r>
        <w:rPr>
          <w:rFonts w:hint="default"/>
          <w:color w:val="auto"/>
          <w:highlight w:val="none"/>
          <w:lang w:val="en-US" w:eastAsia="zh-CN"/>
        </w:rPr>
        <w:t>）不可抗力因素及政府行为、国家重大政策调整；</w:t>
      </w:r>
    </w:p>
    <w:p>
      <w:pPr>
        <w:pStyle w:val="17"/>
        <w:spacing w:before="148" w:line="364" w:lineRule="auto"/>
        <w:ind w:right="1086" w:firstLine="439"/>
        <w:rPr>
          <w:rFonts w:hint="default"/>
          <w:color w:val="auto"/>
          <w:highlight w:val="none"/>
          <w:lang w:val="en-US" w:eastAsia="zh-CN"/>
        </w:rPr>
      </w:pPr>
      <w:r>
        <w:rPr>
          <w:rFonts w:hint="default"/>
          <w:color w:val="auto"/>
          <w:highlight w:val="none"/>
          <w:lang w:val="en-US" w:eastAsia="zh-CN"/>
        </w:rPr>
        <w:t>（</w:t>
      </w:r>
      <w:r>
        <w:rPr>
          <w:rFonts w:hint="eastAsia" w:ascii="Times New Roman" w:hAnsi="Times New Roman"/>
          <w:color w:val="auto"/>
          <w:highlight w:val="none"/>
          <w:lang w:val="en-US" w:eastAsia="zh-CN"/>
        </w:rPr>
        <w:t>7</w:t>
      </w:r>
      <w:r>
        <w:rPr>
          <w:rFonts w:hint="default"/>
          <w:color w:val="auto"/>
          <w:highlight w:val="none"/>
          <w:lang w:val="en-US" w:eastAsia="zh-CN"/>
        </w:rPr>
        <w:t>）如遇冬歇期或政府安排的停工期；</w:t>
      </w:r>
    </w:p>
    <w:p>
      <w:pPr>
        <w:pStyle w:val="17"/>
        <w:spacing w:before="148" w:line="364" w:lineRule="auto"/>
        <w:ind w:right="1086" w:firstLine="439"/>
        <w:rPr>
          <w:rFonts w:hint="default"/>
          <w:color w:val="auto"/>
          <w:highlight w:val="none"/>
          <w:lang w:val="en-US" w:eastAsia="zh-CN"/>
        </w:rPr>
      </w:pPr>
      <w:r>
        <w:rPr>
          <w:rFonts w:hint="default"/>
          <w:color w:val="auto"/>
          <w:highlight w:val="none"/>
          <w:lang w:val="en-US" w:eastAsia="zh-CN"/>
        </w:rPr>
        <w:t>（</w:t>
      </w:r>
      <w:r>
        <w:rPr>
          <w:rFonts w:hint="eastAsia" w:ascii="Times New Roman" w:hAnsi="Times New Roman"/>
          <w:color w:val="auto"/>
          <w:highlight w:val="none"/>
          <w:lang w:val="en-US" w:eastAsia="zh-CN"/>
        </w:rPr>
        <w:t>8</w:t>
      </w:r>
      <w:r>
        <w:rPr>
          <w:rFonts w:hint="default"/>
          <w:color w:val="auto"/>
          <w:highlight w:val="none"/>
          <w:lang w:val="en-US" w:eastAsia="zh-CN"/>
        </w:rPr>
        <w:t>）其他因甲方原因导致工期顺延。</w:t>
      </w:r>
    </w:p>
    <w:p>
      <w:pPr>
        <w:pStyle w:val="17"/>
        <w:spacing w:before="148" w:line="364" w:lineRule="auto"/>
        <w:ind w:right="1086" w:firstLine="439"/>
        <w:rPr>
          <w:color w:val="auto"/>
          <w:highlight w:val="none"/>
          <w:lang w:eastAsia="zh-CN"/>
        </w:rPr>
      </w:pPr>
      <w:r>
        <w:rPr>
          <w:rFonts w:hint="eastAsia" w:ascii="Times New Roman" w:hAnsi="Times New Roman"/>
          <w:color w:val="auto"/>
          <w:highlight w:val="none"/>
          <w:lang w:eastAsia="zh-CN"/>
        </w:rPr>
        <w:t>3</w:t>
      </w:r>
      <w:r>
        <w:rPr>
          <w:color w:val="auto"/>
          <w:highlight w:val="none"/>
          <w:lang w:eastAsia="zh-CN"/>
        </w:rPr>
        <w:t>、乙方应对承包商完成进度计划的情况进行监督和检查，掌握项目实际进度状况。当某一进度计划将无法按时完成并预计将影响到总体竣工期限时，应及时告知甲方，并提出相应的整改措施，确保按期完工。</w:t>
      </w:r>
    </w:p>
    <w:p>
      <w:pPr>
        <w:pStyle w:val="17"/>
        <w:spacing w:line="364" w:lineRule="auto"/>
        <w:ind w:right="975" w:firstLine="439"/>
        <w:rPr>
          <w:color w:val="auto"/>
          <w:highlight w:val="none"/>
          <w:lang w:eastAsia="zh-CN"/>
        </w:rPr>
      </w:pPr>
      <w:r>
        <w:rPr>
          <w:rFonts w:hint="eastAsia" w:ascii="Times New Roman" w:hAnsi="Times New Roman"/>
          <w:color w:val="auto"/>
          <w:highlight w:val="none"/>
          <w:lang w:eastAsia="zh-CN"/>
        </w:rPr>
        <w:t>4</w:t>
      </w:r>
      <w:r>
        <w:rPr>
          <w:color w:val="auto"/>
          <w:highlight w:val="none"/>
          <w:lang w:eastAsia="zh-CN"/>
        </w:rPr>
        <w:t>、乙方应督促施工单位建立各项工程管理制度，完善安全、质量、成本、进度等控制措施。</w:t>
      </w:r>
    </w:p>
    <w:p>
      <w:pPr>
        <w:pStyle w:val="17"/>
        <w:spacing w:line="364" w:lineRule="auto"/>
        <w:ind w:right="975" w:firstLine="439"/>
        <w:rPr>
          <w:color w:val="auto"/>
          <w:highlight w:val="none"/>
          <w:lang w:eastAsia="zh-CN"/>
        </w:rPr>
      </w:pPr>
      <w:r>
        <w:rPr>
          <w:rFonts w:hint="eastAsia" w:ascii="Times New Roman" w:hAnsi="Times New Roman"/>
          <w:color w:val="auto"/>
          <w:highlight w:val="none"/>
          <w:lang w:eastAsia="zh-CN"/>
        </w:rPr>
        <w:t>5</w:t>
      </w:r>
      <w:r>
        <w:rPr>
          <w:color w:val="auto"/>
          <w:highlight w:val="none"/>
          <w:lang w:eastAsia="zh-CN"/>
        </w:rPr>
        <w:t>、乙方应充分加强对监理单位的协调和管理，充分发挥监理单位在施工监理中的作用。</w:t>
      </w:r>
    </w:p>
    <w:p>
      <w:pPr>
        <w:pStyle w:val="17"/>
        <w:spacing w:line="364" w:lineRule="auto"/>
        <w:ind w:right="865" w:firstLine="439"/>
        <w:rPr>
          <w:color w:val="auto"/>
          <w:highlight w:val="none"/>
          <w:lang w:eastAsia="zh-CN"/>
        </w:rPr>
      </w:pPr>
      <w:r>
        <w:rPr>
          <w:rFonts w:hint="eastAsia" w:ascii="Times New Roman" w:hAnsi="Times New Roman"/>
          <w:color w:val="auto"/>
          <w:highlight w:val="none"/>
          <w:lang w:eastAsia="zh-CN"/>
        </w:rPr>
        <w:t>6</w:t>
      </w:r>
      <w:r>
        <w:rPr>
          <w:color w:val="auto"/>
          <w:spacing w:val="-3"/>
          <w:highlight w:val="none"/>
          <w:lang w:eastAsia="zh-CN"/>
        </w:rPr>
        <w:t>、项目工程质量标准应达到国家或行业现行的施工质量验收规范的合格标准，乙方应根据质量管理的实际需要，组织工程各关键节点的隐蔽工程验收、中间验收等，一旦发现工程质量达不到约定标准的，乙方应立即责成施工单位负责修复、整改，或者返工，直至符合质量要求，否则乙方需承担管理责任。</w:t>
      </w:r>
      <w:r>
        <w:rPr>
          <w:rFonts w:hint="eastAsia"/>
          <w:color w:val="auto"/>
          <w:spacing w:val="-3"/>
          <w:highlight w:val="none"/>
          <w:lang w:eastAsia="zh-CN"/>
        </w:rPr>
        <w:t>并承担损害赔偿责任。</w:t>
      </w:r>
    </w:p>
    <w:p>
      <w:pPr>
        <w:pStyle w:val="17"/>
        <w:spacing w:line="364" w:lineRule="auto"/>
        <w:ind w:right="865" w:firstLine="439"/>
        <w:rPr>
          <w:color w:val="auto"/>
          <w:highlight w:val="none"/>
          <w:lang w:eastAsia="zh-CN"/>
        </w:rPr>
      </w:pPr>
      <w:r>
        <w:rPr>
          <w:rFonts w:hint="eastAsia" w:ascii="Times New Roman" w:hAnsi="Times New Roman"/>
          <w:color w:val="auto"/>
          <w:highlight w:val="none"/>
          <w:lang w:eastAsia="zh-CN"/>
        </w:rPr>
        <w:t>7</w:t>
      </w:r>
      <w:r>
        <w:rPr>
          <w:color w:val="auto"/>
          <w:spacing w:val="-3"/>
          <w:highlight w:val="none"/>
          <w:lang w:eastAsia="zh-CN"/>
        </w:rPr>
        <w:t>、乙方应做好本项目安全文明施工的相关管理工作，督促、教育相关施工单位严格按照安全标准组织施工，采取相应安全防护措施，并检查落实到位。乙方应对施工现场进行至少每月</w:t>
      </w:r>
      <w:r>
        <w:rPr>
          <w:rFonts w:hint="eastAsia"/>
          <w:color w:val="auto"/>
          <w:spacing w:val="-3"/>
          <w:highlight w:val="none"/>
          <w:lang w:eastAsia="zh-CN"/>
        </w:rPr>
        <w:t>二</w:t>
      </w:r>
      <w:r>
        <w:rPr>
          <w:color w:val="auto"/>
          <w:spacing w:val="-3"/>
          <w:highlight w:val="none"/>
          <w:lang w:eastAsia="zh-CN"/>
        </w:rPr>
        <w:t>次安全检查。如发生伤亡及其他安全事故，乙方应立即通知甲方，并按有关规定上报有关部门，同时按政府有关部门要求处理，乙方需承担管理责任</w:t>
      </w:r>
      <w:r>
        <w:rPr>
          <w:rFonts w:hint="eastAsia"/>
          <w:color w:val="auto"/>
          <w:spacing w:val="-3"/>
          <w:highlight w:val="none"/>
          <w:lang w:eastAsia="zh-CN"/>
        </w:rPr>
        <w:t>，并承担损害赔偿责任。</w:t>
      </w:r>
    </w:p>
    <w:p>
      <w:pPr>
        <w:pStyle w:val="17"/>
        <w:spacing w:line="364" w:lineRule="auto"/>
        <w:ind w:right="975" w:firstLine="439"/>
        <w:rPr>
          <w:color w:val="auto"/>
          <w:highlight w:val="none"/>
          <w:lang w:eastAsia="zh-CN"/>
        </w:rPr>
      </w:pPr>
      <w:r>
        <w:rPr>
          <w:rFonts w:hint="eastAsia" w:ascii="Times New Roman" w:hAnsi="Times New Roman"/>
          <w:color w:val="auto"/>
          <w:highlight w:val="none"/>
          <w:lang w:eastAsia="zh-CN"/>
        </w:rPr>
        <w:t>8</w:t>
      </w:r>
      <w:r>
        <w:rPr>
          <w:color w:val="auto"/>
          <w:highlight w:val="none"/>
          <w:lang w:eastAsia="zh-CN"/>
        </w:rPr>
        <w:t>、甲乙双方在项目管理团队中指定适当的人选作为业主单位派驻现场的工程师， 严格按照相关制度的授权进行现场签证及其他现场管理工作。</w:t>
      </w:r>
    </w:p>
    <w:p>
      <w:pPr>
        <w:pStyle w:val="17"/>
        <w:spacing w:line="364" w:lineRule="auto"/>
        <w:ind w:right="1196" w:firstLine="439"/>
        <w:rPr>
          <w:color w:val="auto"/>
          <w:highlight w:val="none"/>
          <w:lang w:eastAsia="zh-CN"/>
        </w:rPr>
      </w:pPr>
      <w:r>
        <w:rPr>
          <w:rFonts w:hint="eastAsia" w:ascii="Times New Roman" w:hAnsi="Times New Roman"/>
          <w:color w:val="auto"/>
          <w:highlight w:val="none"/>
          <w:lang w:eastAsia="zh-CN"/>
        </w:rPr>
        <w:t>9</w:t>
      </w:r>
      <w:r>
        <w:rPr>
          <w:color w:val="auto"/>
          <w:highlight w:val="none"/>
          <w:lang w:eastAsia="zh-CN"/>
        </w:rPr>
        <w:t>、乙方负责对各施工单位提交的已完工程量报表及工程款支付申请进行认真审核，并签署意见，再报甲方审批支付。</w:t>
      </w:r>
    </w:p>
    <w:p>
      <w:pPr>
        <w:pStyle w:val="17"/>
        <w:spacing w:line="364" w:lineRule="auto"/>
        <w:ind w:right="865" w:firstLine="439"/>
        <w:rPr>
          <w:color w:val="auto"/>
          <w:highlight w:val="none"/>
          <w:lang w:eastAsia="zh-CN"/>
        </w:rPr>
      </w:pPr>
      <w:r>
        <w:rPr>
          <w:rFonts w:hint="eastAsia" w:ascii="Times New Roman" w:hAnsi="Times New Roman"/>
          <w:color w:val="auto"/>
          <w:highlight w:val="none"/>
          <w:lang w:eastAsia="zh-CN"/>
        </w:rPr>
        <w:t>10</w:t>
      </w:r>
      <w:r>
        <w:rPr>
          <w:color w:val="auto"/>
          <w:highlight w:val="none"/>
          <w:lang w:eastAsia="zh-CN"/>
        </w:rPr>
        <w:t>、项目建设过程中，如甲方超出标准、规范和政府行政主管部门已审批的设计图纸范围，违规增加建筑物、构筑物的，由此引起的责任完全由甲方承担。如甲方要求乙</w:t>
      </w:r>
    </w:p>
    <w:p>
      <w:pPr>
        <w:pStyle w:val="17"/>
        <w:spacing w:line="364" w:lineRule="auto"/>
        <w:ind w:right="865"/>
        <w:rPr>
          <w:color w:val="auto"/>
          <w:highlight w:val="none"/>
          <w:lang w:eastAsia="zh-CN"/>
        </w:rPr>
      </w:pPr>
      <w:r>
        <w:rPr>
          <w:color w:val="auto"/>
          <w:highlight w:val="none"/>
          <w:lang w:eastAsia="zh-CN"/>
        </w:rPr>
        <w:t>方实施的，乙方有权拒绝。</w:t>
      </w:r>
    </w:p>
    <w:p>
      <w:pPr>
        <w:pStyle w:val="17"/>
        <w:spacing w:line="364" w:lineRule="auto"/>
        <w:ind w:right="865" w:firstLine="422" w:firstLineChars="200"/>
        <w:rPr>
          <w:b/>
          <w:color w:val="auto"/>
          <w:highlight w:val="none"/>
          <w:lang w:eastAsia="zh-CN"/>
        </w:rPr>
      </w:pPr>
      <w:r>
        <w:rPr>
          <w:b/>
          <w:color w:val="auto"/>
          <w:highlight w:val="none"/>
          <w:lang w:eastAsia="zh-CN"/>
        </w:rPr>
        <w:t>第十条 营销管理</w:t>
      </w:r>
    </w:p>
    <w:p>
      <w:pPr>
        <w:pStyle w:val="17"/>
        <w:spacing w:line="364" w:lineRule="auto"/>
        <w:ind w:right="865" w:firstLine="439"/>
        <w:rPr>
          <w:color w:val="auto"/>
          <w:highlight w:val="none"/>
          <w:lang w:eastAsia="zh-CN"/>
        </w:rPr>
      </w:pPr>
      <w:r>
        <w:rPr>
          <w:rFonts w:hint="eastAsia" w:ascii="Times New Roman" w:hAnsi="Times New Roman"/>
          <w:color w:val="auto"/>
          <w:highlight w:val="none"/>
          <w:lang w:eastAsia="zh-CN"/>
        </w:rPr>
        <w:t>1</w:t>
      </w:r>
      <w:r>
        <w:rPr>
          <w:color w:val="auto"/>
          <w:spacing w:val="-3"/>
          <w:highlight w:val="none"/>
          <w:lang w:eastAsia="zh-CN"/>
        </w:rPr>
        <w:t>、双方同意项目营销管理由乙方负责，</w:t>
      </w:r>
      <w:r>
        <w:rPr>
          <w:rFonts w:hint="eastAsia"/>
          <w:color w:val="auto"/>
          <w:spacing w:val="-3"/>
          <w:highlight w:val="none"/>
          <w:lang w:eastAsia="zh-CN"/>
        </w:rPr>
        <w:t>按照甲方合规流程采购营销团队，营销费用按实列支（</w:t>
      </w:r>
      <w:r>
        <w:rPr>
          <w:rFonts w:hint="eastAsia"/>
          <w:color w:val="auto"/>
          <w:spacing w:val="-3"/>
          <w:highlight w:val="none"/>
          <w:lang w:val="en-US" w:eastAsia="zh-CN"/>
        </w:rPr>
        <w:t>不超过总销售额</w:t>
      </w:r>
      <w:r>
        <w:rPr>
          <w:rFonts w:hint="eastAsia"/>
          <w:color w:val="auto"/>
          <w:spacing w:val="-3"/>
          <w:highlight w:val="none"/>
          <w:u w:val="single"/>
          <w:lang w:val="en-US" w:eastAsia="zh-CN"/>
        </w:rPr>
        <w:t>的</w:t>
      </w:r>
      <w:r>
        <w:rPr>
          <w:rFonts w:hint="eastAsia" w:ascii="Times New Roman" w:hAnsi="Times New Roman"/>
          <w:color w:val="auto"/>
          <w:spacing w:val="-3"/>
          <w:highlight w:val="none"/>
          <w:u w:val="single"/>
          <w:lang w:val="en-US" w:eastAsia="zh-CN"/>
        </w:rPr>
        <w:t>2</w:t>
      </w:r>
      <w:r>
        <w:rPr>
          <w:rFonts w:hint="eastAsia"/>
          <w:color w:val="auto"/>
          <w:spacing w:val="-3"/>
          <w:highlight w:val="none"/>
          <w:u w:val="single"/>
          <w:lang w:val="en-US" w:eastAsia="zh-CN"/>
        </w:rPr>
        <w:t>.</w:t>
      </w:r>
      <w:r>
        <w:rPr>
          <w:rFonts w:hint="eastAsia" w:ascii="Times New Roman" w:hAnsi="Times New Roman"/>
          <w:color w:val="auto"/>
          <w:spacing w:val="-3"/>
          <w:highlight w:val="none"/>
          <w:u w:val="single"/>
          <w:lang w:val="en-US" w:eastAsia="zh-CN"/>
        </w:rPr>
        <w:t>5</w:t>
      </w:r>
      <w:r>
        <w:rPr>
          <w:rFonts w:hint="eastAsia"/>
          <w:color w:val="auto"/>
          <w:spacing w:val="-3"/>
          <w:highlight w:val="none"/>
          <w:lang w:val="en-US" w:eastAsia="zh-CN"/>
        </w:rPr>
        <w:t>%</w:t>
      </w:r>
      <w:r>
        <w:rPr>
          <w:rFonts w:hint="eastAsia"/>
          <w:color w:val="auto"/>
          <w:spacing w:val="-3"/>
          <w:highlight w:val="none"/>
          <w:lang w:eastAsia="zh-CN"/>
        </w:rPr>
        <w:t>）。</w:t>
      </w:r>
      <w:r>
        <w:rPr>
          <w:color w:val="auto"/>
          <w:spacing w:val="-3"/>
          <w:highlight w:val="none"/>
          <w:lang w:eastAsia="zh-CN"/>
        </w:rPr>
        <w:t>营销管理的主要内容包括但不限于：项目</w:t>
      </w:r>
      <w:r>
        <w:rPr>
          <w:color w:val="auto"/>
          <w:spacing w:val="-2"/>
          <w:highlight w:val="none"/>
          <w:lang w:eastAsia="zh-CN"/>
        </w:rPr>
        <w:t>前期定位</w:t>
      </w:r>
      <w:r>
        <w:rPr>
          <w:color w:val="auto"/>
          <w:spacing w:val="-3"/>
          <w:highlight w:val="none"/>
          <w:lang w:eastAsia="zh-CN"/>
        </w:rPr>
        <w:t>（</w:t>
      </w:r>
      <w:r>
        <w:rPr>
          <w:color w:val="auto"/>
          <w:spacing w:val="-2"/>
          <w:highlight w:val="none"/>
          <w:lang w:eastAsia="zh-CN"/>
        </w:rPr>
        <w:t>含客户研究</w:t>
      </w:r>
      <w:r>
        <w:rPr>
          <w:color w:val="auto"/>
          <w:spacing w:val="-3"/>
          <w:highlight w:val="none"/>
          <w:lang w:eastAsia="zh-CN"/>
        </w:rPr>
        <w:t>）、项目楼盘名称建议、营销策略、各主要合作媒体及推广机构或代理机构的确定和调整</w:t>
      </w:r>
      <w:r>
        <w:rPr>
          <w:rFonts w:hint="eastAsia"/>
          <w:color w:val="auto"/>
          <w:spacing w:val="-3"/>
          <w:highlight w:val="none"/>
          <w:lang w:eastAsia="zh-CN"/>
        </w:rPr>
        <w:t>及</w:t>
      </w:r>
      <w:r>
        <w:rPr>
          <w:color w:val="auto"/>
          <w:spacing w:val="-3"/>
          <w:highlight w:val="none"/>
          <w:lang w:eastAsia="zh-CN"/>
        </w:rPr>
        <w:t>销售定价（</w:t>
      </w:r>
      <w:r>
        <w:rPr>
          <w:color w:val="auto"/>
          <w:spacing w:val="-2"/>
          <w:highlight w:val="none"/>
          <w:lang w:eastAsia="zh-CN"/>
        </w:rPr>
        <w:t>包括折扣权限</w:t>
      </w:r>
      <w:r>
        <w:rPr>
          <w:color w:val="auto"/>
          <w:highlight w:val="none"/>
          <w:lang w:eastAsia="zh-CN"/>
        </w:rPr>
        <w:t>）</w:t>
      </w:r>
      <w:r>
        <w:rPr>
          <w:rFonts w:hint="eastAsia"/>
          <w:color w:val="auto"/>
          <w:highlight w:val="none"/>
          <w:lang w:eastAsia="zh-CN"/>
        </w:rPr>
        <w:t>等提供方案</w:t>
      </w:r>
      <w:r>
        <w:rPr>
          <w:color w:val="auto"/>
          <w:spacing w:val="-3"/>
          <w:highlight w:val="none"/>
          <w:lang w:eastAsia="zh-CN"/>
        </w:rPr>
        <w:t>报甲方</w:t>
      </w:r>
      <w:r>
        <w:rPr>
          <w:rFonts w:hint="eastAsia"/>
          <w:color w:val="auto"/>
          <w:spacing w:val="-3"/>
          <w:highlight w:val="none"/>
          <w:lang w:eastAsia="zh-CN"/>
        </w:rPr>
        <w:t>决策</w:t>
      </w:r>
      <w:r>
        <w:rPr>
          <w:color w:val="auto"/>
          <w:spacing w:val="-3"/>
          <w:highlight w:val="none"/>
          <w:lang w:eastAsia="zh-CN"/>
        </w:rPr>
        <w:t>审批</w:t>
      </w:r>
      <w:r>
        <w:rPr>
          <w:rFonts w:hint="eastAsia"/>
          <w:color w:val="auto"/>
          <w:spacing w:val="-3"/>
          <w:highlight w:val="none"/>
          <w:lang w:eastAsia="zh-CN"/>
        </w:rPr>
        <w:t>后实施</w:t>
      </w:r>
      <w:r>
        <w:rPr>
          <w:color w:val="auto"/>
          <w:spacing w:val="-3"/>
          <w:highlight w:val="none"/>
          <w:lang w:eastAsia="zh-CN"/>
        </w:rPr>
        <w:t>。</w:t>
      </w:r>
    </w:p>
    <w:p>
      <w:pPr>
        <w:pStyle w:val="17"/>
        <w:spacing w:line="364" w:lineRule="auto"/>
        <w:ind w:right="865" w:firstLine="439"/>
        <w:rPr>
          <w:color w:val="auto"/>
          <w:highlight w:val="none"/>
          <w:lang w:eastAsia="zh-CN"/>
        </w:rPr>
      </w:pPr>
      <w:r>
        <w:rPr>
          <w:rFonts w:hint="eastAsia" w:ascii="Times New Roman" w:hAnsi="Times New Roman"/>
          <w:color w:val="auto"/>
          <w:highlight w:val="none"/>
          <w:lang w:eastAsia="zh-CN"/>
        </w:rPr>
        <w:t>2</w:t>
      </w:r>
      <w:r>
        <w:rPr>
          <w:color w:val="auto"/>
          <w:spacing w:val="-3"/>
          <w:highlight w:val="none"/>
          <w:lang w:eastAsia="zh-CN"/>
        </w:rPr>
        <w:t>、为提升项目房产品质，充分利用和发挥乙方在房地产开发领域的品牌优势和资源优势，在经过专业市场调查的基础上</w:t>
      </w:r>
      <w:r>
        <w:rPr>
          <w:rFonts w:hint="eastAsia"/>
          <w:color w:val="auto"/>
          <w:spacing w:val="-3"/>
          <w:highlight w:val="none"/>
          <w:lang w:eastAsia="zh-CN"/>
        </w:rPr>
        <w:t>由</w:t>
      </w:r>
      <w:r>
        <w:rPr>
          <w:color w:val="auto"/>
          <w:spacing w:val="-3"/>
          <w:highlight w:val="none"/>
          <w:lang w:eastAsia="zh-CN"/>
        </w:rPr>
        <w:t>乙方</w:t>
      </w:r>
      <w:r>
        <w:rPr>
          <w:rFonts w:hint="eastAsia"/>
          <w:color w:val="auto"/>
          <w:spacing w:val="-3"/>
          <w:highlight w:val="none"/>
          <w:lang w:eastAsia="zh-CN"/>
        </w:rPr>
        <w:t>拟定</w:t>
      </w:r>
      <w:r>
        <w:rPr>
          <w:color w:val="auto"/>
          <w:spacing w:val="-3"/>
          <w:highlight w:val="none"/>
          <w:lang w:eastAsia="zh-CN"/>
        </w:rPr>
        <w:t>本项目的建筑标准、景观标准、产品定位、户型配比、配套设施规模和标准、房屋精装修标准及其它涉及产品品质的工作环节</w:t>
      </w:r>
      <w:r>
        <w:rPr>
          <w:rFonts w:hint="eastAsia"/>
          <w:color w:val="auto"/>
          <w:spacing w:val="-3"/>
          <w:highlight w:val="none"/>
          <w:lang w:eastAsia="zh-CN"/>
        </w:rPr>
        <w:t>的方案和建议，供甲方决策</w:t>
      </w:r>
      <w:r>
        <w:rPr>
          <w:color w:val="auto"/>
          <w:spacing w:val="-3"/>
          <w:highlight w:val="none"/>
          <w:lang w:eastAsia="zh-CN"/>
        </w:rPr>
        <w:t>。</w:t>
      </w:r>
    </w:p>
    <w:p>
      <w:pPr>
        <w:pStyle w:val="17"/>
        <w:spacing w:line="364" w:lineRule="auto"/>
        <w:ind w:right="865" w:firstLine="439"/>
        <w:rPr>
          <w:color w:val="auto"/>
          <w:highlight w:val="none"/>
          <w:lang w:eastAsia="zh-CN"/>
        </w:rPr>
      </w:pPr>
      <w:r>
        <w:rPr>
          <w:rFonts w:hint="eastAsia" w:ascii="Times New Roman" w:hAnsi="Times New Roman"/>
          <w:color w:val="auto"/>
          <w:highlight w:val="none"/>
          <w:lang w:eastAsia="zh-CN"/>
        </w:rPr>
        <w:t>3</w:t>
      </w:r>
      <w:r>
        <w:rPr>
          <w:color w:val="auto"/>
          <w:spacing w:val="-3"/>
          <w:highlight w:val="none"/>
          <w:lang w:eastAsia="zh-CN"/>
        </w:rPr>
        <w:t>、本项目由乙方负责营销管理工作，乙方可组建营销团队，引入乙方优秀经纪人资源承担本项目销售工作，相关销售人员提佣标准</w:t>
      </w:r>
      <w:r>
        <w:rPr>
          <w:rFonts w:hint="eastAsia"/>
          <w:color w:val="auto"/>
          <w:spacing w:val="-3"/>
          <w:highlight w:val="none"/>
          <w:lang w:eastAsia="zh-CN"/>
        </w:rPr>
        <w:t>建议</w:t>
      </w:r>
      <w:r>
        <w:rPr>
          <w:color w:val="auto"/>
          <w:spacing w:val="-3"/>
          <w:highlight w:val="none"/>
          <w:lang w:eastAsia="zh-CN"/>
        </w:rPr>
        <w:t>参照乙方现行标准执行。项目销售团队和人员</w:t>
      </w:r>
      <w:r>
        <w:rPr>
          <w:rFonts w:hint="eastAsia"/>
          <w:color w:val="auto"/>
          <w:spacing w:val="-3"/>
          <w:highlight w:val="none"/>
          <w:lang w:eastAsia="zh-CN"/>
        </w:rPr>
        <w:t>建议参</w:t>
      </w:r>
      <w:r>
        <w:rPr>
          <w:color w:val="auto"/>
          <w:spacing w:val="-3"/>
          <w:highlight w:val="none"/>
          <w:lang w:eastAsia="zh-CN"/>
        </w:rPr>
        <w:t>照乙方的有关制度获取相应销售奖励。</w:t>
      </w:r>
    </w:p>
    <w:p>
      <w:pPr>
        <w:pStyle w:val="17"/>
        <w:spacing w:line="281" w:lineRule="exact"/>
        <w:ind w:firstLine="420" w:firstLineChars="200"/>
        <w:rPr>
          <w:color w:val="auto"/>
          <w:highlight w:val="none"/>
        </w:rPr>
      </w:pPr>
      <w:r>
        <w:rPr>
          <w:rFonts w:hint="eastAsia" w:ascii="Times New Roman" w:hAnsi="Times New Roman"/>
          <w:color w:val="auto"/>
          <w:highlight w:val="none"/>
          <w:lang w:eastAsia="zh-CN"/>
        </w:rPr>
        <w:t>4</w:t>
      </w:r>
      <w:r>
        <w:rPr>
          <w:color w:val="auto"/>
          <w:highlight w:val="none"/>
        </w:rPr>
        <w:t>、营销费用</w:t>
      </w:r>
    </w:p>
    <w:p>
      <w:pPr>
        <w:pStyle w:val="90"/>
        <w:numPr>
          <w:ilvl w:val="0"/>
          <w:numId w:val="0"/>
        </w:numPr>
        <w:tabs>
          <w:tab w:val="left" w:pos="1811"/>
        </w:tabs>
        <w:spacing w:before="141" w:line="364" w:lineRule="auto"/>
        <w:ind w:right="978" w:rightChars="0" w:firstLine="388" w:firstLineChars="200"/>
        <w:rPr>
          <w:color w:val="auto"/>
          <w:highlight w:val="none"/>
          <w:lang w:eastAsia="zh-CN"/>
        </w:rPr>
      </w:pPr>
      <w:r>
        <w:rPr>
          <w:rFonts w:hint="default" w:ascii="宋体" w:hAnsi="宋体" w:eastAsia="宋体" w:cs="宋体"/>
          <w:color w:val="auto"/>
          <w:spacing w:val="-3"/>
          <w:w w:val="100"/>
          <w:kern w:val="2"/>
          <w:sz w:val="20"/>
          <w:szCs w:val="20"/>
          <w:highlight w:val="none"/>
          <w:lang w:val="en-US" w:eastAsia="zh-CN" w:bidi="ar-SA"/>
        </w:rPr>
        <w:t>（</w:t>
      </w:r>
      <w:r>
        <w:rPr>
          <w:rFonts w:hint="eastAsia" w:ascii="Times New Roman" w:hAnsi="Times New Roman" w:cs="宋体"/>
          <w:color w:val="auto"/>
          <w:spacing w:val="-3"/>
          <w:w w:val="100"/>
          <w:kern w:val="2"/>
          <w:sz w:val="20"/>
          <w:szCs w:val="20"/>
          <w:highlight w:val="none"/>
          <w:lang w:val="en-US" w:eastAsia="zh-CN" w:bidi="ar-SA"/>
        </w:rPr>
        <w:t>1</w:t>
      </w:r>
      <w:r>
        <w:rPr>
          <w:rFonts w:hint="default" w:ascii="宋体" w:hAnsi="宋体" w:eastAsia="宋体" w:cs="宋体"/>
          <w:color w:val="auto"/>
          <w:spacing w:val="-3"/>
          <w:w w:val="100"/>
          <w:kern w:val="2"/>
          <w:sz w:val="20"/>
          <w:szCs w:val="20"/>
          <w:highlight w:val="none"/>
          <w:lang w:val="en-US" w:eastAsia="zh-CN" w:bidi="ar-SA"/>
        </w:rPr>
        <w:t>）</w:t>
      </w:r>
      <w:r>
        <w:rPr>
          <w:color w:val="auto"/>
          <w:spacing w:val="-3"/>
          <w:highlight w:val="none"/>
          <w:lang w:eastAsia="zh-CN"/>
        </w:rPr>
        <w:t>营销费用(包含营销推广费用、销售人员佣金)按项目总体预算控制，乙方应按照节约高效原则安排费用开支，努力在此费用预算范围内实现项目销售目标。</w:t>
      </w:r>
    </w:p>
    <w:p>
      <w:pPr>
        <w:pStyle w:val="90"/>
        <w:numPr>
          <w:ilvl w:val="0"/>
          <w:numId w:val="0"/>
        </w:numPr>
        <w:tabs>
          <w:tab w:val="left" w:pos="1811"/>
        </w:tabs>
        <w:spacing w:line="364" w:lineRule="auto"/>
        <w:ind w:right="978" w:rightChars="0" w:firstLine="388" w:firstLineChars="200"/>
        <w:rPr>
          <w:color w:val="auto"/>
          <w:highlight w:val="none"/>
          <w:lang w:eastAsia="zh-CN"/>
        </w:rPr>
      </w:pPr>
      <w:r>
        <w:rPr>
          <w:rFonts w:hint="default" w:ascii="宋体" w:hAnsi="宋体" w:eastAsia="宋体" w:cs="宋体"/>
          <w:color w:val="auto"/>
          <w:spacing w:val="-3"/>
          <w:w w:val="100"/>
          <w:kern w:val="2"/>
          <w:sz w:val="20"/>
          <w:szCs w:val="20"/>
          <w:highlight w:val="none"/>
          <w:lang w:val="en-US" w:eastAsia="zh-CN" w:bidi="ar-SA"/>
        </w:rPr>
        <w:t>（</w:t>
      </w:r>
      <w:r>
        <w:rPr>
          <w:rFonts w:hint="eastAsia" w:ascii="Times New Roman" w:hAnsi="Times New Roman" w:cs="宋体"/>
          <w:color w:val="auto"/>
          <w:spacing w:val="-3"/>
          <w:w w:val="100"/>
          <w:kern w:val="2"/>
          <w:sz w:val="20"/>
          <w:szCs w:val="20"/>
          <w:highlight w:val="none"/>
          <w:lang w:val="en-US" w:eastAsia="zh-CN" w:bidi="ar-SA"/>
        </w:rPr>
        <w:t>2</w:t>
      </w:r>
      <w:r>
        <w:rPr>
          <w:rFonts w:hint="default" w:ascii="宋体" w:hAnsi="宋体" w:eastAsia="宋体" w:cs="宋体"/>
          <w:color w:val="auto"/>
          <w:spacing w:val="-3"/>
          <w:w w:val="100"/>
          <w:kern w:val="2"/>
          <w:sz w:val="20"/>
          <w:szCs w:val="20"/>
          <w:highlight w:val="none"/>
          <w:lang w:val="en-US" w:eastAsia="zh-CN" w:bidi="ar-SA"/>
        </w:rPr>
        <w:t>）</w:t>
      </w:r>
      <w:r>
        <w:rPr>
          <w:color w:val="auto"/>
          <w:spacing w:val="-3"/>
          <w:highlight w:val="none"/>
          <w:lang w:eastAsia="zh-CN"/>
        </w:rPr>
        <w:t>如因市场环境或者甲方的营销策略、目标发生重大变化，客观需要加大营销推广投入，由乙方向甲方提出预算申请，经甲方审批后执行。</w:t>
      </w:r>
    </w:p>
    <w:p>
      <w:pPr>
        <w:pStyle w:val="17"/>
        <w:spacing w:line="364" w:lineRule="auto"/>
        <w:ind w:right="865" w:firstLine="439"/>
        <w:rPr>
          <w:color w:val="auto"/>
          <w:highlight w:val="none"/>
          <w:lang w:eastAsia="zh-CN"/>
        </w:rPr>
      </w:pPr>
      <w:r>
        <w:rPr>
          <w:rFonts w:hint="eastAsia" w:ascii="Times New Roman" w:hAnsi="Times New Roman"/>
          <w:color w:val="auto"/>
          <w:highlight w:val="none"/>
          <w:lang w:eastAsia="zh-CN"/>
        </w:rPr>
        <w:t>5</w:t>
      </w:r>
      <w:r>
        <w:rPr>
          <w:color w:val="auto"/>
          <w:spacing w:val="-3"/>
          <w:highlight w:val="none"/>
          <w:lang w:eastAsia="zh-CN"/>
        </w:rPr>
        <w:t>、乙方保证根据现行以及政府部门不时颁布的法律、法规及政策规定进行项目营销工作</w:t>
      </w:r>
      <w:r>
        <w:rPr>
          <w:color w:val="auto"/>
          <w:spacing w:val="-3"/>
          <w:highlight w:val="none"/>
          <w:lang w:val="en-US" w:eastAsia="zh-CN"/>
        </w:rPr>
        <w:t>，</w:t>
      </w:r>
      <w:r>
        <w:rPr>
          <w:rFonts w:hint="eastAsia"/>
          <w:color w:val="auto"/>
          <w:spacing w:val="-3"/>
          <w:highlight w:val="none"/>
          <w:u w:val="single"/>
          <w:lang w:val="en-US" w:eastAsia="zh-CN"/>
        </w:rPr>
        <w:t>因乙方营销工作导致的矛盾及损失由乙方自行承担，</w:t>
      </w:r>
      <w:r>
        <w:rPr>
          <w:color w:val="auto"/>
          <w:spacing w:val="-3"/>
          <w:highlight w:val="none"/>
          <w:u w:val="single"/>
          <w:lang w:val="en-US" w:eastAsia="zh-CN"/>
        </w:rPr>
        <w:t>如因此造成</w:t>
      </w:r>
      <w:r>
        <w:rPr>
          <w:rFonts w:hint="eastAsia"/>
          <w:color w:val="auto"/>
          <w:spacing w:val="-3"/>
          <w:highlight w:val="none"/>
          <w:u w:val="single"/>
          <w:lang w:val="en-US" w:eastAsia="zh-CN"/>
        </w:rPr>
        <w:t>甲</w:t>
      </w:r>
      <w:r>
        <w:rPr>
          <w:color w:val="auto"/>
          <w:spacing w:val="-3"/>
          <w:highlight w:val="none"/>
          <w:u w:val="single"/>
          <w:lang w:val="en-US" w:eastAsia="zh-CN"/>
        </w:rPr>
        <w:t>方承担责任或损害</w:t>
      </w:r>
      <w:r>
        <w:rPr>
          <w:rFonts w:hint="eastAsia"/>
          <w:color w:val="auto"/>
          <w:spacing w:val="-3"/>
          <w:highlight w:val="none"/>
          <w:u w:val="single"/>
          <w:lang w:val="en-US" w:eastAsia="zh-CN"/>
        </w:rPr>
        <w:t>甲</w:t>
      </w:r>
      <w:r>
        <w:rPr>
          <w:color w:val="auto"/>
          <w:spacing w:val="-3"/>
          <w:highlight w:val="none"/>
          <w:u w:val="single"/>
          <w:lang w:val="en-US" w:eastAsia="zh-CN"/>
        </w:rPr>
        <w:t>方品牌形象的，</w:t>
      </w:r>
      <w:r>
        <w:rPr>
          <w:rFonts w:hint="eastAsia"/>
          <w:color w:val="auto"/>
          <w:spacing w:val="-3"/>
          <w:highlight w:val="none"/>
          <w:u w:val="single"/>
          <w:lang w:val="en-US" w:eastAsia="zh-CN"/>
        </w:rPr>
        <w:t>乙</w:t>
      </w:r>
      <w:r>
        <w:rPr>
          <w:color w:val="auto"/>
          <w:spacing w:val="-3"/>
          <w:highlight w:val="none"/>
          <w:u w:val="single"/>
          <w:lang w:val="en-US" w:eastAsia="zh-CN"/>
        </w:rPr>
        <w:t>方应承担损害赔偿责任</w:t>
      </w:r>
      <w:r>
        <w:rPr>
          <w:rFonts w:hint="eastAsia"/>
          <w:color w:val="auto"/>
          <w:spacing w:val="-3"/>
          <w:highlight w:val="none"/>
          <w:u w:val="single"/>
          <w:lang w:val="en-US" w:eastAsia="zh-CN"/>
        </w:rPr>
        <w:t>。</w:t>
      </w:r>
      <w:r>
        <w:rPr>
          <w:color w:val="auto"/>
          <w:spacing w:val="-3"/>
          <w:highlight w:val="none"/>
          <w:lang w:val="en-US" w:eastAsia="zh-CN"/>
        </w:rPr>
        <w:t>如甲</w:t>
      </w:r>
      <w:r>
        <w:rPr>
          <w:rFonts w:ascii="Times New Roman" w:hAnsi="Times New Roman" w:eastAsia="宋体" w:cs="Times New Roman"/>
          <w:color w:val="auto"/>
          <w:spacing w:val="-3"/>
          <w:kern w:val="2"/>
          <w:sz w:val="21"/>
          <w:szCs w:val="22"/>
          <w:highlight w:val="none"/>
          <w:lang w:val="en-US" w:eastAsia="zh-CN" w:bidi="ar-SA"/>
        </w:rPr>
        <w:t>方要求乙方违反相关规定进行项目营销推广的，乙方有权拒绝实施；如</w:t>
      </w:r>
      <w:r>
        <w:rPr>
          <w:color w:val="auto"/>
          <w:spacing w:val="-3"/>
          <w:highlight w:val="none"/>
          <w:u w:val="none"/>
          <w:lang w:eastAsia="zh-CN"/>
        </w:rPr>
        <w:t>甲方自行违反相关规定进行项目营销工作的，由此产生的一切后果由甲方自行承担，如因此</w:t>
      </w:r>
      <w:r>
        <w:rPr>
          <w:color w:val="auto"/>
          <w:spacing w:val="-3"/>
          <w:highlight w:val="none"/>
          <w:lang w:eastAsia="zh-CN"/>
        </w:rPr>
        <w:t>造成乙方承担责任或损害乙方品牌形象的，甲方应承担损害赔偿责任。</w:t>
      </w:r>
    </w:p>
    <w:p>
      <w:pPr>
        <w:pStyle w:val="13"/>
        <w:ind w:left="0" w:leftChars="0" w:firstLine="211" w:firstLineChars="100"/>
        <w:rPr>
          <w:color w:val="auto"/>
          <w:highlight w:val="none"/>
          <w:lang w:eastAsia="zh-CN"/>
        </w:rPr>
      </w:pPr>
      <w:r>
        <w:rPr>
          <w:color w:val="auto"/>
          <w:highlight w:val="none"/>
          <w:lang w:eastAsia="zh-CN"/>
        </w:rPr>
        <w:t>第十一条 竣工验收与房屋交付管理</w:t>
      </w:r>
    </w:p>
    <w:p>
      <w:pPr>
        <w:pStyle w:val="17"/>
        <w:spacing w:before="142" w:line="364" w:lineRule="auto"/>
        <w:ind w:right="975" w:firstLine="439"/>
        <w:rPr>
          <w:color w:val="auto"/>
          <w:highlight w:val="none"/>
          <w:lang w:eastAsia="zh-CN"/>
        </w:rPr>
      </w:pPr>
      <w:r>
        <w:rPr>
          <w:rFonts w:hint="eastAsia" w:ascii="Times New Roman" w:hAnsi="Times New Roman"/>
          <w:color w:val="auto"/>
          <w:highlight w:val="none"/>
          <w:lang w:eastAsia="zh-CN"/>
        </w:rPr>
        <w:t>1</w:t>
      </w:r>
      <w:r>
        <w:rPr>
          <w:color w:val="auto"/>
          <w:highlight w:val="none"/>
          <w:lang w:eastAsia="zh-CN"/>
        </w:rPr>
        <w:t>、乙方应建立完整的项目建设档案，根据项目档案管理制度的要求，及时建档、存档。</w:t>
      </w:r>
    </w:p>
    <w:p>
      <w:pPr>
        <w:pStyle w:val="17"/>
        <w:spacing w:line="364" w:lineRule="auto"/>
        <w:ind w:right="865" w:firstLine="439"/>
        <w:rPr>
          <w:color w:val="auto"/>
          <w:highlight w:val="none"/>
          <w:lang w:eastAsia="zh-CN"/>
        </w:rPr>
      </w:pPr>
      <w:r>
        <w:rPr>
          <w:rFonts w:hint="eastAsia" w:ascii="Times New Roman" w:hAnsi="Times New Roman"/>
          <w:color w:val="auto"/>
          <w:highlight w:val="none"/>
          <w:lang w:eastAsia="zh-CN"/>
        </w:rPr>
        <w:t>2</w:t>
      </w:r>
      <w:r>
        <w:rPr>
          <w:color w:val="auto"/>
          <w:spacing w:val="-3"/>
          <w:highlight w:val="none"/>
          <w:lang w:eastAsia="zh-CN"/>
        </w:rPr>
        <w:t>、工程完工后，乙方负责组织竣工验收，一次性验收未能通过的，应要求施工单位整改直至验收通过。竣工验收通过后，乙方督促施工单位按照城建档案管理的要求整理并提交完整的竣工资料，并完成竣工验收备案。</w:t>
      </w:r>
    </w:p>
    <w:p>
      <w:pPr>
        <w:pStyle w:val="17"/>
        <w:spacing w:line="364" w:lineRule="auto"/>
        <w:ind w:right="865" w:firstLine="439"/>
        <w:rPr>
          <w:color w:val="auto"/>
          <w:highlight w:val="none"/>
          <w:lang w:eastAsia="zh-CN"/>
        </w:rPr>
      </w:pPr>
      <w:r>
        <w:rPr>
          <w:rFonts w:hint="eastAsia" w:ascii="Times New Roman" w:hAnsi="Times New Roman"/>
          <w:color w:val="auto"/>
          <w:highlight w:val="none"/>
          <w:lang w:eastAsia="zh-CN"/>
        </w:rPr>
        <w:t>3</w:t>
      </w:r>
      <w:r>
        <w:rPr>
          <w:color w:val="auto"/>
          <w:spacing w:val="-3"/>
          <w:highlight w:val="none"/>
          <w:lang w:eastAsia="zh-CN"/>
        </w:rPr>
        <w:t>、乙方应提前制定房屋交付方案，编制《房产品使用说明书》、《房产品质量保证书》等物业交付资料在房屋具备交付条件后，组织实施交付工作，同时向</w:t>
      </w:r>
      <w:r>
        <w:rPr>
          <w:rFonts w:hint="eastAsia"/>
          <w:color w:val="auto"/>
          <w:spacing w:val="-3"/>
          <w:highlight w:val="none"/>
          <w:lang w:eastAsia="zh-CN"/>
        </w:rPr>
        <w:t>甲方和</w:t>
      </w:r>
      <w:r>
        <w:rPr>
          <w:color w:val="auto"/>
          <w:spacing w:val="-3"/>
          <w:highlight w:val="none"/>
          <w:lang w:eastAsia="zh-CN"/>
        </w:rPr>
        <w:t>物业公司移交物业公共区域、设施设备及相关资料。乙方应负责完成房屋建筑面积测绘； 甲方配合乙方在销售合同约定期限内根据本项目所在地相关政府主管部门规定或要求办理房屋所有权初始登记手续。</w:t>
      </w:r>
    </w:p>
    <w:p>
      <w:pPr>
        <w:pStyle w:val="17"/>
        <w:spacing w:before="59" w:line="364" w:lineRule="auto"/>
        <w:ind w:right="865"/>
        <w:rPr>
          <w:color w:val="auto"/>
          <w:highlight w:val="none"/>
          <w:lang w:eastAsia="zh-CN"/>
        </w:rPr>
      </w:pPr>
      <w:r>
        <w:rPr>
          <w:rFonts w:hint="eastAsia" w:ascii="Times New Roman" w:hAnsi="Times New Roman"/>
          <w:color w:val="auto"/>
          <w:highlight w:val="none"/>
          <w:lang w:eastAsia="zh-CN"/>
        </w:rPr>
        <w:t>4</w:t>
      </w:r>
      <w:r>
        <w:rPr>
          <w:color w:val="auto"/>
          <w:highlight w:val="none"/>
          <w:lang w:eastAsia="zh-CN"/>
        </w:rPr>
        <w:t>、乙方在项目开发建设完成后将工程档案、销售档案、行政档案及相关资料向甲方和有关部门移交。</w:t>
      </w:r>
    </w:p>
    <w:p>
      <w:pPr>
        <w:pStyle w:val="13"/>
        <w:spacing w:line="279" w:lineRule="exact"/>
        <w:ind w:left="0" w:leftChars="0" w:firstLine="422" w:firstLineChars="200"/>
        <w:rPr>
          <w:color w:val="auto"/>
          <w:highlight w:val="none"/>
          <w:lang w:eastAsia="zh-CN"/>
        </w:rPr>
      </w:pPr>
      <w:r>
        <w:rPr>
          <w:color w:val="auto"/>
          <w:highlight w:val="none"/>
          <w:lang w:eastAsia="zh-CN"/>
        </w:rPr>
        <w:t>第十二条 物业服务</w:t>
      </w:r>
    </w:p>
    <w:p>
      <w:pPr>
        <w:pStyle w:val="17"/>
        <w:spacing w:before="147" w:line="364" w:lineRule="auto"/>
        <w:ind w:right="865" w:firstLine="439"/>
        <w:rPr>
          <w:color w:val="auto"/>
          <w:highlight w:val="none"/>
          <w:lang w:eastAsia="zh-CN"/>
        </w:rPr>
      </w:pPr>
      <w:r>
        <w:rPr>
          <w:rFonts w:hint="eastAsia" w:ascii="Times New Roman" w:hAnsi="Times New Roman"/>
          <w:color w:val="auto"/>
          <w:highlight w:val="none"/>
          <w:lang w:eastAsia="zh-CN"/>
        </w:rPr>
        <w:t>1</w:t>
      </w:r>
      <w:r>
        <w:rPr>
          <w:color w:val="auto"/>
          <w:spacing w:val="-3"/>
          <w:highlight w:val="none"/>
          <w:lang w:eastAsia="zh-CN"/>
        </w:rPr>
        <w:t>、乙方应协助甲方选定物业服务单位，对前期物业服务质量进行督导。为更好地体现乙方品牌价值，为甲方及项目房产买受人提供延伸品牌服务，甲乙双方同意选定品牌物业服务公司作为本项目的前期物业服务单位。</w:t>
      </w:r>
    </w:p>
    <w:p>
      <w:pPr>
        <w:pStyle w:val="17"/>
        <w:ind w:left="0"/>
        <w:rPr>
          <w:color w:val="auto"/>
          <w:highlight w:val="none"/>
          <w:lang w:eastAsia="zh-CN"/>
        </w:rPr>
      </w:pPr>
    </w:p>
    <w:p>
      <w:pPr>
        <w:pStyle w:val="13"/>
        <w:tabs>
          <w:tab w:val="left" w:pos="4751"/>
        </w:tabs>
        <w:spacing w:before="144"/>
        <w:ind w:left="3751"/>
        <w:rPr>
          <w:color w:val="auto"/>
          <w:highlight w:val="none"/>
          <w:lang w:eastAsia="zh-CN"/>
        </w:rPr>
      </w:pPr>
      <w:r>
        <w:rPr>
          <w:color w:val="auto"/>
          <w:highlight w:val="none"/>
          <w:lang w:eastAsia="zh-CN"/>
        </w:rPr>
        <w:t>第三章</w:t>
      </w:r>
      <w:r>
        <w:rPr>
          <w:color w:val="auto"/>
          <w:highlight w:val="none"/>
          <w:lang w:eastAsia="zh-CN"/>
        </w:rPr>
        <w:tab/>
      </w:r>
      <w:bookmarkStart w:id="141" w:name="第三章品牌使用管理和维护"/>
      <w:bookmarkEnd w:id="141"/>
      <w:r>
        <w:rPr>
          <w:color w:val="auto"/>
          <w:highlight w:val="none"/>
          <w:lang w:eastAsia="zh-CN"/>
        </w:rPr>
        <w:t>品牌使用管理和维护</w:t>
      </w:r>
    </w:p>
    <w:p>
      <w:pPr>
        <w:pStyle w:val="17"/>
        <w:spacing w:before="146" w:line="364" w:lineRule="auto"/>
        <w:ind w:right="973" w:firstLine="439"/>
        <w:rPr>
          <w:color w:val="auto"/>
          <w:highlight w:val="none"/>
          <w:lang w:eastAsia="zh-CN"/>
        </w:rPr>
      </w:pPr>
      <w:r>
        <w:rPr>
          <w:b/>
          <w:color w:val="auto"/>
          <w:highlight w:val="none"/>
          <w:lang w:eastAsia="zh-CN"/>
        </w:rPr>
        <w:t xml:space="preserve">第十三条 </w:t>
      </w:r>
      <w:r>
        <w:rPr>
          <w:color w:val="auto"/>
          <w:highlight w:val="none"/>
          <w:lang w:eastAsia="zh-CN"/>
        </w:rPr>
        <w:t>乙方同意授权甲方在本项目宣传和推广中使用乙方品牌，甲方同意严格遵守本合同关于乙方品牌使用的规定和要求。</w:t>
      </w:r>
    </w:p>
    <w:p>
      <w:pPr>
        <w:pStyle w:val="17"/>
        <w:ind w:left="0"/>
        <w:rPr>
          <w:color w:val="auto"/>
          <w:highlight w:val="none"/>
          <w:lang w:eastAsia="zh-CN"/>
        </w:rPr>
      </w:pPr>
    </w:p>
    <w:p>
      <w:pPr>
        <w:pStyle w:val="13"/>
        <w:tabs>
          <w:tab w:val="left" w:pos="5303"/>
        </w:tabs>
        <w:spacing w:before="145"/>
        <w:ind w:left="4303"/>
        <w:rPr>
          <w:color w:val="auto"/>
          <w:highlight w:val="none"/>
          <w:lang w:eastAsia="zh-CN"/>
        </w:rPr>
      </w:pPr>
      <w:r>
        <w:rPr>
          <w:color w:val="auto"/>
          <w:highlight w:val="none"/>
          <w:lang w:eastAsia="zh-CN"/>
        </w:rPr>
        <w:t>第四章</w:t>
      </w:r>
      <w:r>
        <w:rPr>
          <w:color w:val="auto"/>
          <w:highlight w:val="none"/>
          <w:lang w:eastAsia="zh-CN"/>
        </w:rPr>
        <w:tab/>
      </w:r>
      <w:bookmarkStart w:id="142" w:name="第四章项目报告"/>
      <w:bookmarkEnd w:id="142"/>
      <w:r>
        <w:rPr>
          <w:color w:val="auto"/>
          <w:highlight w:val="none"/>
          <w:lang w:eastAsia="zh-CN"/>
        </w:rPr>
        <w:t>项目报告</w:t>
      </w:r>
    </w:p>
    <w:p>
      <w:pPr>
        <w:pStyle w:val="17"/>
        <w:spacing w:before="147" w:line="364" w:lineRule="auto"/>
        <w:ind w:right="1307" w:firstLine="442" w:firstLineChars="200"/>
        <w:rPr>
          <w:color w:val="auto"/>
          <w:spacing w:val="-3"/>
          <w:highlight w:val="none"/>
          <w:lang w:eastAsia="zh-CN"/>
        </w:rPr>
      </w:pPr>
      <w:r>
        <w:rPr>
          <w:b/>
          <w:color w:val="auto"/>
          <w:spacing w:val="5"/>
          <w:highlight w:val="none"/>
          <w:lang w:eastAsia="zh-CN"/>
        </w:rPr>
        <w:t xml:space="preserve">第十四条 </w:t>
      </w:r>
      <w:r>
        <w:rPr>
          <w:color w:val="auto"/>
          <w:spacing w:val="-3"/>
          <w:highlight w:val="none"/>
          <w:lang w:eastAsia="zh-CN"/>
        </w:rPr>
        <w:t>乙方应按季度向甲方提交项目管理者报告，报告应包括以下内容：</w:t>
      </w:r>
    </w:p>
    <w:p>
      <w:pPr>
        <w:pStyle w:val="17"/>
        <w:spacing w:before="147" w:line="364" w:lineRule="auto"/>
        <w:ind w:right="1307" w:firstLine="408" w:firstLineChars="200"/>
        <w:rPr>
          <w:color w:val="auto"/>
          <w:spacing w:val="-3"/>
          <w:highlight w:val="none"/>
          <w:lang w:eastAsia="zh-CN"/>
        </w:rPr>
      </w:pPr>
      <w:r>
        <w:rPr>
          <w:rFonts w:hint="eastAsia" w:ascii="Times New Roman" w:hAnsi="Times New Roman"/>
          <w:color w:val="auto"/>
          <w:spacing w:val="-3"/>
          <w:highlight w:val="none"/>
          <w:lang w:eastAsia="zh-CN"/>
        </w:rPr>
        <w:t>1</w:t>
      </w:r>
      <w:r>
        <w:rPr>
          <w:color w:val="auto"/>
          <w:spacing w:val="-3"/>
          <w:highlight w:val="none"/>
          <w:lang w:eastAsia="zh-CN"/>
        </w:rPr>
        <w:t>、项目开发主要工作的进度和进展情况，以及和项目开发计划的对比分析。</w:t>
      </w:r>
    </w:p>
    <w:p>
      <w:pPr>
        <w:pStyle w:val="17"/>
        <w:spacing w:before="147" w:line="364" w:lineRule="auto"/>
        <w:ind w:right="1307" w:firstLine="408" w:firstLineChars="200"/>
        <w:rPr>
          <w:color w:val="auto"/>
          <w:spacing w:val="-3"/>
          <w:highlight w:val="none"/>
          <w:lang w:eastAsia="zh-CN"/>
        </w:rPr>
      </w:pPr>
      <w:r>
        <w:rPr>
          <w:rFonts w:hint="eastAsia" w:ascii="Times New Roman" w:hAnsi="Times New Roman"/>
          <w:color w:val="auto"/>
          <w:spacing w:val="-3"/>
          <w:highlight w:val="none"/>
          <w:lang w:eastAsia="zh-CN"/>
        </w:rPr>
        <w:t>2</w:t>
      </w:r>
      <w:r>
        <w:rPr>
          <w:color w:val="auto"/>
          <w:spacing w:val="-3"/>
          <w:highlight w:val="none"/>
          <w:lang w:eastAsia="zh-CN"/>
        </w:rPr>
        <w:t>、项目成本的发生和异动情况分析。</w:t>
      </w:r>
    </w:p>
    <w:p>
      <w:pPr>
        <w:pStyle w:val="17"/>
        <w:spacing w:before="147" w:line="364" w:lineRule="auto"/>
        <w:ind w:right="1307" w:firstLine="408" w:firstLineChars="200"/>
        <w:rPr>
          <w:color w:val="auto"/>
          <w:spacing w:val="-3"/>
          <w:highlight w:val="none"/>
          <w:lang w:eastAsia="zh-CN"/>
        </w:rPr>
      </w:pPr>
      <w:r>
        <w:rPr>
          <w:rFonts w:hint="eastAsia" w:ascii="Times New Roman" w:hAnsi="Times New Roman"/>
          <w:color w:val="auto"/>
          <w:spacing w:val="-3"/>
          <w:highlight w:val="none"/>
          <w:lang w:eastAsia="zh-CN"/>
        </w:rPr>
        <w:t>3</w:t>
      </w:r>
      <w:r>
        <w:rPr>
          <w:color w:val="auto"/>
          <w:spacing w:val="-3"/>
          <w:highlight w:val="none"/>
          <w:lang w:eastAsia="zh-CN"/>
        </w:rPr>
        <w:t>、项目各项费用的发生和异动情况分析。</w:t>
      </w:r>
    </w:p>
    <w:p>
      <w:pPr>
        <w:pStyle w:val="17"/>
        <w:spacing w:before="147" w:line="364" w:lineRule="auto"/>
        <w:ind w:right="1307" w:firstLine="408" w:firstLineChars="200"/>
        <w:rPr>
          <w:color w:val="auto"/>
          <w:spacing w:val="-3"/>
          <w:highlight w:val="none"/>
          <w:lang w:eastAsia="zh-CN"/>
        </w:rPr>
      </w:pPr>
      <w:r>
        <w:rPr>
          <w:rFonts w:hint="eastAsia" w:ascii="Times New Roman" w:hAnsi="Times New Roman"/>
          <w:color w:val="auto"/>
          <w:spacing w:val="-3"/>
          <w:highlight w:val="none"/>
          <w:lang w:eastAsia="zh-CN"/>
        </w:rPr>
        <w:t>4</w:t>
      </w:r>
      <w:r>
        <w:rPr>
          <w:color w:val="auto"/>
          <w:spacing w:val="-3"/>
          <w:highlight w:val="none"/>
          <w:lang w:eastAsia="zh-CN"/>
        </w:rPr>
        <w:t>、项目当季的资金使用情况和下个季度的资金需求计划。</w:t>
      </w:r>
    </w:p>
    <w:p>
      <w:pPr>
        <w:pStyle w:val="17"/>
        <w:spacing w:before="147" w:line="364" w:lineRule="auto"/>
        <w:ind w:right="1307" w:firstLine="408" w:firstLineChars="200"/>
        <w:rPr>
          <w:color w:val="auto"/>
          <w:spacing w:val="-3"/>
          <w:highlight w:val="none"/>
          <w:lang w:eastAsia="zh-CN"/>
        </w:rPr>
      </w:pPr>
      <w:r>
        <w:rPr>
          <w:rFonts w:hint="eastAsia" w:ascii="Times New Roman" w:hAnsi="Times New Roman"/>
          <w:color w:val="auto"/>
          <w:spacing w:val="-3"/>
          <w:highlight w:val="none"/>
          <w:lang w:eastAsia="zh-CN"/>
        </w:rPr>
        <w:t>5</w:t>
      </w:r>
      <w:r>
        <w:rPr>
          <w:color w:val="auto"/>
          <w:spacing w:val="-3"/>
          <w:highlight w:val="none"/>
          <w:lang w:eastAsia="zh-CN"/>
        </w:rPr>
        <w:t>、项目人力资源的状况。</w:t>
      </w:r>
    </w:p>
    <w:p>
      <w:pPr>
        <w:pStyle w:val="17"/>
        <w:spacing w:before="147" w:line="364" w:lineRule="auto"/>
        <w:ind w:right="1307" w:firstLine="408" w:firstLineChars="200"/>
        <w:rPr>
          <w:color w:val="auto"/>
          <w:spacing w:val="-3"/>
          <w:highlight w:val="none"/>
          <w:lang w:eastAsia="zh-CN"/>
        </w:rPr>
      </w:pPr>
      <w:r>
        <w:rPr>
          <w:rFonts w:hint="eastAsia" w:ascii="Times New Roman" w:hAnsi="Times New Roman"/>
          <w:color w:val="auto"/>
          <w:spacing w:val="-3"/>
          <w:highlight w:val="none"/>
          <w:lang w:eastAsia="zh-CN"/>
        </w:rPr>
        <w:t>6</w:t>
      </w:r>
      <w:r>
        <w:rPr>
          <w:color w:val="auto"/>
          <w:spacing w:val="-3"/>
          <w:highlight w:val="none"/>
          <w:lang w:eastAsia="zh-CN"/>
        </w:rPr>
        <w:t>、甲方书面提出的其他重点工作情况。</w:t>
      </w:r>
    </w:p>
    <w:p>
      <w:pPr>
        <w:pStyle w:val="17"/>
        <w:spacing w:before="145" w:line="364" w:lineRule="auto"/>
        <w:ind w:right="865" w:firstLine="439"/>
        <w:jc w:val="both"/>
        <w:rPr>
          <w:color w:val="auto"/>
          <w:sz w:val="20"/>
          <w:highlight w:val="none"/>
          <w:lang w:eastAsia="zh-CN"/>
        </w:rPr>
      </w:pPr>
      <w:r>
        <w:rPr>
          <w:b/>
          <w:color w:val="auto"/>
          <w:highlight w:val="none"/>
          <w:lang w:eastAsia="zh-CN"/>
        </w:rPr>
        <w:t xml:space="preserve">第十五条 </w:t>
      </w:r>
      <w:r>
        <w:rPr>
          <w:rFonts w:hint="eastAsia"/>
          <w:color w:val="auto"/>
          <w:highlight w:val="none"/>
          <w:lang w:eastAsia="zh-CN"/>
        </w:rPr>
        <w:t>甲乙双方</w:t>
      </w:r>
      <w:r>
        <w:rPr>
          <w:color w:val="auto"/>
          <w:spacing w:val="-3"/>
          <w:highlight w:val="none"/>
          <w:lang w:eastAsia="zh-CN"/>
        </w:rPr>
        <w:t>所提交的所有报告</w:t>
      </w:r>
      <w:r>
        <w:rPr>
          <w:rFonts w:hint="eastAsia"/>
          <w:color w:val="auto"/>
          <w:spacing w:val="-3"/>
          <w:highlight w:val="none"/>
          <w:lang w:eastAsia="zh-CN"/>
        </w:rPr>
        <w:t>和文件材料</w:t>
      </w:r>
      <w:r>
        <w:rPr>
          <w:color w:val="auto"/>
          <w:spacing w:val="-3"/>
          <w:highlight w:val="none"/>
          <w:lang w:eastAsia="zh-CN"/>
        </w:rPr>
        <w:t>，均由甲</w:t>
      </w:r>
      <w:r>
        <w:rPr>
          <w:rFonts w:hint="eastAsia"/>
          <w:color w:val="auto"/>
          <w:spacing w:val="-3"/>
          <w:highlight w:val="none"/>
          <w:lang w:eastAsia="zh-CN"/>
        </w:rPr>
        <w:t>乙</w:t>
      </w:r>
      <w:r>
        <w:rPr>
          <w:color w:val="auto"/>
          <w:spacing w:val="-3"/>
          <w:highlight w:val="none"/>
          <w:lang w:eastAsia="zh-CN"/>
        </w:rPr>
        <w:t>方代表负责签收</w:t>
      </w:r>
      <w:r>
        <w:rPr>
          <w:color w:val="auto"/>
          <w:highlight w:val="none"/>
          <w:lang w:eastAsia="zh-CN"/>
        </w:rPr>
        <w:t>（</w:t>
      </w:r>
      <w:r>
        <w:rPr>
          <w:color w:val="auto"/>
          <w:spacing w:val="-19"/>
          <w:highlight w:val="none"/>
          <w:lang w:eastAsia="zh-CN"/>
        </w:rPr>
        <w:t xml:space="preserve">包含 </w:t>
      </w:r>
      <w:r>
        <w:rPr>
          <w:rFonts w:hint="eastAsia" w:ascii="Times New Roman" w:hAnsi="Times New Roman"/>
          <w:color w:val="auto"/>
          <w:highlight w:val="none"/>
          <w:lang w:eastAsia="zh-CN"/>
        </w:rPr>
        <w:t>OA</w:t>
      </w:r>
      <w:r>
        <w:rPr>
          <w:color w:val="auto"/>
          <w:spacing w:val="-10"/>
          <w:highlight w:val="none"/>
          <w:lang w:eastAsia="zh-CN"/>
        </w:rPr>
        <w:t xml:space="preserve"> 邮件及审批流</w:t>
      </w:r>
      <w:r>
        <w:rPr>
          <w:color w:val="auto"/>
          <w:spacing w:val="-3"/>
          <w:highlight w:val="none"/>
          <w:lang w:eastAsia="zh-CN"/>
        </w:rPr>
        <w:t>程经甲方代表收件或处理</w:t>
      </w:r>
      <w:r>
        <w:rPr>
          <w:color w:val="auto"/>
          <w:highlight w:val="none"/>
          <w:lang w:eastAsia="zh-CN"/>
        </w:rPr>
        <w:t>）</w:t>
      </w:r>
      <w:r>
        <w:rPr>
          <w:color w:val="auto"/>
          <w:spacing w:val="-3"/>
          <w:highlight w:val="none"/>
          <w:lang w:eastAsia="zh-CN"/>
        </w:rPr>
        <w:t>。对于需要</w:t>
      </w:r>
      <w:r>
        <w:rPr>
          <w:rFonts w:hint="eastAsia"/>
          <w:color w:val="auto"/>
          <w:spacing w:val="-3"/>
          <w:highlight w:val="none"/>
          <w:lang w:eastAsia="zh-CN"/>
        </w:rPr>
        <w:t>双</w:t>
      </w:r>
      <w:r>
        <w:rPr>
          <w:color w:val="auto"/>
          <w:spacing w:val="-3"/>
          <w:highlight w:val="none"/>
          <w:lang w:eastAsia="zh-CN"/>
        </w:rPr>
        <w:t>方审议的专项工作报告，</w:t>
      </w:r>
      <w:r>
        <w:rPr>
          <w:rFonts w:hint="eastAsia"/>
          <w:color w:val="auto"/>
          <w:spacing w:val="-3"/>
          <w:highlight w:val="none"/>
          <w:lang w:eastAsia="zh-CN"/>
        </w:rPr>
        <w:t>双</w:t>
      </w:r>
      <w:r>
        <w:rPr>
          <w:color w:val="auto"/>
          <w:spacing w:val="-3"/>
          <w:highlight w:val="none"/>
          <w:lang w:eastAsia="zh-CN"/>
        </w:rPr>
        <w:t>方</w:t>
      </w:r>
      <w:r>
        <w:rPr>
          <w:rFonts w:hint="eastAsia"/>
          <w:color w:val="auto"/>
          <w:spacing w:val="-3"/>
          <w:highlight w:val="none"/>
          <w:lang w:eastAsia="zh-CN"/>
        </w:rPr>
        <w:t>均</w:t>
      </w:r>
      <w:r>
        <w:rPr>
          <w:color w:val="auto"/>
          <w:spacing w:val="-3"/>
          <w:highlight w:val="none"/>
          <w:lang w:eastAsia="zh-CN"/>
        </w:rPr>
        <w:t>应在报告中提出答复期限，</w:t>
      </w:r>
      <w:r>
        <w:rPr>
          <w:rFonts w:hint="eastAsia"/>
          <w:color w:val="auto"/>
          <w:spacing w:val="-3"/>
          <w:highlight w:val="none"/>
          <w:lang w:eastAsia="zh-CN"/>
        </w:rPr>
        <w:t>双</w:t>
      </w:r>
      <w:r>
        <w:rPr>
          <w:color w:val="auto"/>
          <w:spacing w:val="-3"/>
          <w:highlight w:val="none"/>
          <w:lang w:eastAsia="zh-CN"/>
        </w:rPr>
        <w:t>方如无异议，则应在要求的期限内予以书面答复。</w:t>
      </w:r>
    </w:p>
    <w:p>
      <w:pPr>
        <w:pStyle w:val="17"/>
        <w:spacing w:before="4"/>
        <w:ind w:left="0"/>
        <w:rPr>
          <w:color w:val="auto"/>
          <w:sz w:val="21"/>
          <w:highlight w:val="none"/>
          <w:lang w:eastAsia="zh-CN"/>
        </w:rPr>
      </w:pPr>
    </w:p>
    <w:p>
      <w:pPr>
        <w:pStyle w:val="13"/>
        <w:tabs>
          <w:tab w:val="left" w:pos="1441"/>
        </w:tabs>
        <w:spacing w:before="70"/>
        <w:ind w:left="440"/>
        <w:jc w:val="center"/>
        <w:rPr>
          <w:color w:val="auto"/>
          <w:highlight w:val="none"/>
          <w:lang w:eastAsia="zh-CN"/>
        </w:rPr>
      </w:pPr>
      <w:r>
        <w:rPr>
          <w:color w:val="auto"/>
          <w:highlight w:val="none"/>
          <w:lang w:eastAsia="zh-CN"/>
        </w:rPr>
        <w:t>第五章</w:t>
      </w:r>
      <w:r>
        <w:rPr>
          <w:color w:val="auto"/>
          <w:highlight w:val="none"/>
          <w:lang w:eastAsia="zh-CN"/>
        </w:rPr>
        <w:tab/>
      </w:r>
      <w:bookmarkStart w:id="143" w:name="第五章合作陈述和保证"/>
      <w:bookmarkEnd w:id="143"/>
      <w:r>
        <w:rPr>
          <w:color w:val="auto"/>
          <w:highlight w:val="none"/>
          <w:lang w:eastAsia="zh-CN"/>
        </w:rPr>
        <w:t>合作陈述和保证</w:t>
      </w:r>
    </w:p>
    <w:p>
      <w:pPr>
        <w:pStyle w:val="13"/>
        <w:spacing w:before="145"/>
        <w:ind w:left="0" w:leftChars="0" w:firstLine="0" w:firstLineChars="0"/>
        <w:rPr>
          <w:color w:val="auto"/>
          <w:highlight w:val="none"/>
          <w:lang w:eastAsia="zh-CN"/>
        </w:rPr>
      </w:pPr>
      <w:r>
        <w:rPr>
          <w:color w:val="auto"/>
          <w:highlight w:val="none"/>
          <w:lang w:eastAsia="zh-CN"/>
        </w:rPr>
        <w:t>第十六条 甲方陈述和保证</w:t>
      </w:r>
    </w:p>
    <w:p>
      <w:pPr>
        <w:pStyle w:val="17"/>
        <w:spacing w:before="145" w:line="364" w:lineRule="auto"/>
        <w:ind w:right="865" w:firstLine="439"/>
        <w:rPr>
          <w:color w:val="auto"/>
          <w:highlight w:val="none"/>
          <w:lang w:eastAsia="zh-CN"/>
        </w:rPr>
      </w:pPr>
      <w:r>
        <w:rPr>
          <w:rFonts w:hint="eastAsia" w:ascii="Times New Roman" w:hAnsi="Times New Roman"/>
          <w:color w:val="auto"/>
          <w:highlight w:val="none"/>
          <w:lang w:eastAsia="zh-CN"/>
        </w:rPr>
        <w:t>1</w:t>
      </w:r>
      <w:r>
        <w:rPr>
          <w:color w:val="auto"/>
          <w:spacing w:val="-3"/>
          <w:highlight w:val="none"/>
          <w:lang w:eastAsia="zh-CN"/>
        </w:rPr>
        <w:t>、甲方为本项目开发建设主体，系依据中华人民共和国法律合法设立的有限责任公司，拥有与本项目开发建设相适应的营业许可和房地产开发资质条件，并且甲方保证在合同期间有效存续。</w:t>
      </w:r>
    </w:p>
    <w:p>
      <w:pPr>
        <w:pStyle w:val="17"/>
        <w:spacing w:line="364" w:lineRule="auto"/>
        <w:ind w:right="865" w:firstLine="439"/>
        <w:rPr>
          <w:color w:val="auto"/>
          <w:highlight w:val="none"/>
          <w:lang w:eastAsia="zh-CN"/>
        </w:rPr>
      </w:pPr>
      <w:r>
        <w:rPr>
          <w:rFonts w:hint="eastAsia" w:ascii="Times New Roman" w:hAnsi="Times New Roman"/>
          <w:color w:val="auto"/>
          <w:highlight w:val="none"/>
          <w:lang w:eastAsia="zh-CN"/>
        </w:rPr>
        <w:t>2</w:t>
      </w:r>
      <w:r>
        <w:rPr>
          <w:color w:val="auto"/>
          <w:spacing w:val="-3"/>
          <w:highlight w:val="none"/>
          <w:lang w:eastAsia="zh-CN"/>
        </w:rPr>
        <w:t>、甲方具备签订和履行本合同的完全、独立的能力，并已就本合同的签订和履行取得充分、有效的授权和许可。并且本合同不违背甲方的公司章程、董事会、股东会决议，以及其他的协议、承诺，不</w:t>
      </w:r>
      <w:r>
        <w:rPr>
          <w:color w:val="auto"/>
          <w:highlight w:val="none"/>
          <w:lang w:eastAsia="zh-CN"/>
        </w:rPr>
        <w:t>会引发任何利益冲突。</w:t>
      </w:r>
    </w:p>
    <w:p>
      <w:pPr>
        <w:pStyle w:val="17"/>
        <w:spacing w:line="364" w:lineRule="auto"/>
        <w:ind w:right="865" w:firstLine="439"/>
        <w:rPr>
          <w:color w:val="auto"/>
          <w:highlight w:val="none"/>
          <w:lang w:eastAsia="zh-CN"/>
        </w:rPr>
      </w:pPr>
      <w:r>
        <w:rPr>
          <w:rFonts w:hint="eastAsia" w:ascii="Times New Roman" w:hAnsi="Times New Roman"/>
          <w:color w:val="auto"/>
          <w:highlight w:val="none"/>
          <w:lang w:eastAsia="zh-CN"/>
        </w:rPr>
        <w:t>3</w:t>
      </w:r>
      <w:r>
        <w:rPr>
          <w:color w:val="auto"/>
          <w:highlight w:val="none"/>
          <w:lang w:eastAsia="zh-CN"/>
        </w:rPr>
        <w:t>、甲方拥有本项目合法的土地使用权，不会有任何政府机关或其他实体或个人或可能启动任何程序、主张、诉讼，并导致本项目的正常开发建设存在障碍。</w:t>
      </w:r>
    </w:p>
    <w:p>
      <w:pPr>
        <w:pStyle w:val="17"/>
        <w:spacing w:before="145" w:line="364" w:lineRule="auto"/>
        <w:ind w:right="865" w:firstLine="439"/>
        <w:rPr>
          <w:color w:val="auto"/>
          <w:highlight w:val="none"/>
          <w:lang w:eastAsia="zh-CN"/>
        </w:rPr>
      </w:pPr>
      <w:r>
        <w:rPr>
          <w:rFonts w:hint="eastAsia" w:ascii="Times New Roman" w:hAnsi="Times New Roman"/>
          <w:color w:val="auto"/>
          <w:highlight w:val="none"/>
          <w:lang w:eastAsia="zh-CN"/>
        </w:rPr>
        <w:t>4</w:t>
      </w:r>
      <w:r>
        <w:rPr>
          <w:color w:val="auto"/>
          <w:highlight w:val="none"/>
          <w:lang w:eastAsia="zh-CN"/>
        </w:rPr>
        <w:t>、本合同签署时，甲方不存在未披露的重大债务（包括或有债务），也不存在任何诉讼、潜在的重大诉讼或者任何影响项目正常开发销售或甲方主体存在的行政处罚。</w:t>
      </w:r>
    </w:p>
    <w:p>
      <w:pPr>
        <w:pStyle w:val="17"/>
        <w:spacing w:line="364" w:lineRule="auto"/>
        <w:ind w:right="865" w:firstLine="439"/>
        <w:rPr>
          <w:color w:val="auto"/>
          <w:highlight w:val="none"/>
          <w:lang w:eastAsia="zh-CN"/>
        </w:rPr>
      </w:pPr>
      <w:r>
        <w:rPr>
          <w:rFonts w:hint="eastAsia" w:ascii="Times New Roman" w:hAnsi="Times New Roman"/>
          <w:color w:val="auto"/>
          <w:highlight w:val="none"/>
          <w:lang w:eastAsia="zh-CN"/>
        </w:rPr>
        <w:t>5</w:t>
      </w:r>
      <w:r>
        <w:rPr>
          <w:color w:val="auto"/>
          <w:spacing w:val="-3"/>
          <w:highlight w:val="none"/>
          <w:lang w:eastAsia="zh-CN"/>
        </w:rPr>
        <w:t>、甲方保证在本项目开发建设过程中，合法经营、依法纳税，不会实施违反法律法规的行为或对乙方做出违反法律法规的指令，也不会安排任何交易对乙方完成本项目各项</w:t>
      </w:r>
      <w:r>
        <w:rPr>
          <w:rFonts w:hint="eastAsia"/>
          <w:color w:val="auto"/>
          <w:spacing w:val="-3"/>
          <w:highlight w:val="none"/>
          <w:lang w:eastAsia="zh-CN"/>
        </w:rPr>
        <w:t>开发</w:t>
      </w:r>
      <w:r>
        <w:rPr>
          <w:color w:val="auto"/>
          <w:spacing w:val="-3"/>
          <w:highlight w:val="none"/>
          <w:lang w:eastAsia="zh-CN"/>
        </w:rPr>
        <w:t>管理</w:t>
      </w:r>
      <w:r>
        <w:rPr>
          <w:rFonts w:hint="eastAsia"/>
          <w:color w:val="auto"/>
          <w:spacing w:val="-3"/>
          <w:highlight w:val="none"/>
          <w:lang w:eastAsia="zh-CN"/>
        </w:rPr>
        <w:t>服务</w:t>
      </w:r>
      <w:r>
        <w:rPr>
          <w:color w:val="auto"/>
          <w:spacing w:val="-3"/>
          <w:highlight w:val="none"/>
          <w:lang w:eastAsia="zh-CN"/>
        </w:rPr>
        <w:t>目标产生不利影响。</w:t>
      </w:r>
    </w:p>
    <w:p>
      <w:pPr>
        <w:pStyle w:val="17"/>
        <w:spacing w:line="364" w:lineRule="auto"/>
        <w:ind w:right="975" w:firstLine="439"/>
        <w:rPr>
          <w:color w:val="auto"/>
          <w:highlight w:val="none"/>
          <w:lang w:eastAsia="zh-CN"/>
        </w:rPr>
      </w:pPr>
      <w:r>
        <w:rPr>
          <w:rFonts w:hint="eastAsia" w:ascii="Times New Roman" w:hAnsi="Times New Roman"/>
          <w:color w:val="auto"/>
          <w:highlight w:val="none"/>
          <w:lang w:eastAsia="zh-CN"/>
        </w:rPr>
        <w:t>6</w:t>
      </w:r>
      <w:r>
        <w:rPr>
          <w:color w:val="auto"/>
          <w:highlight w:val="none"/>
          <w:lang w:eastAsia="zh-CN"/>
        </w:rPr>
        <w:t>、甲方同意按照乙方标准工程部及精细化管理相关文件要求，为项目工程部搭建现场临时办公板房、销售中心、办公场所等。</w:t>
      </w:r>
    </w:p>
    <w:p>
      <w:pPr>
        <w:spacing w:line="364" w:lineRule="auto"/>
        <w:ind w:right="1196" w:firstLine="420" w:firstLineChars="200"/>
        <w:rPr>
          <w:color w:val="auto"/>
          <w:highlight w:val="none"/>
          <w:lang w:eastAsia="zh-CN"/>
        </w:rPr>
      </w:pPr>
      <w:r>
        <w:rPr>
          <w:rFonts w:hint="eastAsia" w:ascii="Times New Roman" w:hAnsi="Times New Roman"/>
          <w:color w:val="auto"/>
          <w:highlight w:val="none"/>
          <w:lang w:eastAsia="zh-CN"/>
        </w:rPr>
        <w:t>7</w:t>
      </w:r>
      <w:r>
        <w:rPr>
          <w:color w:val="auto"/>
          <w:highlight w:val="none"/>
          <w:lang w:eastAsia="zh-CN"/>
        </w:rPr>
        <w:t>、甲方保证在项目开发建设过程中，按时、足额拨付项目工作团队薪酬福利。</w:t>
      </w:r>
    </w:p>
    <w:p>
      <w:pPr>
        <w:spacing w:line="364" w:lineRule="auto"/>
        <w:ind w:right="1196" w:firstLine="422" w:firstLineChars="200"/>
        <w:rPr>
          <w:b/>
          <w:color w:val="auto"/>
          <w:highlight w:val="none"/>
          <w:lang w:eastAsia="zh-CN"/>
        </w:rPr>
      </w:pPr>
      <w:r>
        <w:rPr>
          <w:b/>
          <w:color w:val="auto"/>
          <w:highlight w:val="none"/>
          <w:lang w:eastAsia="zh-CN"/>
        </w:rPr>
        <w:t>第十七条 乙方陈述和保证</w:t>
      </w:r>
    </w:p>
    <w:p>
      <w:pPr>
        <w:pStyle w:val="17"/>
        <w:spacing w:line="364" w:lineRule="auto"/>
        <w:ind w:right="975" w:firstLine="439"/>
        <w:rPr>
          <w:color w:val="auto"/>
          <w:highlight w:val="none"/>
          <w:lang w:eastAsia="zh-CN"/>
        </w:rPr>
      </w:pPr>
      <w:r>
        <w:rPr>
          <w:rFonts w:hint="eastAsia" w:ascii="Times New Roman" w:hAnsi="Times New Roman"/>
          <w:color w:val="auto"/>
          <w:highlight w:val="none"/>
          <w:lang w:eastAsia="zh-CN"/>
        </w:rPr>
        <w:t>1</w:t>
      </w:r>
      <w:r>
        <w:rPr>
          <w:color w:val="auto"/>
          <w:highlight w:val="none"/>
          <w:lang w:eastAsia="zh-CN"/>
        </w:rPr>
        <w:t>、乙方系依据中华人民共和国法律合法设立有限责任公司，拥有与本项目开发建设受托管理相适应营业执照和专业技术能力，并且乙方保证在合同期间有效存续。</w:t>
      </w:r>
    </w:p>
    <w:p>
      <w:pPr>
        <w:pStyle w:val="17"/>
        <w:spacing w:line="364" w:lineRule="auto"/>
        <w:ind w:right="865" w:firstLine="439"/>
        <w:rPr>
          <w:color w:val="auto"/>
          <w:highlight w:val="none"/>
          <w:lang w:eastAsia="zh-CN"/>
        </w:rPr>
      </w:pPr>
      <w:r>
        <w:rPr>
          <w:rFonts w:hint="eastAsia" w:ascii="Times New Roman" w:hAnsi="Times New Roman"/>
          <w:color w:val="auto"/>
          <w:highlight w:val="none"/>
          <w:lang w:eastAsia="zh-CN"/>
        </w:rPr>
        <w:t>2</w:t>
      </w:r>
      <w:r>
        <w:rPr>
          <w:color w:val="auto"/>
          <w:spacing w:val="-3"/>
          <w:highlight w:val="none"/>
          <w:lang w:eastAsia="zh-CN"/>
        </w:rPr>
        <w:t>、乙方具备签订和履行本合同的完全、独立的能力，并已就本合同的签订和履行取得充分、有效的授权和许可，并且本合同不违背乙方的公司章程、董事会、股东会决议，以及其他的协议、承诺，不会引发任何利益冲突。</w:t>
      </w:r>
    </w:p>
    <w:p>
      <w:pPr>
        <w:pStyle w:val="17"/>
        <w:spacing w:line="364" w:lineRule="auto"/>
        <w:ind w:right="975" w:firstLine="439"/>
        <w:rPr>
          <w:color w:val="auto"/>
          <w:highlight w:val="none"/>
          <w:lang w:eastAsia="zh-CN"/>
        </w:rPr>
      </w:pPr>
      <w:r>
        <w:rPr>
          <w:rFonts w:hint="eastAsia" w:ascii="Times New Roman" w:hAnsi="Times New Roman"/>
          <w:color w:val="auto"/>
          <w:highlight w:val="none"/>
          <w:lang w:eastAsia="zh-CN"/>
        </w:rPr>
        <w:t>3</w:t>
      </w:r>
      <w:r>
        <w:rPr>
          <w:color w:val="auto"/>
          <w:highlight w:val="none"/>
          <w:lang w:eastAsia="zh-CN"/>
        </w:rPr>
        <w:t>、乙方承诺</w:t>
      </w:r>
      <w:r>
        <w:rPr>
          <w:rFonts w:hint="eastAsia"/>
          <w:color w:val="auto"/>
          <w:highlight w:val="none"/>
          <w:lang w:eastAsia="zh-CN"/>
        </w:rPr>
        <w:t>项目</w:t>
      </w:r>
      <w:r>
        <w:rPr>
          <w:color w:val="auto"/>
          <w:highlight w:val="none"/>
          <w:lang w:eastAsia="zh-CN"/>
        </w:rPr>
        <w:t>取得按本合同约定在本项目使用乙方商标的权利，承诺商标拥有人不会因此向甲方索赔或主张权利，否则因此引起的一切责任和后果由乙方承担。</w:t>
      </w:r>
    </w:p>
    <w:p>
      <w:pPr>
        <w:pStyle w:val="17"/>
        <w:spacing w:line="364" w:lineRule="auto"/>
        <w:ind w:right="865" w:firstLine="439"/>
        <w:rPr>
          <w:color w:val="auto"/>
          <w:sz w:val="32"/>
          <w:highlight w:val="none"/>
          <w:lang w:eastAsia="zh-CN"/>
        </w:rPr>
      </w:pPr>
      <w:r>
        <w:rPr>
          <w:rFonts w:hint="eastAsia" w:ascii="Times New Roman" w:hAnsi="Times New Roman"/>
          <w:color w:val="auto"/>
          <w:highlight w:val="none"/>
          <w:lang w:eastAsia="zh-CN"/>
        </w:rPr>
        <w:t>4</w:t>
      </w:r>
      <w:r>
        <w:rPr>
          <w:color w:val="auto"/>
          <w:spacing w:val="-3"/>
          <w:highlight w:val="none"/>
          <w:lang w:eastAsia="zh-CN"/>
        </w:rPr>
        <w:t>、乙方作为本项目开发建设的管理</w:t>
      </w:r>
      <w:r>
        <w:rPr>
          <w:rFonts w:hint="eastAsia"/>
          <w:color w:val="auto"/>
          <w:spacing w:val="-3"/>
          <w:highlight w:val="none"/>
          <w:lang w:eastAsia="zh-CN"/>
        </w:rPr>
        <w:t>服务</w:t>
      </w:r>
      <w:r>
        <w:rPr>
          <w:color w:val="auto"/>
          <w:spacing w:val="-3"/>
          <w:highlight w:val="none"/>
          <w:lang w:eastAsia="zh-CN"/>
        </w:rPr>
        <w:t>单位，应充分利用专业经验和优势解决本项目开发过程中的各类问题，勤勉、尽责、善管，按照有利于项目整体利益的原则履行合同约定义务，不得损害甲方利益。</w:t>
      </w:r>
    </w:p>
    <w:p>
      <w:pPr>
        <w:spacing w:line="364" w:lineRule="auto"/>
        <w:ind w:left="1260" w:right="3090" w:firstLine="2270"/>
        <w:jc w:val="both"/>
        <w:rPr>
          <w:b/>
          <w:color w:val="auto"/>
          <w:highlight w:val="none"/>
          <w:lang w:eastAsia="zh-CN"/>
        </w:rPr>
      </w:pPr>
      <w:r>
        <w:rPr>
          <w:b/>
          <w:color w:val="auto"/>
          <w:highlight w:val="none"/>
          <w:lang w:eastAsia="zh-CN"/>
        </w:rPr>
        <w:t>第六章 合同的变更、解除和终止</w:t>
      </w:r>
    </w:p>
    <w:p>
      <w:pPr>
        <w:spacing w:line="364" w:lineRule="auto"/>
        <w:ind w:right="3090" w:firstLine="422" w:firstLineChars="200"/>
        <w:rPr>
          <w:color w:val="auto"/>
          <w:highlight w:val="none"/>
          <w:lang w:eastAsia="zh-CN"/>
        </w:rPr>
      </w:pPr>
      <w:r>
        <w:rPr>
          <w:rFonts w:hint="eastAsia"/>
          <w:b/>
          <w:color w:val="auto"/>
          <w:highlight w:val="none"/>
          <w:lang w:eastAsia="zh-CN"/>
        </w:rPr>
        <w:t>第</w:t>
      </w:r>
      <w:r>
        <w:rPr>
          <w:b/>
          <w:color w:val="auto"/>
          <w:highlight w:val="none"/>
          <w:lang w:eastAsia="zh-CN"/>
        </w:rPr>
        <w:t xml:space="preserve">十八条 </w:t>
      </w:r>
      <w:r>
        <w:rPr>
          <w:color w:val="auto"/>
          <w:highlight w:val="none"/>
          <w:lang w:eastAsia="zh-CN"/>
        </w:rPr>
        <w:t>甲乙双方经协商，可以协议变更本合同。</w:t>
      </w:r>
    </w:p>
    <w:p>
      <w:pPr>
        <w:pStyle w:val="17"/>
        <w:spacing w:line="279" w:lineRule="exact"/>
        <w:ind w:firstLine="422" w:firstLineChars="200"/>
        <w:jc w:val="both"/>
        <w:rPr>
          <w:color w:val="auto"/>
          <w:highlight w:val="none"/>
          <w:lang w:eastAsia="zh-CN"/>
        </w:rPr>
      </w:pPr>
      <w:r>
        <w:rPr>
          <w:b/>
          <w:color w:val="auto"/>
          <w:highlight w:val="none"/>
          <w:lang w:eastAsia="zh-CN"/>
        </w:rPr>
        <w:t xml:space="preserve">第十九条 </w:t>
      </w:r>
      <w:r>
        <w:rPr>
          <w:color w:val="auto"/>
          <w:highlight w:val="none"/>
          <w:lang w:eastAsia="zh-CN"/>
        </w:rPr>
        <w:t>甲方有下列行为之一的，乙方有权解除本合同：</w:t>
      </w:r>
    </w:p>
    <w:p>
      <w:pPr>
        <w:pStyle w:val="17"/>
        <w:spacing w:before="148" w:line="364" w:lineRule="auto"/>
        <w:ind w:right="865" w:firstLine="439"/>
        <w:jc w:val="both"/>
        <w:rPr>
          <w:color w:val="auto"/>
          <w:highlight w:val="none"/>
          <w:lang w:eastAsia="zh-CN"/>
        </w:rPr>
      </w:pPr>
      <w:r>
        <w:rPr>
          <w:rFonts w:hint="eastAsia" w:ascii="Times New Roman" w:hAnsi="Times New Roman"/>
          <w:color w:val="auto"/>
          <w:highlight w:val="none"/>
          <w:lang w:eastAsia="zh-CN"/>
        </w:rPr>
        <w:t>1</w:t>
      </w:r>
      <w:r>
        <w:rPr>
          <w:color w:val="auto"/>
          <w:highlight w:val="none"/>
          <w:lang w:eastAsia="zh-CN"/>
        </w:rPr>
        <w:t>、由于甲方未按合同约定履行应尽义务或发生重大争议事项或遭受司法强制措施/ 行政处罚，导致项目无法正常实施的，经乙方向甲方书面形式通知后，甲方在合理期限内仍未予以更正或解决的。</w:t>
      </w:r>
    </w:p>
    <w:p>
      <w:pPr>
        <w:pStyle w:val="17"/>
        <w:spacing w:line="364" w:lineRule="auto"/>
        <w:ind w:right="975" w:firstLine="439"/>
        <w:rPr>
          <w:color w:val="auto"/>
          <w:highlight w:val="none"/>
          <w:lang w:eastAsia="zh-CN"/>
        </w:rPr>
      </w:pPr>
      <w:r>
        <w:rPr>
          <w:rFonts w:hint="eastAsia" w:ascii="Times New Roman" w:hAnsi="Times New Roman"/>
          <w:color w:val="auto"/>
          <w:spacing w:val="-1"/>
          <w:highlight w:val="none"/>
          <w:lang w:eastAsia="zh-CN"/>
        </w:rPr>
        <w:t>2</w:t>
      </w:r>
      <w:r>
        <w:rPr>
          <w:color w:val="auto"/>
          <w:spacing w:val="-3"/>
          <w:highlight w:val="none"/>
          <w:lang w:eastAsia="zh-CN"/>
        </w:rPr>
        <w:t>、甲方未按本合同的约定或超出授权范围使用乙方品牌，经乙方向甲方书面形式通知后，甲方仍未在通知要求的期限内停止该类使用行为或无法消除由此带来的影响的。</w:t>
      </w:r>
    </w:p>
    <w:p>
      <w:pPr>
        <w:pStyle w:val="17"/>
        <w:spacing w:line="281" w:lineRule="exact"/>
        <w:ind w:firstLine="422" w:firstLineChars="200"/>
        <w:rPr>
          <w:color w:val="auto"/>
          <w:highlight w:val="none"/>
          <w:lang w:eastAsia="zh-CN"/>
        </w:rPr>
      </w:pPr>
      <w:r>
        <w:rPr>
          <w:b/>
          <w:color w:val="auto"/>
          <w:highlight w:val="none"/>
          <w:lang w:eastAsia="zh-CN"/>
        </w:rPr>
        <w:t xml:space="preserve">第二十条 </w:t>
      </w:r>
      <w:r>
        <w:rPr>
          <w:color w:val="auto"/>
          <w:highlight w:val="none"/>
          <w:lang w:eastAsia="zh-CN"/>
        </w:rPr>
        <w:t>乙方有下列原因之一的，甲方有权解除本合同：</w:t>
      </w:r>
    </w:p>
    <w:p>
      <w:pPr>
        <w:pStyle w:val="17"/>
        <w:spacing w:line="364" w:lineRule="auto"/>
        <w:ind w:right="975" w:firstLine="439"/>
        <w:rPr>
          <w:color w:val="auto"/>
          <w:spacing w:val="-1"/>
          <w:highlight w:val="none"/>
          <w:lang w:eastAsia="zh-CN"/>
        </w:rPr>
      </w:pPr>
      <w:r>
        <w:rPr>
          <w:rFonts w:hint="eastAsia" w:ascii="Times New Roman" w:hAnsi="Times New Roman"/>
          <w:color w:val="auto"/>
          <w:highlight w:val="none"/>
          <w:lang w:eastAsia="zh-CN"/>
        </w:rPr>
        <w:t>1</w:t>
      </w:r>
      <w:r>
        <w:rPr>
          <w:color w:val="auto"/>
          <w:highlight w:val="none"/>
          <w:lang w:eastAsia="zh-CN"/>
        </w:rPr>
        <w:t>、</w:t>
      </w:r>
      <w:r>
        <w:rPr>
          <w:rFonts w:hint="eastAsia"/>
          <w:color w:val="auto"/>
          <w:highlight w:val="none"/>
          <w:lang w:eastAsia="zh-CN"/>
        </w:rPr>
        <w:t xml:space="preserve">因乙方原因导致项目管理工作不能正常开展，经甲方书面提出意见后，在 </w:t>
      </w:r>
      <w:r>
        <w:rPr>
          <w:rFonts w:hint="eastAsia" w:ascii="Times New Roman" w:hAnsi="Times New Roman"/>
          <w:color w:val="auto"/>
          <w:highlight w:val="none"/>
          <w:lang w:eastAsia="zh-CN"/>
        </w:rPr>
        <w:t>15</w:t>
      </w:r>
      <w:r>
        <w:rPr>
          <w:rFonts w:hint="eastAsia"/>
          <w:color w:val="auto"/>
          <w:highlight w:val="none"/>
          <w:lang w:eastAsia="zh-CN"/>
        </w:rPr>
        <w:t>个工作日内仍未改正的。</w:t>
      </w:r>
    </w:p>
    <w:p>
      <w:pPr>
        <w:pStyle w:val="17"/>
        <w:spacing w:line="364" w:lineRule="auto"/>
        <w:ind w:right="975" w:firstLine="439"/>
        <w:rPr>
          <w:color w:val="auto"/>
          <w:spacing w:val="-1"/>
          <w:highlight w:val="none"/>
          <w:lang w:eastAsia="zh-CN"/>
        </w:rPr>
      </w:pPr>
      <w:r>
        <w:rPr>
          <w:rFonts w:hint="eastAsia" w:ascii="Times New Roman" w:hAnsi="Times New Roman"/>
          <w:color w:val="auto"/>
          <w:spacing w:val="-1"/>
          <w:highlight w:val="none"/>
          <w:lang w:eastAsia="zh-CN"/>
        </w:rPr>
        <w:t>2</w:t>
      </w:r>
      <w:r>
        <w:rPr>
          <w:color w:val="auto"/>
          <w:spacing w:val="-1"/>
          <w:highlight w:val="none"/>
          <w:lang w:eastAsia="zh-CN"/>
        </w:rPr>
        <w:t xml:space="preserve">、乙方违反合同约定，未能履行管理职责，不能及时提供合同约定的主要工作成果，导致项目不能正常开展或者严重延期（超出约定建设周期 </w:t>
      </w:r>
      <w:r>
        <w:rPr>
          <w:rFonts w:hint="eastAsia" w:ascii="Times New Roman" w:hAnsi="Times New Roman"/>
          <w:color w:val="auto"/>
          <w:spacing w:val="-1"/>
          <w:highlight w:val="none"/>
          <w:lang w:eastAsia="zh-CN"/>
        </w:rPr>
        <w:t>3</w:t>
      </w:r>
      <w:r>
        <w:rPr>
          <w:color w:val="auto"/>
          <w:spacing w:val="-1"/>
          <w:highlight w:val="none"/>
          <w:lang w:eastAsia="zh-CN"/>
        </w:rPr>
        <w:t xml:space="preserve"> 个月以上），经甲方书面提出意见后拒绝整改的。</w:t>
      </w:r>
    </w:p>
    <w:p>
      <w:pPr>
        <w:pStyle w:val="17"/>
        <w:spacing w:line="364" w:lineRule="auto"/>
        <w:ind w:right="975" w:firstLine="439"/>
        <w:rPr>
          <w:color w:val="auto"/>
          <w:highlight w:val="none"/>
          <w:lang w:eastAsia="zh-CN"/>
        </w:rPr>
      </w:pPr>
      <w:r>
        <w:rPr>
          <w:rFonts w:hint="eastAsia" w:ascii="Times New Roman" w:hAnsi="Times New Roman"/>
          <w:color w:val="auto"/>
          <w:spacing w:val="-1"/>
          <w:highlight w:val="none"/>
          <w:lang w:eastAsia="zh-CN"/>
        </w:rPr>
        <w:t>3</w:t>
      </w:r>
      <w:r>
        <w:rPr>
          <w:color w:val="auto"/>
          <w:spacing w:val="-1"/>
          <w:highlight w:val="none"/>
          <w:lang w:eastAsia="zh-CN"/>
        </w:rPr>
        <w:t>、因乙方的管理原因导致项目质量与合同不符，经施工单位整改后仍不能够通过</w:t>
      </w:r>
      <w:r>
        <w:rPr>
          <w:color w:val="auto"/>
          <w:highlight w:val="none"/>
          <w:lang w:eastAsia="zh-CN"/>
        </w:rPr>
        <w:t>竣工验收的。</w:t>
      </w:r>
    </w:p>
    <w:p>
      <w:pPr>
        <w:tabs>
          <w:tab w:val="left" w:pos="7420"/>
        </w:tabs>
        <w:spacing w:line="364" w:lineRule="auto"/>
        <w:ind w:right="2298" w:firstLine="420" w:firstLineChars="200"/>
        <w:rPr>
          <w:color w:val="auto"/>
          <w:spacing w:val="-17"/>
          <w:highlight w:val="none"/>
          <w:lang w:eastAsia="zh-CN"/>
        </w:rPr>
      </w:pPr>
      <w:r>
        <w:rPr>
          <w:rFonts w:hint="eastAsia" w:ascii="Times New Roman" w:hAnsi="Times New Roman"/>
          <w:color w:val="auto"/>
          <w:highlight w:val="none"/>
          <w:lang w:eastAsia="zh-CN"/>
        </w:rPr>
        <w:t>4</w:t>
      </w:r>
      <w:r>
        <w:rPr>
          <w:color w:val="auto"/>
          <w:highlight w:val="none"/>
          <w:lang w:eastAsia="zh-CN"/>
        </w:rPr>
        <w:t>、</w:t>
      </w:r>
      <w:r>
        <w:rPr>
          <w:color w:val="auto"/>
          <w:spacing w:val="-3"/>
          <w:highlight w:val="none"/>
          <w:lang w:eastAsia="zh-CN"/>
        </w:rPr>
        <w:t>非</w:t>
      </w:r>
      <w:r>
        <w:rPr>
          <w:color w:val="auto"/>
          <w:highlight w:val="none"/>
          <w:lang w:eastAsia="zh-CN"/>
        </w:rPr>
        <w:t>甲方</w:t>
      </w:r>
      <w:r>
        <w:rPr>
          <w:color w:val="auto"/>
          <w:spacing w:val="-3"/>
          <w:highlight w:val="none"/>
          <w:lang w:eastAsia="zh-CN"/>
        </w:rPr>
        <w:t>原</w:t>
      </w:r>
      <w:r>
        <w:rPr>
          <w:color w:val="auto"/>
          <w:highlight w:val="none"/>
          <w:lang w:eastAsia="zh-CN"/>
        </w:rPr>
        <w:t>因，</w:t>
      </w:r>
      <w:r>
        <w:rPr>
          <w:color w:val="auto"/>
          <w:spacing w:val="-3"/>
          <w:highlight w:val="none"/>
          <w:lang w:eastAsia="zh-CN"/>
        </w:rPr>
        <w:t>乙</w:t>
      </w:r>
      <w:r>
        <w:rPr>
          <w:color w:val="auto"/>
          <w:highlight w:val="none"/>
          <w:lang w:eastAsia="zh-CN"/>
        </w:rPr>
        <w:t>方连</w:t>
      </w:r>
      <w:r>
        <w:rPr>
          <w:color w:val="auto"/>
          <w:spacing w:val="-3"/>
          <w:highlight w:val="none"/>
          <w:lang w:eastAsia="zh-CN"/>
        </w:rPr>
        <w:t>续</w:t>
      </w:r>
      <w:r>
        <w:rPr>
          <w:rFonts w:hint="eastAsia"/>
          <w:color w:val="auto"/>
          <w:highlight w:val="none"/>
          <w:lang w:val="en-US" w:eastAsia="zh-CN"/>
        </w:rPr>
        <w:t>两</w:t>
      </w:r>
      <w:r>
        <w:rPr>
          <w:color w:val="auto"/>
          <w:highlight w:val="none"/>
          <w:lang w:eastAsia="zh-CN"/>
        </w:rPr>
        <w:t>个</w:t>
      </w:r>
      <w:r>
        <w:rPr>
          <w:color w:val="auto"/>
          <w:spacing w:val="-3"/>
          <w:highlight w:val="none"/>
          <w:lang w:eastAsia="zh-CN"/>
        </w:rPr>
        <w:t>季</w:t>
      </w:r>
      <w:r>
        <w:rPr>
          <w:color w:val="auto"/>
          <w:highlight w:val="none"/>
          <w:lang w:eastAsia="zh-CN"/>
        </w:rPr>
        <w:t>度未</w:t>
      </w:r>
      <w:r>
        <w:rPr>
          <w:color w:val="auto"/>
          <w:spacing w:val="-3"/>
          <w:highlight w:val="none"/>
          <w:lang w:eastAsia="zh-CN"/>
        </w:rPr>
        <w:t>能</w:t>
      </w:r>
      <w:r>
        <w:rPr>
          <w:color w:val="auto"/>
          <w:highlight w:val="none"/>
          <w:lang w:eastAsia="zh-CN"/>
        </w:rPr>
        <w:t>完成</w:t>
      </w:r>
      <w:r>
        <w:rPr>
          <w:color w:val="auto"/>
          <w:spacing w:val="-3"/>
          <w:highlight w:val="none"/>
          <w:lang w:eastAsia="zh-CN"/>
        </w:rPr>
        <w:t>当</w:t>
      </w:r>
      <w:r>
        <w:rPr>
          <w:color w:val="auto"/>
          <w:highlight w:val="none"/>
          <w:lang w:eastAsia="zh-CN"/>
        </w:rPr>
        <w:t>季销</w:t>
      </w:r>
      <w:r>
        <w:rPr>
          <w:color w:val="auto"/>
          <w:spacing w:val="-3"/>
          <w:highlight w:val="none"/>
          <w:lang w:eastAsia="zh-CN"/>
        </w:rPr>
        <w:t>售</w:t>
      </w:r>
      <w:r>
        <w:rPr>
          <w:color w:val="auto"/>
          <w:highlight w:val="none"/>
          <w:lang w:eastAsia="zh-CN"/>
        </w:rPr>
        <w:t>计划</w:t>
      </w:r>
      <w:r>
        <w:rPr>
          <w:color w:val="auto"/>
          <w:spacing w:val="-4"/>
          <w:highlight w:val="none"/>
          <w:lang w:eastAsia="zh-CN"/>
        </w:rPr>
        <w:t>的</w:t>
      </w:r>
      <w:r>
        <w:rPr>
          <w:rFonts w:hint="eastAsia" w:ascii="Times New Roman" w:hAnsi="Times New Roman"/>
          <w:color w:val="auto"/>
          <w:spacing w:val="-4"/>
          <w:highlight w:val="none"/>
          <w:u w:val="single"/>
          <w:lang w:eastAsia="zh-CN"/>
        </w:rPr>
        <w:t>80</w:t>
      </w:r>
      <w:r>
        <w:rPr>
          <w:color w:val="auto"/>
          <w:spacing w:val="-3"/>
          <w:highlight w:val="none"/>
          <w:lang w:eastAsia="zh-CN"/>
        </w:rPr>
        <w:t>%</w:t>
      </w:r>
      <w:r>
        <w:rPr>
          <w:color w:val="auto"/>
          <w:spacing w:val="-17"/>
          <w:highlight w:val="none"/>
          <w:lang w:eastAsia="zh-CN"/>
        </w:rPr>
        <w:t>。</w:t>
      </w:r>
    </w:p>
    <w:p>
      <w:pPr>
        <w:pStyle w:val="47"/>
        <w:ind w:firstLine="408" w:firstLineChars="200"/>
        <w:rPr>
          <w:rFonts w:hint="eastAsia" w:ascii="Times New Roman" w:hAnsi="Times New Roman" w:eastAsia="宋体" w:cs="Times New Roman"/>
          <w:b w:val="0"/>
          <w:color w:val="auto"/>
          <w:spacing w:val="-3"/>
          <w:kern w:val="2"/>
          <w:sz w:val="21"/>
          <w:szCs w:val="22"/>
          <w:highlight w:val="none"/>
          <w:lang w:val="en-US" w:eastAsia="zh-CN" w:bidi="ar-SA"/>
        </w:rPr>
      </w:pPr>
      <w:r>
        <w:rPr>
          <w:rFonts w:hint="eastAsia" w:ascii="Times New Roman" w:hAnsi="Times New Roman" w:cs="Times New Roman"/>
          <w:b w:val="0"/>
          <w:color w:val="auto"/>
          <w:spacing w:val="-3"/>
          <w:kern w:val="2"/>
          <w:sz w:val="21"/>
          <w:szCs w:val="22"/>
          <w:highlight w:val="none"/>
          <w:lang w:val="en-US" w:eastAsia="zh-CN" w:bidi="ar-SA"/>
        </w:rPr>
        <w:t>5</w:t>
      </w:r>
      <w:r>
        <w:rPr>
          <w:rFonts w:hint="eastAsia" w:ascii="Times New Roman" w:hAnsi="Times New Roman" w:eastAsia="宋体" w:cs="Times New Roman"/>
          <w:b w:val="0"/>
          <w:color w:val="auto"/>
          <w:spacing w:val="-3"/>
          <w:kern w:val="2"/>
          <w:sz w:val="21"/>
          <w:szCs w:val="22"/>
          <w:highlight w:val="none"/>
          <w:lang w:val="en-US" w:eastAsia="zh-CN" w:bidi="ar-SA"/>
        </w:rPr>
        <w:t>、在项目建设过程中，乙方擅自严重违反法律强制性、禁止性规定</w:t>
      </w:r>
      <w:r>
        <w:rPr>
          <w:rFonts w:hint="eastAsia" w:cs="Times New Roman"/>
          <w:b w:val="0"/>
          <w:color w:val="auto"/>
          <w:spacing w:val="-3"/>
          <w:kern w:val="2"/>
          <w:sz w:val="21"/>
          <w:szCs w:val="22"/>
          <w:highlight w:val="none"/>
          <w:lang w:val="en-US" w:eastAsia="zh-CN" w:bidi="ar-SA"/>
        </w:rPr>
        <w:t>的</w:t>
      </w:r>
      <w:r>
        <w:rPr>
          <w:rFonts w:hint="eastAsia" w:ascii="Times New Roman" w:hAnsi="Times New Roman" w:eastAsia="宋体" w:cs="Times New Roman"/>
          <w:b w:val="0"/>
          <w:color w:val="auto"/>
          <w:spacing w:val="-3"/>
          <w:kern w:val="2"/>
          <w:sz w:val="21"/>
          <w:szCs w:val="22"/>
          <w:highlight w:val="none"/>
          <w:lang w:val="en-US" w:eastAsia="zh-CN" w:bidi="ar-SA"/>
        </w:rPr>
        <w:t>。</w:t>
      </w:r>
    </w:p>
    <w:p>
      <w:pPr>
        <w:tabs>
          <w:tab w:val="left" w:pos="7420"/>
        </w:tabs>
        <w:spacing w:line="364" w:lineRule="auto"/>
        <w:ind w:right="2298" w:firstLine="422" w:firstLineChars="200"/>
        <w:rPr>
          <w:b/>
          <w:color w:val="auto"/>
          <w:highlight w:val="none"/>
          <w:lang w:eastAsia="zh-CN"/>
        </w:rPr>
      </w:pPr>
      <w:r>
        <w:rPr>
          <w:b/>
          <w:color w:val="auto"/>
          <w:highlight w:val="none"/>
          <w:lang w:eastAsia="zh-CN"/>
        </w:rPr>
        <w:t>第二十一条</w:t>
      </w:r>
      <w:r>
        <w:rPr>
          <w:b/>
          <w:color w:val="auto"/>
          <w:spacing w:val="-2"/>
          <w:highlight w:val="none"/>
          <w:lang w:eastAsia="zh-CN"/>
        </w:rPr>
        <w:t xml:space="preserve"> </w:t>
      </w:r>
      <w:r>
        <w:rPr>
          <w:b/>
          <w:color w:val="auto"/>
          <w:highlight w:val="none"/>
          <w:lang w:eastAsia="zh-CN"/>
        </w:rPr>
        <w:t>解除合同的程序</w:t>
      </w:r>
    </w:p>
    <w:p>
      <w:pPr>
        <w:pStyle w:val="17"/>
        <w:spacing w:line="364" w:lineRule="auto"/>
        <w:ind w:right="975" w:firstLine="439"/>
        <w:rPr>
          <w:color w:val="auto"/>
          <w:highlight w:val="none"/>
          <w:lang w:eastAsia="zh-CN"/>
        </w:rPr>
      </w:pPr>
      <w:r>
        <w:rPr>
          <w:rFonts w:hint="eastAsia" w:ascii="Times New Roman" w:hAnsi="Times New Roman"/>
          <w:color w:val="auto"/>
          <w:highlight w:val="none"/>
          <w:lang w:eastAsia="zh-CN"/>
        </w:rPr>
        <w:t>1</w:t>
      </w:r>
      <w:r>
        <w:rPr>
          <w:color w:val="auto"/>
          <w:highlight w:val="none"/>
          <w:lang w:eastAsia="zh-CN"/>
        </w:rPr>
        <w:t>、在本合同履行过程中，发生约定解除事由的，享有解除权的一方如决定解除本合同，则应以书面方式通知另一方，本合同自书面通知送达之日起解除。</w:t>
      </w:r>
    </w:p>
    <w:p>
      <w:pPr>
        <w:pStyle w:val="17"/>
        <w:spacing w:line="364" w:lineRule="auto"/>
        <w:ind w:right="867" w:firstLine="439"/>
        <w:rPr>
          <w:color w:val="auto"/>
          <w:highlight w:val="none"/>
          <w:lang w:eastAsia="zh-CN"/>
        </w:rPr>
      </w:pPr>
      <w:r>
        <w:rPr>
          <w:rFonts w:hint="eastAsia" w:ascii="Times New Roman" w:hAnsi="Times New Roman"/>
          <w:color w:val="auto"/>
          <w:highlight w:val="none"/>
          <w:lang w:eastAsia="zh-CN"/>
        </w:rPr>
        <w:t>2</w:t>
      </w:r>
      <w:r>
        <w:rPr>
          <w:color w:val="auto"/>
          <w:spacing w:val="-3"/>
          <w:highlight w:val="none"/>
          <w:lang w:eastAsia="zh-CN"/>
        </w:rPr>
        <w:t>、由于乙方已许可项目使用乙方品牌，为避免损害业主利益和乙方品牌形象，甲</w:t>
      </w:r>
      <w:r>
        <w:rPr>
          <w:color w:val="auto"/>
          <w:spacing w:val="-7"/>
          <w:highlight w:val="none"/>
          <w:lang w:eastAsia="zh-CN"/>
        </w:rPr>
        <w:t xml:space="preserve">乙双方均自愿放弃《民法典》第 </w:t>
      </w:r>
      <w:r>
        <w:rPr>
          <w:rFonts w:hint="eastAsia" w:ascii="Times New Roman" w:hAnsi="Times New Roman"/>
          <w:color w:val="auto"/>
          <w:highlight w:val="none"/>
          <w:lang w:eastAsia="zh-CN"/>
        </w:rPr>
        <w:t>933</w:t>
      </w:r>
      <w:r>
        <w:rPr>
          <w:color w:val="auto"/>
          <w:spacing w:val="-9"/>
          <w:highlight w:val="none"/>
          <w:lang w:eastAsia="zh-CN"/>
        </w:rPr>
        <w:t xml:space="preserve"> 条规定的任意解除权，均不得根据该条规定解除合</w:t>
      </w:r>
      <w:r>
        <w:rPr>
          <w:color w:val="auto"/>
          <w:spacing w:val="-3"/>
          <w:highlight w:val="none"/>
          <w:lang w:eastAsia="zh-CN"/>
        </w:rPr>
        <w:t>同，否则应按本合同约定承担违约责任。</w:t>
      </w:r>
    </w:p>
    <w:p>
      <w:pPr>
        <w:pStyle w:val="13"/>
        <w:spacing w:line="281" w:lineRule="exact"/>
        <w:ind w:left="0" w:leftChars="0" w:firstLine="422" w:firstLineChars="200"/>
        <w:rPr>
          <w:color w:val="auto"/>
          <w:highlight w:val="none"/>
          <w:lang w:eastAsia="zh-CN"/>
        </w:rPr>
      </w:pPr>
      <w:r>
        <w:rPr>
          <w:color w:val="auto"/>
          <w:highlight w:val="none"/>
          <w:lang w:eastAsia="zh-CN"/>
        </w:rPr>
        <w:t>第二十二条 合同终止及后续事项</w:t>
      </w:r>
    </w:p>
    <w:p>
      <w:pPr>
        <w:pStyle w:val="17"/>
        <w:spacing w:line="364" w:lineRule="auto"/>
        <w:ind w:right="975" w:firstLine="439"/>
        <w:rPr>
          <w:color w:val="auto"/>
          <w:highlight w:val="none"/>
          <w:lang w:eastAsia="zh-CN"/>
        </w:rPr>
      </w:pPr>
      <w:r>
        <w:rPr>
          <w:rFonts w:hint="eastAsia" w:ascii="Times New Roman" w:hAnsi="Times New Roman"/>
          <w:color w:val="auto"/>
          <w:highlight w:val="none"/>
          <w:lang w:eastAsia="zh-CN"/>
        </w:rPr>
        <w:t>1</w:t>
      </w:r>
      <w:r>
        <w:rPr>
          <w:color w:val="auto"/>
          <w:highlight w:val="none"/>
          <w:lang w:eastAsia="zh-CN"/>
        </w:rPr>
        <w:t>、服务期届满或者本合同因任何原因被解除的，则本合同自动终止。</w:t>
      </w:r>
    </w:p>
    <w:p>
      <w:pPr>
        <w:pStyle w:val="17"/>
        <w:spacing w:line="364" w:lineRule="auto"/>
        <w:ind w:right="975" w:firstLine="439"/>
        <w:rPr>
          <w:color w:val="auto"/>
          <w:highlight w:val="none"/>
          <w:lang w:eastAsia="zh-CN"/>
        </w:rPr>
      </w:pPr>
      <w:r>
        <w:rPr>
          <w:rFonts w:hint="eastAsia" w:ascii="Times New Roman" w:hAnsi="Times New Roman"/>
          <w:color w:val="auto"/>
          <w:highlight w:val="none"/>
          <w:lang w:eastAsia="zh-CN"/>
        </w:rPr>
        <w:t>2</w:t>
      </w:r>
      <w:r>
        <w:rPr>
          <w:color w:val="auto"/>
          <w:highlight w:val="none"/>
          <w:lang w:eastAsia="zh-CN"/>
        </w:rPr>
        <w:t>、本合同终止后的相关事项，按如下约定处理：</w:t>
      </w:r>
    </w:p>
    <w:p>
      <w:pPr>
        <w:pStyle w:val="17"/>
        <w:spacing w:line="364" w:lineRule="auto"/>
        <w:ind w:right="975" w:firstLine="439"/>
        <w:rPr>
          <w:color w:val="auto"/>
          <w:highlight w:val="none"/>
          <w:lang w:eastAsia="zh-CN"/>
        </w:rPr>
      </w:pPr>
      <w:r>
        <w:rPr>
          <w:rFonts w:hint="default"/>
          <w:color w:val="auto"/>
          <w:highlight w:val="none"/>
          <w:lang w:val="en-US" w:eastAsia="zh-CN"/>
        </w:rPr>
        <w:t>（</w:t>
      </w:r>
      <w:r>
        <w:rPr>
          <w:rFonts w:hint="eastAsia" w:ascii="Times New Roman" w:hAnsi="Times New Roman"/>
          <w:color w:val="auto"/>
          <w:highlight w:val="none"/>
          <w:lang w:val="en-US" w:eastAsia="zh-CN"/>
        </w:rPr>
        <w:t>1</w:t>
      </w:r>
      <w:r>
        <w:rPr>
          <w:rFonts w:hint="default"/>
          <w:color w:val="auto"/>
          <w:highlight w:val="none"/>
          <w:lang w:val="en-US" w:eastAsia="zh-CN"/>
        </w:rPr>
        <w:t>）</w:t>
      </w:r>
      <w:r>
        <w:rPr>
          <w:color w:val="auto"/>
          <w:highlight w:val="none"/>
          <w:lang w:eastAsia="zh-CN"/>
        </w:rPr>
        <w:t>除双方另有约定外，乙方不再履行本合同项下的项目</w:t>
      </w:r>
      <w:r>
        <w:rPr>
          <w:rFonts w:hint="eastAsia"/>
          <w:color w:val="auto"/>
          <w:highlight w:val="none"/>
          <w:lang w:eastAsia="zh-CN"/>
        </w:rPr>
        <w:t>开发</w:t>
      </w:r>
      <w:r>
        <w:rPr>
          <w:color w:val="auto"/>
          <w:highlight w:val="none"/>
          <w:lang w:eastAsia="zh-CN"/>
        </w:rPr>
        <w:t>管理义务，除保留必要的工作交接人员外，乙方有权随时撤回其余管理团队成员。</w:t>
      </w:r>
    </w:p>
    <w:p>
      <w:pPr>
        <w:pStyle w:val="17"/>
        <w:spacing w:line="364" w:lineRule="auto"/>
        <w:ind w:right="975" w:firstLine="439"/>
        <w:rPr>
          <w:color w:val="auto"/>
          <w:highlight w:val="none"/>
          <w:lang w:eastAsia="zh-CN"/>
        </w:rPr>
      </w:pPr>
      <w:r>
        <w:rPr>
          <w:rFonts w:hint="default"/>
          <w:color w:val="auto"/>
          <w:highlight w:val="none"/>
          <w:lang w:val="en-US" w:eastAsia="zh-CN"/>
        </w:rPr>
        <w:t>（</w:t>
      </w:r>
      <w:r>
        <w:rPr>
          <w:rFonts w:hint="eastAsia" w:ascii="Times New Roman" w:hAnsi="Times New Roman"/>
          <w:color w:val="auto"/>
          <w:highlight w:val="none"/>
          <w:lang w:val="en-US" w:eastAsia="zh-CN"/>
        </w:rPr>
        <w:t>2</w:t>
      </w:r>
      <w:r>
        <w:rPr>
          <w:rFonts w:hint="default"/>
          <w:color w:val="auto"/>
          <w:highlight w:val="none"/>
          <w:lang w:val="en-US" w:eastAsia="zh-CN"/>
        </w:rPr>
        <w:t>）</w:t>
      </w:r>
      <w:r>
        <w:rPr>
          <w:color w:val="auto"/>
          <w:highlight w:val="none"/>
          <w:lang w:eastAsia="zh-CN"/>
        </w:rPr>
        <w:t>除双方另有约定外，合同中关于双方违约责任、合同终止的相关约定仍然有效。</w:t>
      </w:r>
    </w:p>
    <w:p>
      <w:pPr>
        <w:pStyle w:val="17"/>
        <w:spacing w:line="364" w:lineRule="auto"/>
        <w:ind w:right="975" w:firstLine="439"/>
        <w:rPr>
          <w:color w:val="auto"/>
          <w:highlight w:val="none"/>
          <w:lang w:eastAsia="zh-CN"/>
        </w:rPr>
      </w:pPr>
      <w:r>
        <w:rPr>
          <w:color w:val="auto"/>
          <w:highlight w:val="none"/>
          <w:lang w:eastAsia="zh-CN"/>
        </w:rPr>
        <w:t>合同解除后，甲乙双方应按本合同约定完成</w:t>
      </w:r>
      <w:r>
        <w:rPr>
          <w:rFonts w:hint="eastAsia"/>
          <w:color w:val="auto"/>
          <w:highlight w:val="none"/>
          <w:lang w:eastAsia="zh-CN"/>
        </w:rPr>
        <w:t>开发</w:t>
      </w:r>
      <w:r>
        <w:rPr>
          <w:color w:val="auto"/>
          <w:highlight w:val="none"/>
          <w:lang w:eastAsia="zh-CN"/>
        </w:rPr>
        <w:t>管理</w:t>
      </w:r>
      <w:r>
        <w:rPr>
          <w:rFonts w:hint="eastAsia"/>
          <w:color w:val="auto"/>
          <w:highlight w:val="none"/>
          <w:lang w:eastAsia="zh-CN"/>
        </w:rPr>
        <w:t>服务</w:t>
      </w:r>
      <w:r>
        <w:rPr>
          <w:color w:val="auto"/>
          <w:highlight w:val="none"/>
          <w:lang w:eastAsia="zh-CN"/>
        </w:rPr>
        <w:t>相关费用的结算。在完成结算后，甲方将剩余应付的</w:t>
      </w:r>
      <w:r>
        <w:rPr>
          <w:rFonts w:hint="eastAsia"/>
          <w:color w:val="auto"/>
          <w:highlight w:val="none"/>
          <w:lang w:eastAsia="zh-CN"/>
        </w:rPr>
        <w:t>开发管理</w:t>
      </w:r>
      <w:r>
        <w:rPr>
          <w:color w:val="auto"/>
          <w:highlight w:val="none"/>
          <w:lang w:eastAsia="zh-CN"/>
        </w:rPr>
        <w:t>相关费用并增加（即甲方违约的情况）或扣减（即乙方违约的情况）违约金、损害赔偿金（如有）后支付给乙方。如剩余应付费用不足抵扣的，甲方有权向乙方继续追偿。</w:t>
      </w:r>
    </w:p>
    <w:p>
      <w:pPr>
        <w:pStyle w:val="13"/>
        <w:ind w:left="0" w:leftChars="0" w:firstLine="422" w:firstLineChars="200"/>
        <w:rPr>
          <w:color w:val="auto"/>
          <w:highlight w:val="none"/>
          <w:lang w:eastAsia="zh-CN"/>
        </w:rPr>
      </w:pPr>
      <w:r>
        <w:rPr>
          <w:color w:val="auto"/>
          <w:highlight w:val="none"/>
          <w:lang w:eastAsia="zh-CN"/>
        </w:rPr>
        <w:t>第二十三条 中止履行</w:t>
      </w:r>
    </w:p>
    <w:p>
      <w:pPr>
        <w:pStyle w:val="17"/>
        <w:spacing w:before="140" w:line="364" w:lineRule="auto"/>
        <w:ind w:right="865" w:firstLine="439"/>
        <w:rPr>
          <w:color w:val="auto"/>
          <w:highlight w:val="none"/>
          <w:lang w:eastAsia="zh-CN"/>
        </w:rPr>
      </w:pPr>
      <w:r>
        <w:rPr>
          <w:color w:val="auto"/>
          <w:spacing w:val="-3"/>
          <w:highlight w:val="none"/>
          <w:lang w:eastAsia="zh-CN"/>
        </w:rPr>
        <w:t>如甲方未能按本合同约定及时、足额支付</w:t>
      </w:r>
      <w:r>
        <w:rPr>
          <w:rFonts w:hint="eastAsia"/>
          <w:color w:val="auto"/>
          <w:spacing w:val="-3"/>
          <w:highlight w:val="none"/>
          <w:lang w:eastAsia="zh-CN"/>
        </w:rPr>
        <w:t>开发</w:t>
      </w:r>
      <w:r>
        <w:rPr>
          <w:color w:val="auto"/>
          <w:spacing w:val="-3"/>
          <w:highlight w:val="none"/>
          <w:lang w:eastAsia="zh-CN"/>
        </w:rPr>
        <w:t>管理</w:t>
      </w:r>
      <w:r>
        <w:rPr>
          <w:rFonts w:hint="eastAsia"/>
          <w:color w:val="auto"/>
          <w:spacing w:val="-3"/>
          <w:highlight w:val="none"/>
          <w:lang w:eastAsia="zh-CN"/>
        </w:rPr>
        <w:t>服务</w:t>
      </w:r>
      <w:r>
        <w:rPr>
          <w:color w:val="auto"/>
          <w:spacing w:val="-3"/>
          <w:highlight w:val="none"/>
          <w:lang w:eastAsia="zh-CN"/>
        </w:rPr>
        <w:t>相关费用，逾期超过【</w:t>
      </w:r>
      <w:r>
        <w:rPr>
          <w:rFonts w:hint="eastAsia" w:ascii="Times New Roman" w:hAnsi="Times New Roman"/>
          <w:color w:val="auto"/>
          <w:highlight w:val="none"/>
          <w:lang w:eastAsia="zh-CN"/>
        </w:rPr>
        <w:t>60</w:t>
      </w:r>
      <w:r>
        <w:rPr>
          <w:color w:val="auto"/>
          <w:highlight w:val="none"/>
          <w:lang w:eastAsia="zh-CN"/>
        </w:rPr>
        <w:t xml:space="preserve">】日 </w:t>
      </w:r>
      <w:r>
        <w:rPr>
          <w:color w:val="auto"/>
          <w:spacing w:val="-3"/>
          <w:highlight w:val="none"/>
          <w:lang w:eastAsia="zh-CN"/>
        </w:rPr>
        <w:t>的，乙方有权选择中止履行本合同，暂时撤离其委派的项目管理团队，直至甲方完全纠正上述违约行为或双方另行达成一致意见，在此期间，由于管理团队撤离造成的工期延误、其他管理不到位以及发生经济损失的，相应的责任全部由甲方自行承担，与乙方无关。同时，乙方在中止履行本合同后仍有权根据本合同约定解除合同。</w:t>
      </w:r>
    </w:p>
    <w:p>
      <w:pPr>
        <w:pStyle w:val="13"/>
        <w:spacing w:line="280" w:lineRule="exact"/>
        <w:ind w:left="0" w:leftChars="0" w:firstLine="422" w:firstLineChars="200"/>
        <w:rPr>
          <w:color w:val="auto"/>
          <w:highlight w:val="none"/>
          <w:lang w:eastAsia="zh-CN"/>
        </w:rPr>
      </w:pPr>
      <w:r>
        <w:rPr>
          <w:color w:val="auto"/>
          <w:highlight w:val="none"/>
          <w:lang w:eastAsia="zh-CN"/>
        </w:rPr>
        <w:t>第二十四条 项目停建或缓建</w:t>
      </w:r>
    </w:p>
    <w:p>
      <w:pPr>
        <w:pStyle w:val="17"/>
        <w:spacing w:before="140" w:line="364" w:lineRule="auto"/>
        <w:ind w:right="865" w:firstLine="439"/>
        <w:rPr>
          <w:color w:val="auto"/>
          <w:spacing w:val="-3"/>
          <w:highlight w:val="none"/>
          <w:lang w:eastAsia="zh-CN"/>
        </w:rPr>
      </w:pPr>
      <w:r>
        <w:rPr>
          <w:rFonts w:hint="eastAsia" w:ascii="Times New Roman" w:hAnsi="Times New Roman"/>
          <w:color w:val="auto"/>
          <w:spacing w:val="-3"/>
          <w:highlight w:val="none"/>
          <w:lang w:eastAsia="zh-CN"/>
        </w:rPr>
        <w:t>1</w:t>
      </w:r>
      <w:r>
        <w:rPr>
          <w:color w:val="auto"/>
          <w:spacing w:val="-3"/>
          <w:highlight w:val="none"/>
          <w:lang w:eastAsia="zh-CN"/>
        </w:rPr>
        <w:t>、当甲方终止或中断项目开发或乙方被通知无限期停止工作且时间持续超过【</w:t>
      </w:r>
      <w:r>
        <w:rPr>
          <w:rFonts w:hint="eastAsia" w:ascii="Times New Roman" w:hAnsi="Times New Roman"/>
          <w:color w:val="auto"/>
          <w:spacing w:val="-3"/>
          <w:highlight w:val="none"/>
          <w:lang w:eastAsia="zh-CN"/>
        </w:rPr>
        <w:t>6</w:t>
      </w:r>
      <w:r>
        <w:rPr>
          <w:color w:val="auto"/>
          <w:spacing w:val="-3"/>
          <w:highlight w:val="none"/>
          <w:lang w:eastAsia="zh-CN"/>
        </w:rPr>
        <w:t>个月】时，则视为项目“停建”。项目停建时，乙方有权解除合同，甲方应支付乙方截至乙方人员退场之日止</w:t>
      </w:r>
      <w:r>
        <w:rPr>
          <w:rFonts w:hint="eastAsia"/>
          <w:color w:val="auto"/>
          <w:spacing w:val="-3"/>
          <w:highlight w:val="none"/>
          <w:lang w:eastAsia="zh-CN"/>
        </w:rPr>
        <w:t>实际聘用</w:t>
      </w:r>
      <w:r>
        <w:rPr>
          <w:color w:val="auto"/>
          <w:spacing w:val="-3"/>
          <w:highlight w:val="none"/>
          <w:lang w:eastAsia="zh-CN"/>
        </w:rPr>
        <w:t xml:space="preserve">人员薪酬福利，并按本合同第二十五条第 </w:t>
      </w:r>
      <w:r>
        <w:rPr>
          <w:rFonts w:hint="eastAsia" w:ascii="Times New Roman" w:hAnsi="Times New Roman"/>
          <w:color w:val="auto"/>
          <w:spacing w:val="-3"/>
          <w:highlight w:val="none"/>
          <w:lang w:eastAsia="zh-CN"/>
        </w:rPr>
        <w:t>4</w:t>
      </w:r>
      <w:r>
        <w:rPr>
          <w:color w:val="auto"/>
          <w:spacing w:val="-3"/>
          <w:highlight w:val="none"/>
          <w:lang w:eastAsia="zh-CN"/>
        </w:rPr>
        <w:t xml:space="preserve"> 款。</w:t>
      </w:r>
    </w:p>
    <w:p>
      <w:pPr>
        <w:pStyle w:val="17"/>
        <w:spacing w:before="140" w:line="364" w:lineRule="auto"/>
        <w:ind w:right="865" w:firstLine="439"/>
        <w:rPr>
          <w:color w:val="auto"/>
          <w:highlight w:val="none"/>
          <w:lang w:eastAsia="zh-CN"/>
        </w:rPr>
      </w:pPr>
      <w:r>
        <w:rPr>
          <w:rFonts w:hint="eastAsia" w:ascii="Times New Roman" w:hAnsi="Times New Roman"/>
          <w:color w:val="auto"/>
          <w:spacing w:val="-3"/>
          <w:highlight w:val="none"/>
          <w:lang w:eastAsia="zh-CN"/>
        </w:rPr>
        <w:t>2</w:t>
      </w:r>
      <w:r>
        <w:rPr>
          <w:color w:val="auto"/>
          <w:spacing w:val="-3"/>
          <w:highlight w:val="none"/>
          <w:lang w:eastAsia="zh-CN"/>
        </w:rPr>
        <w:t>、当中断开发的项目于【</w:t>
      </w:r>
      <w:r>
        <w:rPr>
          <w:rFonts w:hint="eastAsia" w:ascii="Times New Roman" w:hAnsi="Times New Roman"/>
          <w:color w:val="auto"/>
          <w:spacing w:val="-3"/>
          <w:highlight w:val="none"/>
          <w:lang w:eastAsia="zh-CN"/>
        </w:rPr>
        <w:t>6</w:t>
      </w:r>
      <w:r>
        <w:rPr>
          <w:color w:val="auto"/>
          <w:spacing w:val="-3"/>
          <w:highlight w:val="none"/>
          <w:lang w:eastAsia="zh-CN"/>
        </w:rPr>
        <w:t xml:space="preserve"> 个月】内恢复进行</w:t>
      </w:r>
      <w:r>
        <w:rPr>
          <w:color w:val="auto"/>
          <w:highlight w:val="none"/>
          <w:lang w:eastAsia="zh-CN"/>
        </w:rPr>
        <w:t>，无重大修改，则视为项目“缓建”，此时双方应继续履行本合同。乙方需继续依据合同条件开展所有工作。缓建期间乙方委派人员薪酬福利正常发放。</w:t>
      </w:r>
    </w:p>
    <w:p>
      <w:pPr>
        <w:pStyle w:val="17"/>
        <w:spacing w:line="364" w:lineRule="auto"/>
        <w:ind w:right="975" w:firstLine="439"/>
        <w:rPr>
          <w:color w:val="auto"/>
          <w:highlight w:val="none"/>
          <w:lang w:eastAsia="zh-CN"/>
        </w:rPr>
      </w:pPr>
      <w:r>
        <w:rPr>
          <w:rFonts w:hint="eastAsia" w:ascii="Times New Roman" w:hAnsi="Times New Roman"/>
          <w:color w:val="auto"/>
          <w:highlight w:val="none"/>
          <w:lang w:eastAsia="zh-CN"/>
        </w:rPr>
        <w:t>3</w:t>
      </w:r>
      <w:r>
        <w:rPr>
          <w:color w:val="auto"/>
          <w:highlight w:val="none"/>
          <w:lang w:eastAsia="zh-CN"/>
        </w:rPr>
        <w:t>、由于非乙方原因导致的项目停建或缓建，停建缓建期间的委派人员基本费用由甲方另行向乙方支付，停建的情况下甲方应支付的管理费用计算至甲方通知乙方的所有人员退场之日为止。</w:t>
      </w:r>
    </w:p>
    <w:p>
      <w:pPr>
        <w:pStyle w:val="17"/>
        <w:spacing w:line="364" w:lineRule="auto"/>
        <w:ind w:right="975" w:firstLine="439"/>
        <w:rPr>
          <w:color w:val="auto"/>
          <w:highlight w:val="none"/>
          <w:lang w:eastAsia="zh-CN"/>
        </w:rPr>
      </w:pPr>
      <w:r>
        <w:rPr>
          <w:rFonts w:hint="eastAsia" w:ascii="Times New Roman" w:hAnsi="Times New Roman"/>
          <w:color w:val="auto"/>
          <w:highlight w:val="none"/>
          <w:lang w:eastAsia="zh-CN"/>
        </w:rPr>
        <w:t>4</w:t>
      </w:r>
      <w:r>
        <w:rPr>
          <w:rFonts w:hint="eastAsia"/>
          <w:color w:val="auto"/>
          <w:highlight w:val="none"/>
          <w:lang w:eastAsia="zh-CN"/>
        </w:rPr>
        <w:t>、由乙方原因导致的项目停建或缓建，乙方应赔偿由此对甲方带来损失，并扣除履约保证金。</w:t>
      </w:r>
    </w:p>
    <w:p>
      <w:pPr>
        <w:pStyle w:val="17"/>
        <w:spacing w:before="9"/>
        <w:ind w:left="0"/>
        <w:rPr>
          <w:color w:val="auto"/>
          <w:sz w:val="27"/>
          <w:highlight w:val="none"/>
          <w:lang w:eastAsia="zh-CN"/>
        </w:rPr>
      </w:pPr>
    </w:p>
    <w:p>
      <w:pPr>
        <w:pStyle w:val="13"/>
        <w:tabs>
          <w:tab w:val="left" w:pos="1441"/>
        </w:tabs>
        <w:spacing w:before="70"/>
        <w:ind w:left="440"/>
        <w:jc w:val="center"/>
        <w:rPr>
          <w:color w:val="auto"/>
          <w:highlight w:val="none"/>
          <w:lang w:eastAsia="zh-CN"/>
        </w:rPr>
      </w:pPr>
      <w:r>
        <w:rPr>
          <w:color w:val="auto"/>
          <w:highlight w:val="none"/>
          <w:lang w:eastAsia="zh-CN"/>
        </w:rPr>
        <w:t>第七章</w:t>
      </w:r>
      <w:r>
        <w:rPr>
          <w:color w:val="auto"/>
          <w:highlight w:val="none"/>
          <w:lang w:eastAsia="zh-CN"/>
        </w:rPr>
        <w:tab/>
      </w:r>
      <w:bookmarkStart w:id="144" w:name="第七章违约责任"/>
      <w:bookmarkEnd w:id="144"/>
      <w:r>
        <w:rPr>
          <w:color w:val="auto"/>
          <w:highlight w:val="none"/>
          <w:lang w:eastAsia="zh-CN"/>
        </w:rPr>
        <w:t>违约责任</w:t>
      </w:r>
    </w:p>
    <w:p>
      <w:pPr>
        <w:pStyle w:val="13"/>
        <w:spacing w:before="145"/>
        <w:ind w:left="0" w:leftChars="0" w:firstLine="422" w:firstLineChars="200"/>
        <w:rPr>
          <w:color w:val="auto"/>
          <w:highlight w:val="none"/>
          <w:lang w:eastAsia="zh-CN"/>
        </w:rPr>
      </w:pPr>
      <w:r>
        <w:rPr>
          <w:color w:val="auto"/>
          <w:highlight w:val="none"/>
          <w:lang w:eastAsia="zh-CN"/>
        </w:rPr>
        <w:t>第二十五条 甲方违约责任</w:t>
      </w:r>
    </w:p>
    <w:p>
      <w:pPr>
        <w:pStyle w:val="17"/>
        <w:spacing w:line="364" w:lineRule="auto"/>
        <w:ind w:right="975" w:firstLine="439"/>
        <w:rPr>
          <w:color w:val="auto"/>
          <w:highlight w:val="none"/>
          <w:lang w:eastAsia="zh-CN"/>
        </w:rPr>
      </w:pPr>
      <w:r>
        <w:rPr>
          <w:rFonts w:hint="eastAsia" w:ascii="Times New Roman" w:hAnsi="Times New Roman"/>
          <w:color w:val="auto"/>
          <w:highlight w:val="none"/>
          <w:lang w:eastAsia="zh-CN"/>
        </w:rPr>
        <w:t>1</w:t>
      </w:r>
      <w:r>
        <w:rPr>
          <w:color w:val="auto"/>
          <w:highlight w:val="none"/>
          <w:lang w:eastAsia="zh-CN"/>
        </w:rPr>
        <w:t xml:space="preserve">、甲方未能按约定向乙方支付的任何服务费用，逾期在 </w:t>
      </w:r>
      <w:r>
        <w:rPr>
          <w:rFonts w:hint="eastAsia" w:ascii="Times New Roman" w:hAnsi="Times New Roman"/>
          <w:color w:val="auto"/>
          <w:highlight w:val="none"/>
          <w:lang w:eastAsia="zh-CN"/>
        </w:rPr>
        <w:t>60</w:t>
      </w:r>
      <w:r>
        <w:rPr>
          <w:color w:val="auto"/>
          <w:highlight w:val="none"/>
          <w:lang w:eastAsia="zh-CN"/>
        </w:rPr>
        <w:t xml:space="preserve"> 天内的，不向乙方支付违约金；逾期超过 </w:t>
      </w:r>
      <w:r>
        <w:rPr>
          <w:rFonts w:hint="eastAsia" w:ascii="Times New Roman" w:hAnsi="Times New Roman"/>
          <w:color w:val="auto"/>
          <w:highlight w:val="none"/>
          <w:lang w:eastAsia="zh-CN"/>
        </w:rPr>
        <w:t>60</w:t>
      </w:r>
      <w:r>
        <w:rPr>
          <w:color w:val="auto"/>
          <w:highlight w:val="none"/>
          <w:lang w:eastAsia="zh-CN"/>
        </w:rPr>
        <w:t xml:space="preserve"> 天的，每延迟一天，应按照未付金额的万分之三向乙方支付违约金。</w:t>
      </w:r>
    </w:p>
    <w:p>
      <w:pPr>
        <w:pStyle w:val="17"/>
        <w:spacing w:line="364" w:lineRule="auto"/>
        <w:ind w:right="975" w:firstLine="439"/>
        <w:rPr>
          <w:color w:val="auto"/>
          <w:highlight w:val="none"/>
          <w:lang w:eastAsia="zh-CN"/>
        </w:rPr>
      </w:pPr>
      <w:r>
        <w:rPr>
          <w:rFonts w:hint="eastAsia" w:ascii="Times New Roman" w:hAnsi="Times New Roman"/>
          <w:color w:val="auto"/>
          <w:highlight w:val="none"/>
          <w:lang w:eastAsia="zh-CN"/>
        </w:rPr>
        <w:t>2</w:t>
      </w:r>
      <w:r>
        <w:rPr>
          <w:color w:val="auto"/>
          <w:highlight w:val="none"/>
          <w:lang w:eastAsia="zh-CN"/>
        </w:rPr>
        <w:t>、甲方未按时向各专业工作单位支付费用的，因延期拨付工程款导致停工的，工期顺延。乙方不承担各节点延迟的违约责任。</w:t>
      </w:r>
    </w:p>
    <w:p>
      <w:pPr>
        <w:pStyle w:val="17"/>
        <w:spacing w:line="364" w:lineRule="auto"/>
        <w:ind w:right="975" w:firstLine="439"/>
        <w:rPr>
          <w:color w:val="auto"/>
          <w:highlight w:val="none"/>
          <w:lang w:eastAsia="zh-CN"/>
        </w:rPr>
      </w:pPr>
      <w:r>
        <w:rPr>
          <w:rFonts w:hint="eastAsia" w:ascii="Times New Roman" w:hAnsi="Times New Roman"/>
          <w:color w:val="auto"/>
          <w:highlight w:val="none"/>
          <w:lang w:eastAsia="zh-CN"/>
        </w:rPr>
        <w:t>3</w:t>
      </w:r>
      <w:r>
        <w:rPr>
          <w:color w:val="auto"/>
          <w:highlight w:val="none"/>
          <w:lang w:eastAsia="zh-CN"/>
        </w:rPr>
        <w:t>、若因甲方原因延误工期的，开发建设周期目标相应延长，如因此给乙方造成损失，或增加额外工作的，甲方应补偿乙方的损失。</w:t>
      </w:r>
    </w:p>
    <w:p>
      <w:pPr>
        <w:pStyle w:val="17"/>
        <w:spacing w:line="364" w:lineRule="auto"/>
        <w:ind w:right="865" w:firstLine="439"/>
        <w:rPr>
          <w:color w:val="auto"/>
          <w:highlight w:val="none"/>
          <w:lang w:eastAsia="zh-CN"/>
        </w:rPr>
      </w:pPr>
      <w:r>
        <w:rPr>
          <w:rFonts w:hint="eastAsia" w:ascii="Times New Roman" w:hAnsi="Times New Roman"/>
          <w:color w:val="auto"/>
          <w:highlight w:val="none"/>
          <w:lang w:eastAsia="zh-CN"/>
        </w:rPr>
        <w:t>4</w:t>
      </w:r>
      <w:r>
        <w:rPr>
          <w:color w:val="auto"/>
          <w:spacing w:val="-3"/>
          <w:highlight w:val="none"/>
          <w:lang w:eastAsia="zh-CN"/>
        </w:rPr>
        <w:t>、在本合同履行过程中，甲方无正当理由擅自解除合同或者因甲方违约而导致乙方解除合同的，乙方有权要求甲方承担由此给乙方造成的损失</w:t>
      </w:r>
      <w:r>
        <w:rPr>
          <w:color w:val="auto"/>
          <w:highlight w:val="none"/>
          <w:lang w:eastAsia="zh-CN"/>
        </w:rPr>
        <w:t>（含委派人员安置相关费用）。</w:t>
      </w:r>
    </w:p>
    <w:p>
      <w:pPr>
        <w:spacing w:line="364" w:lineRule="auto"/>
        <w:ind w:left="1260" w:right="6145" w:hanging="440"/>
        <w:rPr>
          <w:b/>
          <w:color w:val="auto"/>
          <w:highlight w:val="none"/>
          <w:lang w:eastAsia="zh-CN"/>
        </w:rPr>
      </w:pPr>
      <w:r>
        <w:rPr>
          <w:b/>
          <w:color w:val="auto"/>
          <w:highlight w:val="none"/>
          <w:lang w:eastAsia="zh-CN"/>
        </w:rPr>
        <w:t>第二十六条 乙方违约责任</w:t>
      </w:r>
    </w:p>
    <w:p>
      <w:pPr>
        <w:pStyle w:val="17"/>
        <w:spacing w:line="364" w:lineRule="auto"/>
        <w:ind w:right="865" w:firstLine="439"/>
        <w:rPr>
          <w:color w:val="auto"/>
          <w:highlight w:val="none"/>
          <w:lang w:eastAsia="zh-CN"/>
        </w:rPr>
      </w:pPr>
      <w:r>
        <w:rPr>
          <w:rFonts w:hint="eastAsia" w:ascii="Times New Roman" w:hAnsi="Times New Roman"/>
          <w:color w:val="auto"/>
          <w:highlight w:val="none"/>
          <w:lang w:eastAsia="zh-CN"/>
        </w:rPr>
        <w:t>1</w:t>
      </w:r>
      <w:r>
        <w:rPr>
          <w:color w:val="auto"/>
          <w:spacing w:val="-3"/>
          <w:highlight w:val="none"/>
          <w:lang w:eastAsia="zh-CN"/>
        </w:rPr>
        <w:t>、项目的竣工交付应按照开发建设周期目标执行，如因乙方管理原因，造成项目总开发建设周期超出经双方共同确认的项目开发总体计划所确定的开发建设周期</w:t>
      </w:r>
      <w:r>
        <w:rPr>
          <w:rFonts w:hint="eastAsia"/>
          <w:color w:val="auto"/>
          <w:spacing w:val="-3"/>
          <w:highlight w:val="none"/>
        </w:rPr>
        <w:t>，每延迟一天，应按照本合同总金额的万分之三向甲方支付违约金，同时如需</w:t>
      </w:r>
      <w:r>
        <w:rPr>
          <w:color w:val="auto"/>
          <w:spacing w:val="-3"/>
          <w:highlight w:val="none"/>
          <w:lang w:eastAsia="zh-CN"/>
        </w:rPr>
        <w:t>对买房人承担违约责任的，则在甲方承担相应违约责任后，由乙方按实向甲方赔偿等额的损失。</w:t>
      </w:r>
    </w:p>
    <w:p>
      <w:pPr>
        <w:pStyle w:val="17"/>
        <w:spacing w:before="145" w:line="364" w:lineRule="auto"/>
        <w:ind w:right="978" w:firstLine="420" w:firstLineChars="200"/>
        <w:rPr>
          <w:color w:val="auto"/>
          <w:spacing w:val="-9"/>
          <w:highlight w:val="none"/>
          <w:lang w:eastAsia="zh-CN"/>
        </w:rPr>
      </w:pPr>
      <w:r>
        <w:rPr>
          <w:rFonts w:hint="eastAsia" w:ascii="Times New Roman" w:hAnsi="Times New Roman"/>
          <w:color w:val="auto"/>
          <w:highlight w:val="none"/>
          <w:lang w:eastAsia="zh-CN"/>
        </w:rPr>
        <w:t>2</w:t>
      </w:r>
      <w:r>
        <w:rPr>
          <w:color w:val="auto"/>
          <w:spacing w:val="-3"/>
          <w:highlight w:val="none"/>
          <w:lang w:eastAsia="zh-CN"/>
        </w:rPr>
        <w:t>、项目的整体工程成本应控制在本合同约定的目标考核成本范围内，如因乙方</w:t>
      </w:r>
      <w:r>
        <w:rPr>
          <w:rFonts w:hint="eastAsia"/>
          <w:color w:val="auto"/>
          <w:spacing w:val="-3"/>
          <w:highlight w:val="none"/>
          <w:lang w:eastAsia="zh-CN"/>
        </w:rPr>
        <w:t>单方面</w:t>
      </w:r>
      <w:r>
        <w:rPr>
          <w:color w:val="auto"/>
          <w:spacing w:val="-3"/>
          <w:highlight w:val="none"/>
          <w:lang w:eastAsia="zh-CN"/>
        </w:rPr>
        <w:t>管</w:t>
      </w:r>
      <w:r>
        <w:rPr>
          <w:color w:val="auto"/>
          <w:spacing w:val="-6"/>
          <w:highlight w:val="none"/>
          <w:lang w:eastAsia="zh-CN"/>
        </w:rPr>
        <w:t xml:space="preserve">理责任导致实际整体工程成本超过成本考核目标 </w:t>
      </w:r>
      <w:r>
        <w:rPr>
          <w:rFonts w:hint="eastAsia" w:ascii="Times New Roman" w:hAnsi="Times New Roman"/>
          <w:color w:val="auto"/>
          <w:highlight w:val="none"/>
          <w:lang w:eastAsia="zh-CN"/>
        </w:rPr>
        <w:t>3</w:t>
      </w:r>
      <w:r>
        <w:rPr>
          <w:color w:val="auto"/>
          <w:highlight w:val="none"/>
          <w:lang w:eastAsia="zh-CN"/>
        </w:rPr>
        <w:t>%的</w:t>
      </w:r>
      <w:r>
        <w:rPr>
          <w:color w:val="auto"/>
          <w:spacing w:val="-3"/>
          <w:highlight w:val="none"/>
          <w:lang w:eastAsia="zh-CN"/>
        </w:rPr>
        <w:t>（不含经本合同中约定可以</w:t>
      </w:r>
      <w:r>
        <w:rPr>
          <w:color w:val="auto"/>
          <w:spacing w:val="-9"/>
          <w:highlight w:val="none"/>
          <w:lang w:eastAsia="zh-CN"/>
        </w:rPr>
        <w:t>进行成本管理目标调整的成本变更），则</w:t>
      </w:r>
      <w:r>
        <w:rPr>
          <w:rFonts w:hint="eastAsia"/>
          <w:color w:val="auto"/>
          <w:spacing w:val="-9"/>
          <w:highlight w:val="none"/>
          <w:lang w:eastAsia="zh-CN"/>
        </w:rPr>
        <w:t>以品牌使用费</w:t>
      </w:r>
      <w:r>
        <w:rPr>
          <w:color w:val="auto"/>
          <w:spacing w:val="-9"/>
          <w:highlight w:val="none"/>
          <w:lang w:eastAsia="zh-CN"/>
        </w:rPr>
        <w:t>扣减作为违约赔偿。</w:t>
      </w:r>
    </w:p>
    <w:p>
      <w:pPr>
        <w:pStyle w:val="17"/>
        <w:spacing w:before="145" w:line="364" w:lineRule="auto"/>
        <w:ind w:right="978" w:firstLine="384" w:firstLineChars="200"/>
        <w:rPr>
          <w:color w:val="auto"/>
          <w:spacing w:val="-9"/>
          <w:highlight w:val="none"/>
          <w:lang w:eastAsia="zh-CN"/>
        </w:rPr>
      </w:pPr>
      <w:r>
        <w:rPr>
          <w:rFonts w:hint="eastAsia" w:ascii="Times New Roman" w:hAnsi="Times New Roman"/>
          <w:color w:val="auto"/>
          <w:spacing w:val="-9"/>
          <w:highlight w:val="none"/>
          <w:lang w:eastAsia="zh-CN"/>
        </w:rPr>
        <w:t>3</w:t>
      </w:r>
      <w:r>
        <w:rPr>
          <w:color w:val="auto"/>
          <w:spacing w:val="-9"/>
          <w:highlight w:val="none"/>
          <w:lang w:eastAsia="zh-CN"/>
        </w:rPr>
        <w:t>、开发过程中，如因乙方未能尽到相应的管理职责或管理不当导致安全事故发生，由乙方负责处理，并由乙方承担相应的赔偿责任，乙方保留向第三方追责的权利。</w:t>
      </w:r>
    </w:p>
    <w:p>
      <w:pPr>
        <w:pStyle w:val="17"/>
        <w:spacing w:before="145" w:line="364" w:lineRule="auto"/>
        <w:ind w:right="978" w:firstLine="384" w:firstLineChars="200"/>
        <w:rPr>
          <w:rFonts w:hint="eastAsia" w:ascii="Times New Roman" w:hAnsi="Times New Roman"/>
          <w:color w:val="auto"/>
          <w:spacing w:val="-9"/>
          <w:highlight w:val="none"/>
          <w:lang w:eastAsia="zh-CN"/>
        </w:rPr>
      </w:pPr>
      <w:r>
        <w:rPr>
          <w:rFonts w:hint="eastAsia" w:ascii="Times New Roman" w:hAnsi="Times New Roman"/>
          <w:color w:val="auto"/>
          <w:spacing w:val="-9"/>
          <w:highlight w:val="none"/>
          <w:lang w:eastAsia="zh-CN"/>
        </w:rPr>
        <w:t>4、项目建设质量未达到合同约定标准，乙方督促第三方整改至符合标准，由此致使甲方产生损失的，损失部分由乙方承担。</w:t>
      </w:r>
    </w:p>
    <w:p>
      <w:pPr>
        <w:pStyle w:val="17"/>
        <w:spacing w:before="145" w:line="364" w:lineRule="auto"/>
        <w:ind w:right="978" w:firstLine="384" w:firstLineChars="200"/>
        <w:rPr>
          <w:color w:val="auto"/>
          <w:spacing w:val="-9"/>
          <w:highlight w:val="none"/>
          <w:lang w:eastAsia="zh-CN"/>
        </w:rPr>
      </w:pPr>
      <w:r>
        <w:rPr>
          <w:rFonts w:hint="eastAsia" w:ascii="Times New Roman" w:hAnsi="Times New Roman"/>
          <w:color w:val="auto"/>
          <w:spacing w:val="-9"/>
          <w:highlight w:val="none"/>
          <w:lang w:eastAsia="zh-CN"/>
        </w:rPr>
        <w:t>5、甲方根据合同约定条款解除本合同的，有权要求乙方支付已收取管理服务费的20%作为违约金，并有权从应付乙方的管理服务费中直接抵扣该违约金，违约金不足弥补甲方损失的，甲方有权继续追偿。</w:t>
      </w:r>
    </w:p>
    <w:p>
      <w:pPr>
        <w:pStyle w:val="13"/>
        <w:ind w:left="0" w:leftChars="0" w:firstLine="422" w:firstLineChars="200"/>
        <w:rPr>
          <w:color w:val="auto"/>
          <w:highlight w:val="none"/>
          <w:lang w:eastAsia="zh-CN"/>
        </w:rPr>
      </w:pPr>
      <w:r>
        <w:rPr>
          <w:color w:val="auto"/>
          <w:highlight w:val="none"/>
          <w:lang w:eastAsia="zh-CN"/>
        </w:rPr>
        <w:t>第二十七条 不可抗力和减责/免责</w:t>
      </w:r>
    </w:p>
    <w:p>
      <w:pPr>
        <w:pStyle w:val="17"/>
        <w:spacing w:before="145" w:line="364" w:lineRule="auto"/>
        <w:ind w:right="865" w:firstLine="439"/>
        <w:rPr>
          <w:color w:val="auto"/>
          <w:highlight w:val="none"/>
          <w:lang w:eastAsia="zh-CN"/>
        </w:rPr>
      </w:pPr>
      <w:r>
        <w:rPr>
          <w:rFonts w:hint="eastAsia" w:ascii="Times New Roman" w:hAnsi="Times New Roman"/>
          <w:color w:val="auto"/>
          <w:highlight w:val="none"/>
          <w:lang w:eastAsia="zh-CN"/>
        </w:rPr>
        <w:t>1</w:t>
      </w:r>
      <w:r>
        <w:rPr>
          <w:color w:val="auto"/>
          <w:spacing w:val="-3"/>
          <w:highlight w:val="none"/>
          <w:lang w:eastAsia="zh-CN"/>
        </w:rPr>
        <w:t>、因不可抗力导致合同不能全部或部分履行，由甲方与乙方协商解决。乙方如仍为甲方提供</w:t>
      </w:r>
      <w:r>
        <w:rPr>
          <w:rFonts w:hint="eastAsia"/>
          <w:color w:val="auto"/>
          <w:spacing w:val="-3"/>
          <w:highlight w:val="none"/>
          <w:lang w:eastAsia="zh-CN"/>
        </w:rPr>
        <w:t>开发</w:t>
      </w:r>
      <w:r>
        <w:rPr>
          <w:color w:val="auto"/>
          <w:spacing w:val="-3"/>
          <w:highlight w:val="none"/>
          <w:lang w:eastAsia="zh-CN"/>
        </w:rPr>
        <w:t>管理服务的，甲方仍须支付本合同约定的人员薪酬福利。不可抗力包括战争、动乱、地震、水灾、暴风雨、雪灾等以及双方同意的其他不可抗力事件。</w:t>
      </w:r>
    </w:p>
    <w:p>
      <w:pPr>
        <w:pStyle w:val="17"/>
        <w:spacing w:line="364" w:lineRule="auto"/>
        <w:ind w:right="975" w:firstLine="439"/>
        <w:rPr>
          <w:color w:val="auto"/>
          <w:highlight w:val="none"/>
          <w:lang w:eastAsia="zh-CN"/>
        </w:rPr>
      </w:pPr>
      <w:r>
        <w:rPr>
          <w:rFonts w:hint="eastAsia" w:ascii="Times New Roman" w:hAnsi="Times New Roman"/>
          <w:color w:val="auto"/>
          <w:highlight w:val="none"/>
          <w:lang w:eastAsia="zh-CN"/>
        </w:rPr>
        <w:t>2</w:t>
      </w:r>
      <w:r>
        <w:rPr>
          <w:color w:val="auto"/>
          <w:highlight w:val="none"/>
          <w:lang w:eastAsia="zh-CN"/>
        </w:rPr>
        <w:t>、因政策变化、政府部门行政行为导致合同不能全部或部分履行，遭受该等影响的合同方在提供充分证据后可免除违约责任。</w:t>
      </w:r>
    </w:p>
    <w:p>
      <w:pPr>
        <w:pStyle w:val="17"/>
        <w:spacing w:line="364" w:lineRule="auto"/>
        <w:ind w:right="865" w:firstLine="439"/>
        <w:rPr>
          <w:color w:val="auto"/>
          <w:highlight w:val="none"/>
          <w:lang w:eastAsia="zh-CN"/>
        </w:rPr>
      </w:pPr>
      <w:r>
        <w:rPr>
          <w:rFonts w:hint="eastAsia" w:ascii="Times New Roman" w:hAnsi="Times New Roman"/>
          <w:color w:val="auto"/>
          <w:highlight w:val="none"/>
          <w:lang w:eastAsia="zh-CN"/>
        </w:rPr>
        <w:t>3</w:t>
      </w:r>
      <w:r>
        <w:rPr>
          <w:color w:val="auto"/>
          <w:spacing w:val="-3"/>
          <w:highlight w:val="none"/>
          <w:lang w:eastAsia="zh-CN"/>
        </w:rPr>
        <w:t>、甲乙双方同意，乙方承担违约责任所偿付的各类款项，无论单项或是合计总额，均以乙方最终实际收取的全部</w:t>
      </w:r>
      <w:r>
        <w:rPr>
          <w:rFonts w:hint="eastAsia"/>
          <w:color w:val="auto"/>
          <w:spacing w:val="-3"/>
          <w:highlight w:val="none"/>
          <w:lang w:eastAsia="zh-CN"/>
        </w:rPr>
        <w:t>品牌使用</w:t>
      </w:r>
      <w:r>
        <w:rPr>
          <w:color w:val="auto"/>
          <w:spacing w:val="-3"/>
          <w:highlight w:val="none"/>
          <w:lang w:eastAsia="zh-CN"/>
        </w:rPr>
        <w:t>费（不包括委派人员基本费用）</w:t>
      </w:r>
      <w:r>
        <w:rPr>
          <w:color w:val="auto"/>
          <w:highlight w:val="none"/>
          <w:lang w:eastAsia="zh-CN"/>
        </w:rPr>
        <w:t>为最高</w:t>
      </w:r>
      <w:r>
        <w:rPr>
          <w:color w:val="auto"/>
          <w:spacing w:val="-2"/>
          <w:highlight w:val="none"/>
          <w:lang w:eastAsia="zh-CN"/>
        </w:rPr>
        <w:t>限额。</w:t>
      </w:r>
    </w:p>
    <w:p>
      <w:pPr>
        <w:pStyle w:val="17"/>
        <w:spacing w:line="364" w:lineRule="auto"/>
        <w:ind w:right="865" w:firstLine="439"/>
        <w:rPr>
          <w:color w:val="auto"/>
          <w:highlight w:val="none"/>
          <w:lang w:eastAsia="zh-CN"/>
        </w:rPr>
      </w:pPr>
      <w:r>
        <w:rPr>
          <w:rFonts w:hint="eastAsia" w:ascii="Times New Roman" w:hAnsi="Times New Roman"/>
          <w:color w:val="auto"/>
          <w:highlight w:val="none"/>
          <w:lang w:eastAsia="zh-CN"/>
        </w:rPr>
        <w:t>4</w:t>
      </w:r>
      <w:r>
        <w:rPr>
          <w:color w:val="auto"/>
          <w:spacing w:val="-3"/>
          <w:highlight w:val="none"/>
          <w:lang w:eastAsia="zh-CN"/>
        </w:rPr>
        <w:t>、由于乙方的原因导致本项目的工期、质量、成本未能满足合同约定的管理目标，以及发生重大安全事故的，前述事项乙方负责牵头处理，如甲方需向第三人索赔， 乙方应协助处理，如索赔成功，可获得赔偿的范围内免除乙方相应的责任。如乙方已按本合同约定向甲方承担赔偿责任的，则甲方就同一损失事由对第三方索赔的权利由乙方享有，甲方应配合乙方向该等责任方索赔。</w:t>
      </w:r>
    </w:p>
    <w:p>
      <w:pPr>
        <w:pStyle w:val="17"/>
        <w:spacing w:line="364" w:lineRule="auto"/>
        <w:ind w:right="975" w:firstLine="439"/>
        <w:rPr>
          <w:color w:val="auto"/>
          <w:highlight w:val="none"/>
          <w:lang w:eastAsia="zh-CN"/>
        </w:rPr>
      </w:pPr>
      <w:r>
        <w:rPr>
          <w:rFonts w:hint="eastAsia" w:ascii="Times New Roman" w:hAnsi="Times New Roman"/>
          <w:color w:val="auto"/>
          <w:highlight w:val="none"/>
          <w:lang w:eastAsia="zh-CN"/>
        </w:rPr>
        <w:t>5</w:t>
      </w:r>
      <w:r>
        <w:rPr>
          <w:color w:val="auto"/>
          <w:highlight w:val="none"/>
          <w:lang w:eastAsia="zh-CN"/>
        </w:rPr>
        <w:t>、由于甲方的原因或其他非乙方的原因导致本项目工程成本、质量、工期、安全等未达到本合同约定的目标的，乙方不承担赔偿责任。</w:t>
      </w:r>
    </w:p>
    <w:p>
      <w:pPr>
        <w:pStyle w:val="17"/>
        <w:spacing w:before="5"/>
        <w:ind w:left="0"/>
        <w:rPr>
          <w:color w:val="auto"/>
          <w:sz w:val="21"/>
          <w:highlight w:val="none"/>
          <w:lang w:eastAsia="zh-CN"/>
        </w:rPr>
      </w:pPr>
    </w:p>
    <w:p>
      <w:pPr>
        <w:pStyle w:val="13"/>
        <w:tabs>
          <w:tab w:val="left" w:pos="1441"/>
        </w:tabs>
        <w:spacing w:before="70"/>
        <w:ind w:left="440"/>
        <w:jc w:val="center"/>
        <w:rPr>
          <w:color w:val="auto"/>
          <w:highlight w:val="none"/>
          <w:lang w:eastAsia="zh-CN"/>
        </w:rPr>
      </w:pPr>
      <w:r>
        <w:rPr>
          <w:color w:val="auto"/>
          <w:highlight w:val="none"/>
          <w:lang w:eastAsia="zh-CN"/>
        </w:rPr>
        <w:t>第八章</w:t>
      </w:r>
      <w:r>
        <w:rPr>
          <w:color w:val="auto"/>
          <w:highlight w:val="none"/>
          <w:lang w:eastAsia="zh-CN"/>
        </w:rPr>
        <w:tab/>
      </w:r>
      <w:bookmarkStart w:id="145" w:name="第八章其他事项"/>
      <w:bookmarkEnd w:id="145"/>
      <w:r>
        <w:rPr>
          <w:color w:val="auto"/>
          <w:highlight w:val="none"/>
          <w:lang w:eastAsia="zh-CN"/>
        </w:rPr>
        <w:t>其他事项</w:t>
      </w:r>
    </w:p>
    <w:p>
      <w:pPr>
        <w:pStyle w:val="13"/>
        <w:spacing w:before="145"/>
        <w:ind w:left="0" w:leftChars="0" w:firstLine="422" w:firstLineChars="200"/>
        <w:rPr>
          <w:color w:val="auto"/>
          <w:highlight w:val="none"/>
          <w:lang w:eastAsia="zh-CN"/>
        </w:rPr>
      </w:pPr>
      <w:r>
        <w:rPr>
          <w:color w:val="auto"/>
          <w:highlight w:val="none"/>
          <w:lang w:eastAsia="zh-CN"/>
        </w:rPr>
        <w:t>第二十八条 合同的持续与转让</w:t>
      </w:r>
    </w:p>
    <w:p>
      <w:pPr>
        <w:pStyle w:val="17"/>
        <w:spacing w:before="145" w:line="364" w:lineRule="auto"/>
        <w:ind w:right="865" w:firstLine="439"/>
        <w:rPr>
          <w:color w:val="auto"/>
          <w:highlight w:val="none"/>
          <w:lang w:eastAsia="zh-CN"/>
        </w:rPr>
      </w:pPr>
      <w:r>
        <w:rPr>
          <w:rFonts w:hint="eastAsia" w:ascii="Times New Roman" w:hAnsi="Times New Roman"/>
          <w:color w:val="auto"/>
          <w:highlight w:val="none"/>
          <w:lang w:eastAsia="zh-CN"/>
        </w:rPr>
        <w:t>1</w:t>
      </w:r>
      <w:r>
        <w:rPr>
          <w:color w:val="auto"/>
          <w:spacing w:val="-3"/>
          <w:highlight w:val="none"/>
          <w:lang w:eastAsia="zh-CN"/>
        </w:rPr>
        <w:t>、甲乙双方均保证在本合同签订后，将积极促成本合同的持续履行。同时甲方保证在本合同履行期间，将维持公司股权结构的稳定性，甲方股权结构发生变更不得影响本合同的效力，且甲方应在股权结构变更后及时向乙方提供新一届股东会关于认可本合同内容的决议文件。</w:t>
      </w:r>
    </w:p>
    <w:p>
      <w:pPr>
        <w:pStyle w:val="17"/>
        <w:spacing w:line="364" w:lineRule="auto"/>
        <w:ind w:right="865" w:firstLine="439"/>
        <w:rPr>
          <w:color w:val="auto"/>
          <w:highlight w:val="none"/>
          <w:lang w:eastAsia="zh-CN"/>
        </w:rPr>
      </w:pPr>
      <w:r>
        <w:rPr>
          <w:rFonts w:hint="eastAsia" w:ascii="Times New Roman" w:hAnsi="Times New Roman"/>
          <w:color w:val="auto"/>
          <w:highlight w:val="none"/>
          <w:lang w:eastAsia="zh-CN"/>
        </w:rPr>
        <w:t>2</w:t>
      </w:r>
      <w:r>
        <w:rPr>
          <w:color w:val="auto"/>
          <w:spacing w:val="-3"/>
          <w:highlight w:val="none"/>
          <w:lang w:eastAsia="zh-CN"/>
        </w:rPr>
        <w:t>、未经对方同意，任何一方不得将其在本合同项下的任何权利或义务全部或部分转让或授予他人，但乙方指定其下属的专业公司</w:t>
      </w:r>
      <w:r>
        <w:rPr>
          <w:rFonts w:hint="eastAsia"/>
          <w:color w:val="auto"/>
          <w:spacing w:val="-3"/>
          <w:highlight w:val="none"/>
          <w:lang w:eastAsia="zh-CN"/>
        </w:rPr>
        <w:t>（需报备甲方同意）</w:t>
      </w:r>
      <w:r>
        <w:rPr>
          <w:color w:val="auto"/>
          <w:spacing w:val="-3"/>
          <w:highlight w:val="none"/>
          <w:lang w:eastAsia="zh-CN"/>
        </w:rPr>
        <w:t>履行本合同约定的部分专业管理职责除外。</w:t>
      </w:r>
    </w:p>
    <w:p>
      <w:pPr>
        <w:pStyle w:val="13"/>
        <w:spacing w:before="59"/>
        <w:ind w:left="0" w:leftChars="0" w:firstLine="422" w:firstLineChars="200"/>
        <w:jc w:val="both"/>
        <w:rPr>
          <w:color w:val="auto"/>
          <w:highlight w:val="none"/>
          <w:lang w:eastAsia="zh-CN"/>
        </w:rPr>
      </w:pPr>
      <w:r>
        <w:rPr>
          <w:color w:val="auto"/>
          <w:highlight w:val="none"/>
          <w:lang w:eastAsia="zh-CN"/>
        </w:rPr>
        <w:t>第二十九条 排他性条款</w:t>
      </w:r>
    </w:p>
    <w:p>
      <w:pPr>
        <w:pStyle w:val="17"/>
        <w:spacing w:before="145" w:line="364" w:lineRule="auto"/>
        <w:ind w:right="865" w:firstLine="439"/>
        <w:jc w:val="both"/>
        <w:rPr>
          <w:color w:val="auto"/>
          <w:highlight w:val="none"/>
          <w:lang w:eastAsia="zh-CN"/>
        </w:rPr>
      </w:pPr>
      <w:r>
        <w:rPr>
          <w:color w:val="auto"/>
          <w:highlight w:val="none"/>
          <w:lang w:eastAsia="zh-CN"/>
        </w:rPr>
        <w:t>本合同签署后，甲乙双方应向对方保证不得就本项目的</w:t>
      </w:r>
      <w:r>
        <w:rPr>
          <w:rFonts w:hint="eastAsia"/>
          <w:color w:val="auto"/>
          <w:highlight w:val="none"/>
          <w:lang w:eastAsia="zh-CN"/>
        </w:rPr>
        <w:t>开发管理服务</w:t>
      </w:r>
      <w:r>
        <w:rPr>
          <w:color w:val="auto"/>
          <w:highlight w:val="none"/>
          <w:lang w:eastAsia="zh-CN"/>
        </w:rPr>
        <w:t>事项再与其他任何第三方进行任何形式的、与本合同所包含内容相关、相似或有冲突的磋商、谈判、协议等。</w:t>
      </w:r>
    </w:p>
    <w:p>
      <w:pPr>
        <w:pStyle w:val="13"/>
        <w:spacing w:line="281" w:lineRule="exact"/>
        <w:ind w:left="0" w:leftChars="0" w:firstLine="422" w:firstLineChars="200"/>
        <w:jc w:val="both"/>
        <w:rPr>
          <w:color w:val="auto"/>
          <w:highlight w:val="none"/>
          <w:lang w:eastAsia="zh-CN"/>
        </w:rPr>
      </w:pPr>
      <w:r>
        <w:rPr>
          <w:color w:val="auto"/>
          <w:highlight w:val="none"/>
          <w:lang w:eastAsia="zh-CN"/>
        </w:rPr>
        <w:t>第三十条 通知</w:t>
      </w:r>
    </w:p>
    <w:p>
      <w:pPr>
        <w:pStyle w:val="17"/>
        <w:spacing w:before="145" w:line="364" w:lineRule="auto"/>
        <w:ind w:right="867" w:firstLine="439"/>
        <w:rPr>
          <w:color w:val="auto"/>
          <w:highlight w:val="none"/>
          <w:lang w:eastAsia="zh-CN"/>
        </w:rPr>
      </w:pPr>
      <w:r>
        <w:rPr>
          <w:color w:val="auto"/>
          <w:highlight w:val="none"/>
          <w:lang w:eastAsia="zh-CN"/>
        </w:rPr>
        <w:t>任何一方在合同项下向另一方发出的要求、指示、指令、批准、报告、确认等均应以书面形式通过邮件、邮寄、当面送交或传真发至以下地址：</w:t>
      </w:r>
    </w:p>
    <w:p>
      <w:pPr>
        <w:pStyle w:val="17"/>
        <w:tabs>
          <w:tab w:val="left" w:pos="7926"/>
          <w:tab w:val="left" w:pos="8024"/>
        </w:tabs>
        <w:spacing w:line="364" w:lineRule="auto"/>
        <w:ind w:left="1260" w:right="2024"/>
        <w:rPr>
          <w:color w:val="auto"/>
          <w:spacing w:val="-1"/>
          <w:highlight w:val="none"/>
          <w:lang w:eastAsia="zh-CN"/>
        </w:rPr>
      </w:pPr>
      <w:r>
        <w:rPr>
          <w:color w:val="auto"/>
          <w:spacing w:val="-1"/>
          <w:highlight w:val="none"/>
          <w:lang w:eastAsia="zh-CN"/>
        </w:rPr>
        <w:t>甲</w:t>
      </w:r>
      <w:r>
        <w:rPr>
          <w:color w:val="auto"/>
          <w:spacing w:val="-3"/>
          <w:highlight w:val="none"/>
          <w:lang w:eastAsia="zh-CN"/>
        </w:rPr>
        <w:t>方</w:t>
      </w:r>
      <w:r>
        <w:rPr>
          <w:color w:val="auto"/>
          <w:spacing w:val="-1"/>
          <w:highlight w:val="none"/>
          <w:lang w:eastAsia="zh-CN"/>
        </w:rPr>
        <w:t>地址</w:t>
      </w:r>
      <w:r>
        <w:rPr>
          <w:color w:val="auto"/>
          <w:spacing w:val="-3"/>
          <w:highlight w:val="none"/>
          <w:lang w:eastAsia="zh-CN"/>
        </w:rPr>
        <w:t>：</w:t>
      </w:r>
      <w:r>
        <w:rPr>
          <w:color w:val="auto"/>
          <w:spacing w:val="-3"/>
          <w:highlight w:val="none"/>
          <w:u w:val="single"/>
          <w:lang w:eastAsia="zh-CN"/>
        </w:rPr>
        <w:tab/>
      </w:r>
      <w:r>
        <w:rPr>
          <w:color w:val="auto"/>
          <w:spacing w:val="-1"/>
          <w:highlight w:val="none"/>
          <w:u w:val="single"/>
          <w:lang w:eastAsia="zh-CN"/>
        </w:rPr>
        <w:t xml:space="preserve">                                                 </w:t>
      </w:r>
      <w:r>
        <w:rPr>
          <w:color w:val="auto"/>
          <w:spacing w:val="49"/>
          <w:highlight w:val="none"/>
          <w:u w:val="single"/>
          <w:lang w:eastAsia="zh-CN"/>
        </w:rPr>
        <w:t xml:space="preserve"> </w:t>
      </w:r>
      <w:r>
        <w:rPr>
          <w:color w:val="auto"/>
          <w:spacing w:val="-1"/>
          <w:highlight w:val="none"/>
          <w:lang w:eastAsia="zh-CN"/>
        </w:rPr>
        <w:t>收</w:t>
      </w:r>
      <w:r>
        <w:rPr>
          <w:color w:val="auto"/>
          <w:spacing w:val="-3"/>
          <w:highlight w:val="none"/>
          <w:lang w:eastAsia="zh-CN"/>
        </w:rPr>
        <w:t>件</w:t>
      </w:r>
      <w:r>
        <w:rPr>
          <w:color w:val="auto"/>
          <w:spacing w:val="-1"/>
          <w:highlight w:val="none"/>
          <w:lang w:eastAsia="zh-CN"/>
        </w:rPr>
        <w:t>邮箱</w:t>
      </w:r>
      <w:r>
        <w:rPr>
          <w:color w:val="auto"/>
          <w:spacing w:val="-3"/>
          <w:highlight w:val="none"/>
          <w:lang w:eastAsia="zh-CN"/>
        </w:rPr>
        <w:t>：</w:t>
      </w:r>
      <w:r>
        <w:rPr>
          <w:color w:val="auto"/>
          <w:spacing w:val="-3"/>
          <w:highlight w:val="none"/>
          <w:u w:val="single"/>
          <w:lang w:eastAsia="zh-CN"/>
        </w:rPr>
        <w:tab/>
      </w:r>
      <w:r>
        <w:rPr>
          <w:color w:val="auto"/>
          <w:spacing w:val="-1"/>
          <w:highlight w:val="none"/>
          <w:u w:val="single"/>
          <w:lang w:eastAsia="zh-CN"/>
        </w:rPr>
        <w:t xml:space="preserve">                                                 </w:t>
      </w:r>
      <w:r>
        <w:rPr>
          <w:color w:val="auto"/>
          <w:spacing w:val="49"/>
          <w:highlight w:val="none"/>
          <w:u w:val="single"/>
          <w:lang w:eastAsia="zh-CN"/>
        </w:rPr>
        <w:t xml:space="preserve"> </w:t>
      </w:r>
      <w:r>
        <w:rPr>
          <w:color w:val="auto"/>
          <w:spacing w:val="-1"/>
          <w:highlight w:val="none"/>
          <w:lang w:eastAsia="zh-CN"/>
        </w:rPr>
        <w:t>收</w:t>
      </w:r>
      <w:r>
        <w:rPr>
          <w:color w:val="auto"/>
          <w:spacing w:val="-3"/>
          <w:highlight w:val="none"/>
          <w:lang w:eastAsia="zh-CN"/>
        </w:rPr>
        <w:t>件</w:t>
      </w:r>
      <w:r>
        <w:rPr>
          <w:color w:val="auto"/>
          <w:spacing w:val="-1"/>
          <w:highlight w:val="none"/>
          <w:lang w:eastAsia="zh-CN"/>
        </w:rPr>
        <w:t>人及</w:t>
      </w:r>
      <w:r>
        <w:rPr>
          <w:color w:val="auto"/>
          <w:spacing w:val="-3"/>
          <w:highlight w:val="none"/>
          <w:lang w:eastAsia="zh-CN"/>
        </w:rPr>
        <w:t>联</w:t>
      </w:r>
      <w:r>
        <w:rPr>
          <w:color w:val="auto"/>
          <w:spacing w:val="-1"/>
          <w:highlight w:val="none"/>
          <w:lang w:eastAsia="zh-CN"/>
        </w:rPr>
        <w:t>系方</w:t>
      </w:r>
      <w:r>
        <w:rPr>
          <w:color w:val="auto"/>
          <w:spacing w:val="-3"/>
          <w:highlight w:val="none"/>
          <w:lang w:eastAsia="zh-CN"/>
        </w:rPr>
        <w:t>式</w:t>
      </w:r>
      <w:r>
        <w:rPr>
          <w:color w:val="auto"/>
          <w:spacing w:val="-1"/>
          <w:highlight w:val="none"/>
          <w:lang w:eastAsia="zh-CN"/>
        </w:rPr>
        <w:t>：</w:t>
      </w:r>
      <w:r>
        <w:rPr>
          <w:color w:val="auto"/>
          <w:spacing w:val="-1"/>
          <w:highlight w:val="none"/>
          <w:u w:val="single"/>
          <w:lang w:eastAsia="zh-CN"/>
        </w:rPr>
        <w:tab/>
      </w:r>
      <w:r>
        <w:rPr>
          <w:color w:val="auto"/>
          <w:spacing w:val="-1"/>
          <w:highlight w:val="none"/>
          <w:u w:val="single"/>
          <w:lang w:eastAsia="zh-CN"/>
        </w:rPr>
        <w:t xml:space="preserve">                                         </w:t>
      </w:r>
      <w:r>
        <w:rPr>
          <w:color w:val="auto"/>
          <w:spacing w:val="41"/>
          <w:highlight w:val="none"/>
          <w:u w:val="single"/>
          <w:lang w:eastAsia="zh-CN"/>
        </w:rPr>
        <w:t xml:space="preserve"> </w:t>
      </w:r>
      <w:r>
        <w:rPr>
          <w:color w:val="auto"/>
          <w:spacing w:val="-1"/>
          <w:highlight w:val="none"/>
          <w:lang w:eastAsia="zh-CN"/>
        </w:rPr>
        <w:t>乙</w:t>
      </w:r>
      <w:r>
        <w:rPr>
          <w:color w:val="auto"/>
          <w:spacing w:val="-3"/>
          <w:highlight w:val="none"/>
          <w:lang w:eastAsia="zh-CN"/>
        </w:rPr>
        <w:t>方</w:t>
      </w:r>
      <w:r>
        <w:rPr>
          <w:color w:val="auto"/>
          <w:spacing w:val="-1"/>
          <w:highlight w:val="none"/>
          <w:lang w:eastAsia="zh-CN"/>
        </w:rPr>
        <w:t>地址</w:t>
      </w:r>
      <w:r>
        <w:rPr>
          <w:color w:val="auto"/>
          <w:spacing w:val="-3"/>
          <w:highlight w:val="none"/>
          <w:lang w:eastAsia="zh-CN"/>
        </w:rPr>
        <w:t>：</w:t>
      </w:r>
      <w:r>
        <w:rPr>
          <w:color w:val="auto"/>
          <w:spacing w:val="-3"/>
          <w:highlight w:val="none"/>
          <w:u w:val="single"/>
          <w:lang w:eastAsia="zh-CN"/>
        </w:rPr>
        <w:tab/>
      </w:r>
      <w:r>
        <w:rPr>
          <w:color w:val="auto"/>
          <w:spacing w:val="-3"/>
          <w:highlight w:val="none"/>
          <w:u w:val="single"/>
          <w:lang w:eastAsia="zh-CN"/>
        </w:rPr>
        <w:tab/>
      </w:r>
      <w:r>
        <w:rPr>
          <w:color w:val="auto"/>
          <w:spacing w:val="-1"/>
          <w:highlight w:val="none"/>
          <w:u w:val="single"/>
          <w:lang w:eastAsia="zh-CN"/>
        </w:rPr>
        <w:t xml:space="preserve">                                                 </w:t>
      </w:r>
      <w:r>
        <w:rPr>
          <w:color w:val="auto"/>
          <w:spacing w:val="49"/>
          <w:highlight w:val="none"/>
          <w:u w:val="single"/>
          <w:lang w:eastAsia="zh-CN"/>
        </w:rPr>
        <w:t xml:space="preserve"> </w:t>
      </w:r>
      <w:r>
        <w:rPr>
          <w:color w:val="auto"/>
          <w:spacing w:val="-1"/>
          <w:highlight w:val="none"/>
          <w:lang w:eastAsia="zh-CN"/>
        </w:rPr>
        <w:t>收</w:t>
      </w:r>
      <w:r>
        <w:rPr>
          <w:color w:val="auto"/>
          <w:spacing w:val="-3"/>
          <w:highlight w:val="none"/>
          <w:lang w:eastAsia="zh-CN"/>
        </w:rPr>
        <w:t>件</w:t>
      </w:r>
      <w:r>
        <w:rPr>
          <w:color w:val="auto"/>
          <w:spacing w:val="-1"/>
          <w:highlight w:val="none"/>
          <w:lang w:eastAsia="zh-CN"/>
        </w:rPr>
        <w:t>邮箱</w:t>
      </w:r>
      <w:r>
        <w:rPr>
          <w:color w:val="auto"/>
          <w:spacing w:val="-3"/>
          <w:highlight w:val="none"/>
          <w:lang w:eastAsia="zh-CN"/>
        </w:rPr>
        <w:t>：</w:t>
      </w:r>
      <w:r>
        <w:rPr>
          <w:color w:val="auto"/>
          <w:spacing w:val="-3"/>
          <w:highlight w:val="none"/>
          <w:u w:val="single"/>
          <w:lang w:eastAsia="zh-CN"/>
        </w:rPr>
        <w:tab/>
      </w:r>
      <w:r>
        <w:rPr>
          <w:color w:val="auto"/>
          <w:spacing w:val="-1"/>
          <w:highlight w:val="none"/>
          <w:u w:val="single"/>
          <w:lang w:eastAsia="zh-CN"/>
        </w:rPr>
        <w:t xml:space="preserve">                                                 </w:t>
      </w:r>
      <w:r>
        <w:rPr>
          <w:color w:val="auto"/>
          <w:spacing w:val="49"/>
          <w:highlight w:val="none"/>
          <w:u w:val="single"/>
          <w:lang w:eastAsia="zh-CN"/>
        </w:rPr>
        <w:t xml:space="preserve"> </w:t>
      </w:r>
      <w:r>
        <w:rPr>
          <w:color w:val="auto"/>
          <w:spacing w:val="-1"/>
          <w:highlight w:val="none"/>
          <w:lang w:eastAsia="zh-CN"/>
        </w:rPr>
        <w:t>收</w:t>
      </w:r>
      <w:r>
        <w:rPr>
          <w:color w:val="auto"/>
          <w:spacing w:val="-3"/>
          <w:highlight w:val="none"/>
          <w:lang w:eastAsia="zh-CN"/>
        </w:rPr>
        <w:t>件</w:t>
      </w:r>
      <w:r>
        <w:rPr>
          <w:color w:val="auto"/>
          <w:spacing w:val="-1"/>
          <w:highlight w:val="none"/>
          <w:lang w:eastAsia="zh-CN"/>
        </w:rPr>
        <w:t>人及</w:t>
      </w:r>
      <w:r>
        <w:rPr>
          <w:color w:val="auto"/>
          <w:spacing w:val="-3"/>
          <w:highlight w:val="none"/>
          <w:lang w:eastAsia="zh-CN"/>
        </w:rPr>
        <w:t>联</w:t>
      </w:r>
      <w:r>
        <w:rPr>
          <w:color w:val="auto"/>
          <w:spacing w:val="-1"/>
          <w:highlight w:val="none"/>
          <w:lang w:eastAsia="zh-CN"/>
        </w:rPr>
        <w:t>系方</w:t>
      </w:r>
      <w:r>
        <w:rPr>
          <w:color w:val="auto"/>
          <w:spacing w:val="-3"/>
          <w:highlight w:val="none"/>
          <w:lang w:eastAsia="zh-CN"/>
        </w:rPr>
        <w:t>式</w:t>
      </w:r>
      <w:r>
        <w:rPr>
          <w:color w:val="auto"/>
          <w:spacing w:val="-1"/>
          <w:highlight w:val="none"/>
          <w:lang w:eastAsia="zh-CN"/>
        </w:rPr>
        <w:t>：</w:t>
      </w:r>
      <w:r>
        <w:rPr>
          <w:color w:val="auto"/>
          <w:spacing w:val="-3"/>
          <w:highlight w:val="none"/>
          <w:u w:val="single"/>
          <w:lang w:eastAsia="zh-CN"/>
        </w:rPr>
        <w:tab/>
      </w:r>
    </w:p>
    <w:p>
      <w:pPr>
        <w:pStyle w:val="17"/>
        <w:tabs>
          <w:tab w:val="left" w:pos="7926"/>
          <w:tab w:val="left" w:pos="8024"/>
        </w:tabs>
        <w:spacing w:line="364" w:lineRule="auto"/>
        <w:ind w:right="2024" w:firstLine="422" w:firstLineChars="200"/>
        <w:rPr>
          <w:b/>
          <w:color w:val="auto"/>
          <w:highlight w:val="none"/>
          <w:lang w:eastAsia="zh-CN"/>
        </w:rPr>
      </w:pPr>
      <w:r>
        <w:rPr>
          <w:b/>
          <w:color w:val="auto"/>
          <w:highlight w:val="none"/>
          <w:lang w:eastAsia="zh-CN"/>
        </w:rPr>
        <w:t>第三十一条</w:t>
      </w:r>
      <w:r>
        <w:rPr>
          <w:b/>
          <w:color w:val="auto"/>
          <w:spacing w:val="-2"/>
          <w:highlight w:val="none"/>
          <w:lang w:eastAsia="zh-CN"/>
        </w:rPr>
        <w:t xml:space="preserve"> </w:t>
      </w:r>
      <w:r>
        <w:rPr>
          <w:b/>
          <w:color w:val="auto"/>
          <w:highlight w:val="none"/>
          <w:lang w:eastAsia="zh-CN"/>
        </w:rPr>
        <w:t>保密</w:t>
      </w:r>
    </w:p>
    <w:p>
      <w:pPr>
        <w:pStyle w:val="17"/>
        <w:spacing w:line="364" w:lineRule="auto"/>
        <w:ind w:right="865" w:firstLine="439"/>
        <w:jc w:val="both"/>
        <w:rPr>
          <w:color w:val="auto"/>
          <w:highlight w:val="none"/>
          <w:lang w:eastAsia="zh-CN"/>
        </w:rPr>
      </w:pPr>
      <w:r>
        <w:rPr>
          <w:color w:val="auto"/>
          <w:highlight w:val="none"/>
          <w:lang w:eastAsia="zh-CN"/>
        </w:rPr>
        <w:t>本合同内容以及合同履行过程中的任何信息，甲乙双方及双方参与的人员应严格保密，未经对方书面同意，不得向任何第三方透露合作的任何内容、细节以及进程，法律法规以及申报、批准必需的除外。</w:t>
      </w:r>
    </w:p>
    <w:p>
      <w:pPr>
        <w:pStyle w:val="13"/>
        <w:spacing w:before="142"/>
        <w:ind w:left="0" w:leftChars="0" w:firstLine="422" w:firstLineChars="200"/>
        <w:rPr>
          <w:color w:val="auto"/>
          <w:highlight w:val="none"/>
          <w:lang w:eastAsia="zh-CN"/>
        </w:rPr>
      </w:pPr>
      <w:r>
        <w:rPr>
          <w:color w:val="auto"/>
          <w:highlight w:val="none"/>
          <w:lang w:eastAsia="zh-CN"/>
        </w:rPr>
        <w:t>第三十二条 争议解决</w:t>
      </w:r>
    </w:p>
    <w:p>
      <w:pPr>
        <w:pStyle w:val="17"/>
        <w:spacing w:before="146" w:line="364" w:lineRule="auto"/>
        <w:ind w:right="865" w:firstLine="439"/>
        <w:rPr>
          <w:color w:val="auto"/>
          <w:highlight w:val="none"/>
          <w:lang w:eastAsia="zh-CN"/>
        </w:rPr>
      </w:pPr>
      <w:r>
        <w:rPr>
          <w:rFonts w:hint="eastAsia" w:ascii="Times New Roman" w:hAnsi="Times New Roman"/>
          <w:color w:val="auto"/>
          <w:highlight w:val="none"/>
          <w:lang w:eastAsia="zh-CN"/>
        </w:rPr>
        <w:t>1</w:t>
      </w:r>
      <w:r>
        <w:rPr>
          <w:color w:val="auto"/>
          <w:spacing w:val="-3"/>
          <w:highlight w:val="none"/>
          <w:lang w:eastAsia="zh-CN"/>
        </w:rPr>
        <w:t>、由本合同产生或与本合同相关的任何争议，首先应由各方以友好协商方式解决，如果在争议发生后的十五日内无法以友好协商方式解决该等争议，则双方均可向项目所在地人民法院起诉。</w:t>
      </w:r>
    </w:p>
    <w:p>
      <w:pPr>
        <w:pStyle w:val="17"/>
        <w:spacing w:line="364" w:lineRule="auto"/>
        <w:ind w:right="975" w:firstLine="439"/>
        <w:rPr>
          <w:color w:val="auto"/>
          <w:highlight w:val="none"/>
          <w:lang w:eastAsia="zh-CN"/>
        </w:rPr>
      </w:pPr>
      <w:r>
        <w:rPr>
          <w:rFonts w:hint="eastAsia" w:ascii="Times New Roman" w:hAnsi="Times New Roman"/>
          <w:color w:val="auto"/>
          <w:highlight w:val="none"/>
          <w:lang w:eastAsia="zh-CN"/>
        </w:rPr>
        <w:t>2</w:t>
      </w:r>
      <w:r>
        <w:rPr>
          <w:color w:val="auto"/>
          <w:highlight w:val="none"/>
          <w:lang w:eastAsia="zh-CN"/>
        </w:rPr>
        <w:t>、诉讼过程中发生的有关费用（包括守约方支出的合理律师费用）均由违约方承担。</w:t>
      </w:r>
    </w:p>
    <w:p>
      <w:pPr>
        <w:spacing w:line="364" w:lineRule="auto"/>
        <w:ind w:right="3397" w:firstLine="420" w:firstLineChars="200"/>
        <w:rPr>
          <w:color w:val="auto"/>
          <w:highlight w:val="none"/>
          <w:lang w:eastAsia="zh-CN"/>
        </w:rPr>
      </w:pPr>
      <w:r>
        <w:rPr>
          <w:rFonts w:hint="eastAsia" w:ascii="Times New Roman" w:hAnsi="Times New Roman"/>
          <w:color w:val="auto"/>
          <w:highlight w:val="none"/>
          <w:lang w:eastAsia="zh-CN"/>
        </w:rPr>
        <w:t>3</w:t>
      </w:r>
      <w:r>
        <w:rPr>
          <w:color w:val="auto"/>
          <w:highlight w:val="none"/>
          <w:lang w:eastAsia="zh-CN"/>
        </w:rPr>
        <w:t>、诉讼过程中，本合同不存在争议的部分应继续履行。</w:t>
      </w:r>
    </w:p>
    <w:p>
      <w:pPr>
        <w:spacing w:line="364" w:lineRule="auto"/>
        <w:ind w:right="3397"/>
        <w:rPr>
          <w:b/>
          <w:color w:val="auto"/>
          <w:highlight w:val="none"/>
          <w:lang w:eastAsia="zh-CN"/>
        </w:rPr>
      </w:pPr>
      <w:r>
        <w:rPr>
          <w:b/>
          <w:color w:val="auto"/>
          <w:highlight w:val="none"/>
          <w:lang w:eastAsia="zh-CN"/>
        </w:rPr>
        <w:t>第三十三条 合同生效</w:t>
      </w:r>
    </w:p>
    <w:p>
      <w:pPr>
        <w:pStyle w:val="17"/>
        <w:spacing w:line="279" w:lineRule="exact"/>
        <w:ind w:firstLine="630" w:firstLineChars="300"/>
        <w:rPr>
          <w:color w:val="auto"/>
          <w:highlight w:val="none"/>
          <w:lang w:eastAsia="zh-CN"/>
        </w:rPr>
      </w:pPr>
      <w:r>
        <w:rPr>
          <w:rFonts w:hint="eastAsia" w:ascii="Times New Roman" w:hAnsi="Times New Roman"/>
          <w:color w:val="auto"/>
          <w:highlight w:val="none"/>
          <w:lang w:eastAsia="zh-CN"/>
        </w:rPr>
        <w:t>1</w:t>
      </w:r>
      <w:r>
        <w:rPr>
          <w:color w:val="auto"/>
          <w:highlight w:val="none"/>
          <w:lang w:eastAsia="zh-CN"/>
        </w:rPr>
        <w:t>、本合同自双方法定代表人或授权代表签字并加盖单位公章后即行生效。</w:t>
      </w:r>
    </w:p>
    <w:p>
      <w:pPr>
        <w:pStyle w:val="17"/>
        <w:spacing w:before="146" w:line="364" w:lineRule="auto"/>
        <w:ind w:right="896" w:firstLine="630" w:firstLineChars="300"/>
        <w:rPr>
          <w:color w:val="auto"/>
          <w:highlight w:val="none"/>
          <w:lang w:eastAsia="zh-CN"/>
        </w:rPr>
      </w:pPr>
      <w:r>
        <w:rPr>
          <w:rFonts w:hint="eastAsia" w:ascii="Times New Roman" w:hAnsi="Times New Roman"/>
          <w:color w:val="auto"/>
          <w:highlight w:val="none"/>
          <w:lang w:eastAsia="zh-CN"/>
        </w:rPr>
        <w:t>2</w:t>
      </w:r>
      <w:r>
        <w:rPr>
          <w:color w:val="auto"/>
          <w:highlight w:val="none"/>
          <w:lang w:eastAsia="zh-CN"/>
        </w:rPr>
        <w:t>、对本合同所做出的任何修订或修改，须以书面形式做出并经双方签署后生效。生效后的修订或修改条款取代本合同原来的相应内容，并作为本合同的组成部分。</w:t>
      </w:r>
    </w:p>
    <w:p>
      <w:pPr>
        <w:rPr>
          <w:color w:val="auto"/>
          <w:highlight w:val="none"/>
          <w:lang w:eastAsia="zh-CN"/>
        </w:rPr>
      </w:pPr>
    </w:p>
    <w:p>
      <w:pPr>
        <w:rPr>
          <w:color w:val="auto"/>
          <w:highlight w:val="none"/>
          <w:lang w:eastAsia="zh-CN"/>
        </w:rPr>
      </w:pPr>
    </w:p>
    <w:p>
      <w:pPr>
        <w:rPr>
          <w:color w:val="auto"/>
          <w:highlight w:val="none"/>
          <w:lang w:eastAsia="zh-CN"/>
        </w:rPr>
      </w:pPr>
    </w:p>
    <w:p>
      <w:pPr>
        <w:rPr>
          <w:color w:val="auto"/>
          <w:highlight w:val="none"/>
          <w:lang w:eastAsia="zh-CN"/>
        </w:rPr>
      </w:pPr>
    </w:p>
    <w:p>
      <w:pPr>
        <w:rPr>
          <w:color w:val="auto"/>
          <w:highlight w:val="none"/>
          <w:lang w:eastAsia="zh-CN"/>
        </w:rPr>
      </w:pPr>
    </w:p>
    <w:p>
      <w:pPr>
        <w:rPr>
          <w:color w:val="auto"/>
          <w:highlight w:val="none"/>
          <w:lang w:eastAsia="zh-CN"/>
        </w:rPr>
      </w:pPr>
    </w:p>
    <w:p>
      <w:pPr>
        <w:rPr>
          <w:color w:val="auto"/>
          <w:highlight w:val="none"/>
          <w:lang w:eastAsia="zh-CN"/>
        </w:rPr>
      </w:pPr>
    </w:p>
    <w:p>
      <w:pPr>
        <w:tabs>
          <w:tab w:val="left" w:pos="1245"/>
        </w:tabs>
        <w:rPr>
          <w:rFonts w:ascii="黑体" w:eastAsia="黑体"/>
          <w:color w:val="auto"/>
          <w:sz w:val="32"/>
          <w:highlight w:val="none"/>
          <w:lang w:eastAsia="zh-CN"/>
        </w:rPr>
      </w:pPr>
    </w:p>
    <w:p>
      <w:pPr>
        <w:tabs>
          <w:tab w:val="left" w:pos="1245"/>
        </w:tabs>
        <w:rPr>
          <w:rFonts w:ascii="黑体" w:eastAsia="黑体"/>
          <w:color w:val="auto"/>
          <w:sz w:val="32"/>
          <w:highlight w:val="none"/>
          <w:lang w:eastAsia="zh-CN"/>
        </w:rPr>
      </w:pPr>
      <w:r>
        <w:rPr>
          <w:rFonts w:hint="eastAsia" w:ascii="黑体" w:eastAsia="黑体"/>
          <w:color w:val="auto"/>
          <w:sz w:val="32"/>
          <w:highlight w:val="none"/>
          <w:lang w:eastAsia="zh-CN"/>
        </w:rPr>
        <w:t>第三部分：合同附件</w:t>
      </w:r>
    </w:p>
    <w:p>
      <w:pPr>
        <w:pStyle w:val="17"/>
        <w:spacing w:before="211"/>
        <w:ind w:left="1260"/>
        <w:rPr>
          <w:color w:val="auto"/>
          <w:highlight w:val="none"/>
          <w:lang w:eastAsia="zh-CN"/>
        </w:rPr>
      </w:pPr>
      <w:r>
        <w:rPr>
          <w:color w:val="auto"/>
          <w:highlight w:val="none"/>
          <w:lang w:eastAsia="zh-CN"/>
        </w:rPr>
        <w:t>附件一、名词定义和解释</w:t>
      </w:r>
    </w:p>
    <w:p>
      <w:pPr>
        <w:pStyle w:val="17"/>
        <w:spacing w:before="148"/>
        <w:ind w:left="1260"/>
        <w:rPr>
          <w:color w:val="auto"/>
          <w:highlight w:val="none"/>
          <w:lang w:eastAsia="zh-CN"/>
        </w:rPr>
      </w:pPr>
      <w:r>
        <w:rPr>
          <w:color w:val="auto"/>
          <w:highlight w:val="none"/>
          <w:lang w:eastAsia="zh-CN"/>
        </w:rPr>
        <w:t>附件二、项目管理团队岗位人员要求</w:t>
      </w:r>
    </w:p>
    <w:p>
      <w:pPr>
        <w:rPr>
          <w:color w:val="auto"/>
          <w:highlight w:val="none"/>
          <w:lang w:eastAsia="zh-CN"/>
        </w:rPr>
        <w:sectPr>
          <w:pgSz w:w="11849" w:h="16792"/>
          <w:pgMar w:top="1417" w:right="850" w:bottom="1417" w:left="850" w:header="850" w:footer="850" w:gutter="0"/>
          <w:pgBorders>
            <w:top w:val="none" w:sz="0" w:space="0"/>
            <w:left w:val="none" w:sz="0" w:space="0"/>
            <w:bottom w:val="none" w:sz="0" w:space="0"/>
            <w:right w:val="none" w:sz="0" w:space="0"/>
          </w:pgBorders>
          <w:pgNumType w:fmt="decimal"/>
          <w:cols w:space="0" w:num="1"/>
          <w:rtlGutter w:val="0"/>
          <w:docGrid w:linePitch="0" w:charSpace="0"/>
        </w:sectPr>
      </w:pPr>
    </w:p>
    <w:p>
      <w:pPr>
        <w:pStyle w:val="12"/>
        <w:rPr>
          <w:color w:val="auto"/>
          <w:highlight w:val="none"/>
          <w:lang w:eastAsia="zh-CN"/>
        </w:rPr>
      </w:pPr>
      <w:r>
        <w:rPr>
          <w:color w:val="auto"/>
          <w:highlight w:val="none"/>
          <w:lang w:eastAsia="zh-CN"/>
        </w:rPr>
        <w:t>附件一：名词定义和解释</w:t>
      </w:r>
    </w:p>
    <w:p>
      <w:pPr>
        <w:pStyle w:val="13"/>
        <w:spacing w:before="159"/>
        <w:ind w:left="4471"/>
        <w:rPr>
          <w:color w:val="auto"/>
          <w:highlight w:val="none"/>
          <w:lang w:eastAsia="zh-CN"/>
        </w:rPr>
      </w:pPr>
      <w:r>
        <w:rPr>
          <w:color w:val="auto"/>
          <w:highlight w:val="none"/>
          <w:lang w:eastAsia="zh-CN"/>
        </w:rPr>
        <w:t>名词定义和解释</w:t>
      </w:r>
    </w:p>
    <w:p>
      <w:pPr>
        <w:pStyle w:val="17"/>
        <w:spacing w:before="147" w:line="364" w:lineRule="auto"/>
        <w:ind w:right="978" w:firstLine="439"/>
        <w:rPr>
          <w:color w:val="auto"/>
          <w:highlight w:val="none"/>
          <w:lang w:eastAsia="zh-CN"/>
        </w:rPr>
      </w:pPr>
      <w:r>
        <w:rPr>
          <w:rFonts w:hint="eastAsia" w:ascii="Times New Roman" w:hAnsi="Times New Roman"/>
          <w:color w:val="auto"/>
          <w:highlight w:val="none"/>
          <w:lang w:eastAsia="zh-CN"/>
        </w:rPr>
        <w:t>1</w:t>
      </w:r>
      <w:r>
        <w:rPr>
          <w:color w:val="auto"/>
          <w:highlight w:val="none"/>
          <w:lang w:eastAsia="zh-CN"/>
        </w:rPr>
        <w:t>、“项目”是指甲方委托乙方管理的房地产项目（当甲方拥有的房地产项目仅部分委托乙方提供管理服务的，则本合同中“项目”仅指纳入乙方管理范围的部分）。</w:t>
      </w:r>
    </w:p>
    <w:p>
      <w:pPr>
        <w:pStyle w:val="17"/>
        <w:spacing w:before="147" w:line="364" w:lineRule="auto"/>
        <w:ind w:right="978" w:firstLine="439"/>
        <w:rPr>
          <w:color w:val="auto"/>
          <w:highlight w:val="none"/>
          <w:lang w:eastAsia="zh-CN"/>
        </w:rPr>
      </w:pPr>
      <w:r>
        <w:rPr>
          <w:rFonts w:hint="eastAsia" w:ascii="Times New Roman" w:hAnsi="Times New Roman"/>
          <w:color w:val="auto"/>
          <w:highlight w:val="none"/>
          <w:lang w:eastAsia="zh-CN"/>
        </w:rPr>
        <w:t>2</w:t>
      </w:r>
      <w:r>
        <w:rPr>
          <w:color w:val="auto"/>
          <w:highlight w:val="none"/>
          <w:lang w:eastAsia="zh-CN"/>
        </w:rPr>
        <w:t>、“委托人”是指承担投资责任并进行项目开发的一方。</w:t>
      </w:r>
    </w:p>
    <w:p>
      <w:pPr>
        <w:pStyle w:val="17"/>
        <w:spacing w:before="147" w:line="364" w:lineRule="auto"/>
        <w:ind w:right="978" w:firstLine="439"/>
        <w:rPr>
          <w:color w:val="auto"/>
          <w:highlight w:val="none"/>
          <w:lang w:eastAsia="zh-CN"/>
        </w:rPr>
      </w:pPr>
      <w:r>
        <w:rPr>
          <w:rFonts w:hint="eastAsia" w:ascii="Times New Roman" w:hAnsi="Times New Roman"/>
          <w:color w:val="auto"/>
          <w:highlight w:val="none"/>
          <w:lang w:eastAsia="zh-CN"/>
        </w:rPr>
        <w:t>3</w:t>
      </w:r>
      <w:r>
        <w:rPr>
          <w:color w:val="auto"/>
          <w:highlight w:val="none"/>
          <w:lang w:eastAsia="zh-CN"/>
        </w:rPr>
        <w:t>、“受托人”是指按照本合同约定受托承担项目组织管理工作的一方。</w:t>
      </w:r>
    </w:p>
    <w:p>
      <w:pPr>
        <w:pStyle w:val="17"/>
        <w:spacing w:before="147" w:line="364" w:lineRule="auto"/>
        <w:ind w:right="978" w:firstLine="439"/>
        <w:rPr>
          <w:color w:val="auto"/>
          <w:highlight w:val="none"/>
          <w:lang w:eastAsia="zh-CN"/>
        </w:rPr>
      </w:pPr>
      <w:r>
        <w:rPr>
          <w:rFonts w:hint="eastAsia" w:ascii="Times New Roman" w:hAnsi="Times New Roman"/>
          <w:color w:val="auto"/>
          <w:highlight w:val="none"/>
          <w:lang w:eastAsia="zh-CN"/>
        </w:rPr>
        <w:t>4</w:t>
      </w:r>
      <w:r>
        <w:rPr>
          <w:color w:val="auto"/>
          <w:highlight w:val="none"/>
          <w:lang w:eastAsia="zh-CN"/>
        </w:rPr>
        <w:t>、“正常工作”是指在项目</w:t>
      </w:r>
      <w:r>
        <w:rPr>
          <w:rFonts w:hint="eastAsia"/>
          <w:color w:val="auto"/>
          <w:highlight w:val="none"/>
          <w:lang w:eastAsia="zh-CN"/>
        </w:rPr>
        <w:t>开发</w:t>
      </w:r>
      <w:r>
        <w:rPr>
          <w:color w:val="auto"/>
          <w:highlight w:val="none"/>
          <w:lang w:eastAsia="zh-CN"/>
        </w:rPr>
        <w:t>管理</w:t>
      </w:r>
      <w:r>
        <w:rPr>
          <w:rFonts w:hint="eastAsia"/>
          <w:color w:val="auto"/>
          <w:highlight w:val="none"/>
          <w:lang w:eastAsia="zh-CN"/>
        </w:rPr>
        <w:t>服务</w:t>
      </w:r>
      <w:r>
        <w:rPr>
          <w:color w:val="auto"/>
          <w:highlight w:val="none"/>
          <w:lang w:eastAsia="zh-CN"/>
        </w:rPr>
        <w:t>期限内双方在本合同中约定，乙方从事的管理工作。</w:t>
      </w:r>
    </w:p>
    <w:p>
      <w:pPr>
        <w:pStyle w:val="17"/>
        <w:spacing w:before="147" w:line="364" w:lineRule="auto"/>
        <w:ind w:right="978" w:firstLine="439"/>
        <w:rPr>
          <w:color w:val="auto"/>
          <w:highlight w:val="none"/>
          <w:lang w:eastAsia="zh-CN"/>
        </w:rPr>
      </w:pPr>
      <w:r>
        <w:rPr>
          <w:rFonts w:hint="eastAsia" w:ascii="Times New Roman" w:hAnsi="Times New Roman"/>
          <w:color w:val="auto"/>
          <w:highlight w:val="none"/>
          <w:lang w:eastAsia="zh-CN"/>
        </w:rPr>
        <w:t>5</w:t>
      </w:r>
      <w:r>
        <w:rPr>
          <w:color w:val="auto"/>
          <w:highlight w:val="none"/>
          <w:lang w:eastAsia="zh-CN"/>
        </w:rPr>
        <w:t>、“额外工作”是指：（</w:t>
      </w:r>
      <w:r>
        <w:rPr>
          <w:rFonts w:hint="eastAsia" w:ascii="Times New Roman" w:hAnsi="Times New Roman"/>
          <w:color w:val="auto"/>
          <w:highlight w:val="none"/>
          <w:lang w:eastAsia="zh-CN"/>
        </w:rPr>
        <w:t>1</w:t>
      </w:r>
      <w:r>
        <w:rPr>
          <w:color w:val="auto"/>
          <w:highlight w:val="none"/>
          <w:lang w:eastAsia="zh-CN"/>
        </w:rPr>
        <w:t>）甲方在</w:t>
      </w:r>
      <w:r>
        <w:rPr>
          <w:rFonts w:hint="eastAsia"/>
          <w:color w:val="auto"/>
          <w:highlight w:val="none"/>
          <w:lang w:eastAsia="zh-CN"/>
        </w:rPr>
        <w:t>开发</w:t>
      </w:r>
      <w:r>
        <w:rPr>
          <w:color w:val="auto"/>
          <w:highlight w:val="none"/>
          <w:lang w:eastAsia="zh-CN"/>
        </w:rPr>
        <w:t>管理</w:t>
      </w:r>
      <w:r>
        <w:rPr>
          <w:rFonts w:hint="eastAsia"/>
          <w:color w:val="auto"/>
          <w:highlight w:val="none"/>
          <w:lang w:eastAsia="zh-CN"/>
        </w:rPr>
        <w:t>服务</w:t>
      </w:r>
      <w:r>
        <w:rPr>
          <w:color w:val="auto"/>
          <w:highlight w:val="none"/>
          <w:lang w:eastAsia="zh-CN"/>
        </w:rPr>
        <w:t>范围以外，通过书面协议另外增加的工作内容；（</w:t>
      </w:r>
      <w:r>
        <w:rPr>
          <w:rFonts w:hint="eastAsia" w:ascii="Times New Roman" w:hAnsi="Times New Roman"/>
          <w:color w:val="auto"/>
          <w:highlight w:val="none"/>
          <w:lang w:eastAsia="zh-CN"/>
        </w:rPr>
        <w:t>2</w:t>
      </w:r>
      <w:r>
        <w:rPr>
          <w:color w:val="auto"/>
          <w:highlight w:val="none"/>
          <w:lang w:eastAsia="zh-CN"/>
        </w:rPr>
        <w:t>）由于甲方、政府主管部门或其他非乙方原因，使</w:t>
      </w:r>
      <w:r>
        <w:rPr>
          <w:rFonts w:hint="eastAsia"/>
          <w:color w:val="auto"/>
          <w:highlight w:val="none"/>
          <w:lang w:eastAsia="zh-CN"/>
        </w:rPr>
        <w:t>开发</w:t>
      </w:r>
      <w:r>
        <w:rPr>
          <w:color w:val="auto"/>
          <w:highlight w:val="none"/>
          <w:lang w:eastAsia="zh-CN"/>
        </w:rPr>
        <w:t>管理工作受到阻碍、延误、中断，造成工作量变大或持续时间变长而增加的工作。</w:t>
      </w:r>
    </w:p>
    <w:p>
      <w:pPr>
        <w:pStyle w:val="17"/>
        <w:spacing w:before="147" w:line="364" w:lineRule="auto"/>
        <w:ind w:right="978" w:firstLine="439"/>
        <w:rPr>
          <w:color w:val="auto"/>
          <w:highlight w:val="none"/>
          <w:lang w:eastAsia="zh-CN"/>
        </w:rPr>
      </w:pPr>
      <w:r>
        <w:rPr>
          <w:rFonts w:hint="eastAsia" w:ascii="Times New Roman" w:hAnsi="Times New Roman"/>
          <w:color w:val="auto"/>
          <w:highlight w:val="none"/>
          <w:lang w:eastAsia="zh-CN"/>
        </w:rPr>
        <w:t>6</w:t>
      </w:r>
      <w:r>
        <w:rPr>
          <w:color w:val="auto"/>
          <w:highlight w:val="none"/>
          <w:lang w:eastAsia="zh-CN"/>
        </w:rPr>
        <w:t>、“月”是指根据公历从一个月份中任何一天开始到下一个月相应日期前一天的时间段。</w:t>
      </w:r>
    </w:p>
    <w:p>
      <w:pPr>
        <w:pStyle w:val="17"/>
        <w:spacing w:before="147" w:line="364" w:lineRule="auto"/>
        <w:ind w:right="978" w:firstLine="439"/>
        <w:rPr>
          <w:color w:val="auto"/>
          <w:highlight w:val="none"/>
          <w:lang w:eastAsia="zh-CN"/>
        </w:rPr>
      </w:pPr>
      <w:r>
        <w:rPr>
          <w:rFonts w:hint="eastAsia" w:ascii="Times New Roman" w:hAnsi="Times New Roman"/>
          <w:color w:val="auto"/>
          <w:highlight w:val="none"/>
          <w:lang w:eastAsia="zh-CN"/>
        </w:rPr>
        <w:t>7</w:t>
      </w:r>
      <w:r>
        <w:rPr>
          <w:color w:val="auto"/>
          <w:highlight w:val="none"/>
          <w:lang w:eastAsia="zh-CN"/>
        </w:rPr>
        <w:t>、“专业工作单位”是指由乙方在项目管理过程中确定的承担本项目勘察、设计、施工、监理、材料和设备供应及安装、造价咨询、法律咨询等工作的单位。</w:t>
      </w:r>
    </w:p>
    <w:p>
      <w:pPr>
        <w:pStyle w:val="17"/>
        <w:spacing w:before="147" w:line="364" w:lineRule="auto"/>
        <w:ind w:right="978" w:firstLine="439"/>
        <w:rPr>
          <w:color w:val="auto"/>
          <w:highlight w:val="none"/>
          <w:lang w:eastAsia="zh-CN"/>
        </w:rPr>
      </w:pPr>
      <w:r>
        <w:rPr>
          <w:rFonts w:hint="eastAsia" w:ascii="Times New Roman" w:hAnsi="Times New Roman"/>
          <w:color w:val="auto"/>
          <w:highlight w:val="none"/>
          <w:lang w:eastAsia="zh-CN"/>
        </w:rPr>
        <w:t>8</w:t>
      </w:r>
      <w:r>
        <w:rPr>
          <w:color w:val="auto"/>
          <w:highlight w:val="none"/>
          <w:lang w:eastAsia="zh-CN"/>
        </w:rPr>
        <w:t>、“重大工程变更”包括（</w:t>
      </w:r>
      <w:r>
        <w:rPr>
          <w:rFonts w:hint="eastAsia" w:ascii="Times New Roman" w:hAnsi="Times New Roman"/>
          <w:color w:val="auto"/>
          <w:highlight w:val="none"/>
          <w:lang w:eastAsia="zh-CN"/>
        </w:rPr>
        <w:t>1</w:t>
      </w:r>
      <w:r>
        <w:rPr>
          <w:color w:val="auto"/>
          <w:highlight w:val="none"/>
          <w:lang w:eastAsia="zh-CN"/>
        </w:rPr>
        <w:t>）重大设计变更；（</w:t>
      </w:r>
      <w:r>
        <w:rPr>
          <w:rFonts w:hint="eastAsia" w:ascii="Times New Roman" w:hAnsi="Times New Roman"/>
          <w:color w:val="auto"/>
          <w:highlight w:val="none"/>
          <w:lang w:eastAsia="zh-CN"/>
        </w:rPr>
        <w:t>2</w:t>
      </w:r>
      <w:r>
        <w:rPr>
          <w:color w:val="auto"/>
          <w:highlight w:val="none"/>
          <w:lang w:eastAsia="zh-CN"/>
        </w:rPr>
        <w:t xml:space="preserve">）金额超 </w:t>
      </w:r>
      <w:r>
        <w:rPr>
          <w:rFonts w:hint="eastAsia" w:ascii="Times New Roman" w:hAnsi="Times New Roman"/>
          <w:color w:val="auto"/>
          <w:highlight w:val="none"/>
          <w:lang w:eastAsia="zh-CN"/>
        </w:rPr>
        <w:t>20</w:t>
      </w:r>
      <w:r>
        <w:rPr>
          <w:color w:val="auto"/>
          <w:highlight w:val="none"/>
          <w:lang w:eastAsia="zh-CN"/>
        </w:rPr>
        <w:t xml:space="preserve"> 万元的单项工程变更；（</w:t>
      </w:r>
      <w:r>
        <w:rPr>
          <w:rFonts w:hint="eastAsia" w:ascii="Times New Roman" w:hAnsi="Times New Roman"/>
          <w:color w:val="auto"/>
          <w:highlight w:val="none"/>
          <w:lang w:eastAsia="zh-CN"/>
        </w:rPr>
        <w:t>3</w:t>
      </w:r>
      <w:r>
        <w:rPr>
          <w:color w:val="auto"/>
          <w:highlight w:val="none"/>
          <w:lang w:eastAsia="zh-CN"/>
        </w:rPr>
        <w:t xml:space="preserve">）导致工期延长超过 </w:t>
      </w:r>
      <w:r>
        <w:rPr>
          <w:rFonts w:hint="eastAsia" w:ascii="Times New Roman" w:hAnsi="Times New Roman"/>
          <w:color w:val="auto"/>
          <w:highlight w:val="none"/>
          <w:lang w:eastAsia="zh-CN"/>
        </w:rPr>
        <w:t>10</w:t>
      </w:r>
      <w:r>
        <w:rPr>
          <w:color w:val="auto"/>
          <w:highlight w:val="none"/>
          <w:lang w:eastAsia="zh-CN"/>
        </w:rPr>
        <w:t xml:space="preserve"> 天的工程变更。其中重大设计变更包括：</w:t>
      </w:r>
    </w:p>
    <w:p>
      <w:pPr>
        <w:pStyle w:val="17"/>
        <w:spacing w:before="147" w:line="364" w:lineRule="auto"/>
        <w:ind w:right="978" w:firstLine="439"/>
        <w:rPr>
          <w:color w:val="auto"/>
          <w:highlight w:val="none"/>
          <w:lang w:eastAsia="zh-CN"/>
        </w:rPr>
      </w:pPr>
      <w:r>
        <w:rPr>
          <w:color w:val="auto"/>
          <w:highlight w:val="none"/>
          <w:lang w:eastAsia="zh-CN"/>
        </w:rPr>
        <w:t>①规划建筑方案：整体规划布局、 功能调整、平立面、产品标准的设计变更；</w:t>
      </w:r>
    </w:p>
    <w:p>
      <w:pPr>
        <w:pStyle w:val="17"/>
        <w:spacing w:before="147" w:line="364" w:lineRule="auto"/>
        <w:ind w:right="978" w:firstLine="439"/>
        <w:rPr>
          <w:color w:val="auto"/>
          <w:highlight w:val="none"/>
          <w:lang w:eastAsia="zh-CN"/>
        </w:rPr>
      </w:pPr>
      <w:r>
        <w:rPr>
          <w:color w:val="auto"/>
          <w:highlight w:val="none"/>
          <w:lang w:eastAsia="zh-CN"/>
        </w:rPr>
        <w:t>②景观方案：涉及园区空间结构；主入口、轴线景观；水景、构筑物等核心元素的数量、体量；配置标准；</w:t>
      </w:r>
    </w:p>
    <w:p>
      <w:pPr>
        <w:pStyle w:val="17"/>
        <w:spacing w:before="147" w:line="364" w:lineRule="auto"/>
        <w:ind w:right="978" w:firstLine="439"/>
        <w:rPr>
          <w:color w:val="auto"/>
          <w:highlight w:val="none"/>
          <w:lang w:eastAsia="zh-CN"/>
        </w:rPr>
      </w:pPr>
      <w:r>
        <w:rPr>
          <w:color w:val="auto"/>
          <w:highlight w:val="none"/>
          <w:lang w:eastAsia="zh-CN"/>
        </w:rPr>
        <w:t>③精装修方案：涉及功能布局、平立面、配置标准。</w:t>
      </w:r>
    </w:p>
    <w:p>
      <w:pPr>
        <w:pStyle w:val="17"/>
        <w:spacing w:before="147" w:line="364" w:lineRule="auto"/>
        <w:ind w:right="978" w:firstLine="439"/>
        <w:rPr>
          <w:color w:val="auto"/>
          <w:highlight w:val="none"/>
          <w:lang w:eastAsia="zh-CN"/>
        </w:rPr>
      </w:pPr>
      <w:r>
        <w:rPr>
          <w:rFonts w:hint="eastAsia" w:ascii="Times New Roman" w:hAnsi="Times New Roman"/>
          <w:color w:val="auto"/>
          <w:highlight w:val="none"/>
          <w:lang w:eastAsia="zh-CN"/>
        </w:rPr>
        <w:t>9</w:t>
      </w:r>
      <w:r>
        <w:rPr>
          <w:color w:val="auto"/>
          <w:highlight w:val="none"/>
          <w:lang w:eastAsia="zh-CN"/>
        </w:rPr>
        <w:t>、“预估销售额”是指甲乙双方作为项目开发</w:t>
      </w:r>
      <w:r>
        <w:rPr>
          <w:rFonts w:hint="eastAsia"/>
          <w:color w:val="auto"/>
          <w:highlight w:val="none"/>
          <w:lang w:eastAsia="zh-CN"/>
        </w:rPr>
        <w:t>开发</w:t>
      </w:r>
      <w:r>
        <w:rPr>
          <w:color w:val="auto"/>
          <w:highlight w:val="none"/>
          <w:lang w:eastAsia="zh-CN"/>
        </w:rPr>
        <w:t>管理</w:t>
      </w:r>
      <w:r>
        <w:rPr>
          <w:rFonts w:hint="eastAsia"/>
          <w:color w:val="auto"/>
          <w:highlight w:val="none"/>
          <w:lang w:eastAsia="zh-CN"/>
        </w:rPr>
        <w:t>服务</w:t>
      </w:r>
      <w:r>
        <w:rPr>
          <w:color w:val="auto"/>
          <w:highlight w:val="none"/>
          <w:lang w:eastAsia="zh-CN"/>
        </w:rPr>
        <w:t>费支付依据而事先约定的项目预计含增值税销售总额，该预估销售额不作为乙方</w:t>
      </w:r>
      <w:r>
        <w:rPr>
          <w:rFonts w:hint="eastAsia"/>
          <w:color w:val="auto"/>
          <w:highlight w:val="none"/>
          <w:lang w:eastAsia="zh-CN"/>
        </w:rPr>
        <w:t>开发</w:t>
      </w:r>
      <w:r>
        <w:rPr>
          <w:color w:val="auto"/>
          <w:highlight w:val="none"/>
          <w:lang w:eastAsia="zh-CN"/>
        </w:rPr>
        <w:t>管理</w:t>
      </w:r>
      <w:r>
        <w:rPr>
          <w:rFonts w:hint="eastAsia"/>
          <w:color w:val="auto"/>
          <w:highlight w:val="none"/>
          <w:lang w:eastAsia="zh-CN"/>
        </w:rPr>
        <w:t>服务</w:t>
      </w:r>
      <w:r>
        <w:rPr>
          <w:color w:val="auto"/>
          <w:highlight w:val="none"/>
          <w:lang w:eastAsia="zh-CN"/>
        </w:rPr>
        <w:t>考核目标。</w:t>
      </w:r>
    </w:p>
    <w:p>
      <w:pPr>
        <w:pStyle w:val="17"/>
        <w:spacing w:before="147" w:line="364" w:lineRule="auto"/>
        <w:ind w:right="978" w:firstLine="439"/>
        <w:rPr>
          <w:color w:val="auto"/>
          <w:highlight w:val="none"/>
          <w:lang w:eastAsia="zh-CN"/>
        </w:rPr>
      </w:pPr>
      <w:r>
        <w:rPr>
          <w:rFonts w:hint="eastAsia" w:ascii="Times New Roman" w:hAnsi="Times New Roman"/>
          <w:color w:val="auto"/>
          <w:highlight w:val="none"/>
          <w:lang w:eastAsia="zh-CN"/>
        </w:rPr>
        <w:t>10</w:t>
      </w:r>
      <w:r>
        <w:rPr>
          <w:color w:val="auto"/>
          <w:highlight w:val="none"/>
          <w:lang w:eastAsia="zh-CN"/>
        </w:rPr>
        <w:t>、“项目总销售额”是指按照本合同约定的方式计算所得的各类可售物业的含增值税销售总额，包括房屋、地下车位等可售物业的合同销售额（包括备案及未备案的合同）以及甲方保留物业和达到销售目标后的剩余物业按照双方约定方法计算所得的销售额之和。</w:t>
      </w:r>
    </w:p>
    <w:p>
      <w:pPr>
        <w:pStyle w:val="17"/>
        <w:spacing w:before="147" w:line="364" w:lineRule="auto"/>
        <w:ind w:right="978" w:firstLine="439"/>
        <w:rPr>
          <w:color w:val="auto"/>
          <w:highlight w:val="none"/>
          <w:lang w:eastAsia="zh-CN"/>
        </w:rPr>
      </w:pPr>
      <w:r>
        <w:rPr>
          <w:rFonts w:hint="eastAsia" w:ascii="Times New Roman" w:hAnsi="Times New Roman"/>
          <w:color w:val="auto"/>
          <w:highlight w:val="none"/>
          <w:lang w:eastAsia="zh-CN"/>
        </w:rPr>
        <w:t>11</w:t>
      </w:r>
      <w:r>
        <w:rPr>
          <w:color w:val="auto"/>
          <w:highlight w:val="none"/>
          <w:lang w:eastAsia="zh-CN"/>
        </w:rPr>
        <w:t>、“甲方保留物业”是指实际可对外销售但甲方自行保留不对外销售的物业，甲方保留物业在最终结算时按本项目同一分期同类物业的含税销售均价计算可售金额，计入项目总销售额。</w:t>
      </w:r>
    </w:p>
    <w:p>
      <w:pPr>
        <w:pStyle w:val="17"/>
        <w:spacing w:before="147" w:line="364" w:lineRule="auto"/>
        <w:ind w:right="978" w:firstLine="439"/>
        <w:rPr>
          <w:color w:val="auto"/>
          <w:highlight w:val="none"/>
          <w:lang w:eastAsia="zh-CN"/>
        </w:rPr>
      </w:pPr>
      <w:r>
        <w:rPr>
          <w:rFonts w:hint="eastAsia" w:ascii="Times New Roman" w:hAnsi="Times New Roman"/>
          <w:color w:val="auto"/>
          <w:highlight w:val="none"/>
          <w:lang w:eastAsia="zh-CN"/>
        </w:rPr>
        <w:t>12</w:t>
      </w:r>
      <w:r>
        <w:rPr>
          <w:color w:val="auto"/>
          <w:highlight w:val="none"/>
          <w:lang w:eastAsia="zh-CN"/>
        </w:rPr>
        <w:t>、“剩余物业”是指截止最终结算之日尚未出售的可售物业。</w:t>
      </w:r>
    </w:p>
    <w:p>
      <w:pPr>
        <w:pStyle w:val="17"/>
        <w:spacing w:before="147" w:line="364" w:lineRule="auto"/>
        <w:ind w:right="978" w:firstLine="439"/>
        <w:rPr>
          <w:color w:val="auto"/>
          <w:highlight w:val="none"/>
          <w:lang w:eastAsia="zh-CN"/>
        </w:rPr>
      </w:pPr>
      <w:r>
        <w:rPr>
          <w:rFonts w:hint="eastAsia" w:ascii="Times New Roman" w:hAnsi="Times New Roman"/>
          <w:color w:val="auto"/>
          <w:highlight w:val="none"/>
          <w:lang w:eastAsia="zh-CN"/>
        </w:rPr>
        <w:t>13</w:t>
      </w:r>
      <w:r>
        <w:rPr>
          <w:color w:val="auto"/>
          <w:highlight w:val="none"/>
          <w:lang w:eastAsia="zh-CN"/>
        </w:rPr>
        <w:t>、“营销费用”是指直接为销售目的而产生的全部费用，包含营销推广费用、销</w:t>
      </w:r>
    </w:p>
    <w:p>
      <w:pPr>
        <w:pStyle w:val="17"/>
        <w:spacing w:before="147" w:line="364" w:lineRule="auto"/>
        <w:ind w:right="978" w:firstLine="439"/>
        <w:rPr>
          <w:color w:val="auto"/>
          <w:highlight w:val="none"/>
          <w:lang w:eastAsia="zh-CN"/>
        </w:rPr>
        <w:sectPr>
          <w:pgSz w:w="11849" w:h="16792"/>
          <w:pgMar w:top="1417" w:right="850" w:bottom="1417" w:left="850" w:header="850" w:footer="850" w:gutter="0"/>
          <w:pgBorders>
            <w:top w:val="none" w:sz="0" w:space="0"/>
            <w:left w:val="none" w:sz="0" w:space="0"/>
            <w:bottom w:val="none" w:sz="0" w:space="0"/>
            <w:right w:val="none" w:sz="0" w:space="0"/>
          </w:pgBorders>
          <w:pgNumType w:fmt="decimal"/>
          <w:cols w:space="0" w:num="1"/>
          <w:rtlGutter w:val="0"/>
          <w:docGrid w:linePitch="0" w:charSpace="0"/>
        </w:sectPr>
      </w:pPr>
    </w:p>
    <w:p>
      <w:pPr>
        <w:pStyle w:val="17"/>
        <w:spacing w:before="147" w:line="364" w:lineRule="auto"/>
        <w:ind w:right="978" w:firstLine="439"/>
        <w:rPr>
          <w:color w:val="auto"/>
          <w:highlight w:val="none"/>
          <w:lang w:eastAsia="zh-CN"/>
        </w:rPr>
      </w:pPr>
      <w:bookmarkStart w:id="146" w:name="附件二：项目管理团队岗位人员要求"/>
      <w:bookmarkEnd w:id="146"/>
      <w:r>
        <w:rPr>
          <w:color w:val="auto"/>
          <w:highlight w:val="none"/>
          <w:lang w:eastAsia="zh-CN"/>
        </w:rPr>
        <w:t>售人员佣金、销售代理费、广告费、广告策划费、促销费、市场调查费、展览会费、营销活动组织费用、物料印刷费等。销售费用不包含销售展示中心、样板房、临时样板展示区建造、设计、装修装饰费用，以及销售展示中心相关租赁、使用费用。</w:t>
      </w:r>
    </w:p>
    <w:p>
      <w:pPr>
        <w:pStyle w:val="17"/>
        <w:spacing w:before="147" w:line="364" w:lineRule="auto"/>
        <w:ind w:right="978" w:firstLine="439"/>
        <w:rPr>
          <w:color w:val="auto"/>
          <w:highlight w:val="none"/>
          <w:lang w:eastAsia="zh-CN"/>
        </w:rPr>
      </w:pPr>
      <w:r>
        <w:rPr>
          <w:rFonts w:hint="eastAsia" w:ascii="Times New Roman" w:hAnsi="Times New Roman"/>
          <w:color w:val="auto"/>
          <w:highlight w:val="none"/>
          <w:lang w:eastAsia="zh-CN"/>
        </w:rPr>
        <w:t>14</w:t>
      </w:r>
      <w:r>
        <w:rPr>
          <w:color w:val="auto"/>
          <w:highlight w:val="none"/>
          <w:lang w:eastAsia="zh-CN"/>
        </w:rPr>
        <w:t>、“营销推广费用”是指除销售人员底薪及佣金外的销售费用，包括前期定位工作（含客户研究）费用、广告策划服务费、房展会费用、户外广告费、媒体传播广告 费、销售物料制作费及营销活动费。但不包括临时样板房或装修样板房、临时性销售展示中心、示范展示区等所有相关的建安成本、设计、装修和装饰费用，以及销售展示中心租赁及使用费（水电费、物业费等）。</w:t>
      </w:r>
    </w:p>
    <w:p>
      <w:pPr>
        <w:pStyle w:val="17"/>
        <w:spacing w:before="147" w:line="364" w:lineRule="auto"/>
        <w:ind w:right="978" w:firstLine="439"/>
        <w:rPr>
          <w:color w:val="auto"/>
          <w:highlight w:val="none"/>
          <w:lang w:eastAsia="zh-CN"/>
        </w:rPr>
      </w:pPr>
      <w:r>
        <w:rPr>
          <w:rFonts w:hint="eastAsia" w:ascii="Times New Roman" w:hAnsi="Times New Roman"/>
          <w:color w:val="auto"/>
          <w:highlight w:val="none"/>
          <w:lang w:eastAsia="zh-CN"/>
        </w:rPr>
        <w:t>15</w:t>
      </w:r>
      <w:r>
        <w:rPr>
          <w:color w:val="auto"/>
          <w:highlight w:val="none"/>
          <w:lang w:eastAsia="zh-CN"/>
        </w:rPr>
        <w:t>、“工程成本”是指建安工程费（含建筑、安装、精装修工程费）、设备工程 费、室外工程费、环境工程费、弱电工程费、公共配套工程费、工程不可预见费之和。</w:t>
      </w:r>
    </w:p>
    <w:p>
      <w:pPr>
        <w:pStyle w:val="17"/>
        <w:spacing w:before="147" w:line="364" w:lineRule="auto"/>
        <w:ind w:right="978" w:firstLine="439"/>
        <w:rPr>
          <w:color w:val="auto"/>
          <w:highlight w:val="none"/>
          <w:lang w:eastAsia="zh-CN"/>
        </w:rPr>
      </w:pPr>
      <w:r>
        <w:rPr>
          <w:rFonts w:hint="eastAsia" w:ascii="Times New Roman" w:hAnsi="Times New Roman"/>
          <w:color w:val="auto"/>
          <w:highlight w:val="none"/>
          <w:lang w:eastAsia="zh-CN"/>
        </w:rPr>
        <w:t>16</w:t>
      </w:r>
      <w:r>
        <w:rPr>
          <w:color w:val="auto"/>
          <w:highlight w:val="none"/>
          <w:lang w:eastAsia="zh-CN"/>
        </w:rPr>
        <w:t>、“销售率”是指完成签订商品房买卖合同的面积与当期地上可销售面积（不含地下车位）之间的比例。</w:t>
      </w:r>
    </w:p>
    <w:p>
      <w:pPr>
        <w:pStyle w:val="17"/>
        <w:spacing w:before="147" w:line="364" w:lineRule="auto"/>
        <w:ind w:right="978" w:firstLine="439"/>
        <w:rPr>
          <w:color w:val="auto"/>
          <w:highlight w:val="none"/>
          <w:lang w:eastAsia="zh-CN"/>
        </w:rPr>
      </w:pPr>
      <w:r>
        <w:rPr>
          <w:rFonts w:hint="eastAsia" w:ascii="Times New Roman" w:hAnsi="Times New Roman"/>
          <w:color w:val="auto"/>
          <w:highlight w:val="none"/>
          <w:lang w:eastAsia="zh-CN"/>
        </w:rPr>
        <w:t>17</w:t>
      </w:r>
      <w:r>
        <w:rPr>
          <w:color w:val="auto"/>
          <w:highlight w:val="none"/>
          <w:lang w:eastAsia="zh-CN"/>
        </w:rPr>
        <w:t>、“集中交付”是指的是房屋在竣工备案后达到可以交付的标准，以项目分期或整个项目作为交付的基础，对业主进行集中交房。</w:t>
      </w:r>
    </w:p>
    <w:p>
      <w:pPr>
        <w:spacing w:line="364" w:lineRule="auto"/>
        <w:rPr>
          <w:color w:val="auto"/>
          <w:highlight w:val="none"/>
          <w:lang w:eastAsia="zh-CN"/>
        </w:rPr>
        <w:sectPr>
          <w:pgSz w:w="11849" w:h="16792"/>
          <w:pgMar w:top="1417" w:right="850" w:bottom="1417" w:left="850" w:header="850" w:footer="850" w:gutter="0"/>
          <w:pgBorders>
            <w:top w:val="none" w:sz="0" w:space="0"/>
            <w:left w:val="none" w:sz="0" w:space="0"/>
            <w:bottom w:val="none" w:sz="0" w:space="0"/>
            <w:right w:val="none" w:sz="0" w:space="0"/>
          </w:pgBorders>
          <w:pgNumType w:fmt="decimal"/>
          <w:cols w:space="0" w:num="1"/>
          <w:rtlGutter w:val="0"/>
          <w:docGrid w:linePitch="0" w:charSpace="0"/>
        </w:sectPr>
      </w:pPr>
    </w:p>
    <w:p>
      <w:pPr>
        <w:pStyle w:val="12"/>
        <w:rPr>
          <w:color w:val="auto"/>
          <w:highlight w:val="none"/>
          <w:lang w:eastAsia="zh-CN"/>
        </w:rPr>
      </w:pPr>
      <w:r>
        <w:rPr>
          <w:color w:val="auto"/>
          <w:highlight w:val="none"/>
          <w:lang w:eastAsia="zh-CN"/>
        </w:rPr>
        <w:t>附件二：项目管理团队岗位人员要求</w:t>
      </w:r>
    </w:p>
    <w:p>
      <w:pPr>
        <w:pStyle w:val="17"/>
        <w:spacing w:before="4"/>
        <w:ind w:left="0"/>
        <w:rPr>
          <w:rFonts w:ascii="黑体"/>
          <w:color w:val="auto"/>
          <w:sz w:val="12"/>
          <w:highlight w:val="none"/>
          <w:lang w:eastAsia="zh-CN"/>
        </w:rPr>
      </w:pPr>
    </w:p>
    <w:tbl>
      <w:tblPr>
        <w:tblStyle w:val="37"/>
        <w:tblpPr w:leftFromText="180" w:rightFromText="180" w:vertAnchor="text" w:horzAnchor="page" w:tblpX="1631" w:tblpY="15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10"/>
        <w:gridCol w:w="1590"/>
        <w:gridCol w:w="48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310" w:type="dxa"/>
            <w:shd w:val="clear" w:color="auto" w:fill="E7E6E6"/>
            <w:noWrap w:val="0"/>
            <w:vAlign w:val="center"/>
          </w:tcPr>
          <w:p>
            <w:pPr>
              <w:jc w:val="center"/>
              <w:rPr>
                <w:b/>
                <w:bCs/>
                <w:color w:val="auto"/>
                <w:sz w:val="24"/>
                <w:szCs w:val="24"/>
                <w:highlight w:val="none"/>
              </w:rPr>
            </w:pPr>
            <w:r>
              <w:rPr>
                <w:b/>
                <w:bCs/>
                <w:color w:val="auto"/>
                <w:sz w:val="24"/>
                <w:szCs w:val="24"/>
                <w:highlight w:val="none"/>
              </w:rPr>
              <w:t>部门设置</w:t>
            </w:r>
          </w:p>
        </w:tc>
        <w:tc>
          <w:tcPr>
            <w:tcW w:w="1590" w:type="dxa"/>
            <w:shd w:val="clear" w:color="auto" w:fill="E7E6E6"/>
            <w:noWrap w:val="0"/>
            <w:vAlign w:val="center"/>
          </w:tcPr>
          <w:p>
            <w:pPr>
              <w:jc w:val="center"/>
              <w:rPr>
                <w:b/>
                <w:bCs/>
                <w:color w:val="auto"/>
                <w:sz w:val="24"/>
                <w:szCs w:val="24"/>
                <w:highlight w:val="none"/>
              </w:rPr>
            </w:pPr>
            <w:r>
              <w:rPr>
                <w:b/>
                <w:bCs/>
                <w:color w:val="auto"/>
                <w:sz w:val="24"/>
                <w:szCs w:val="24"/>
                <w:highlight w:val="none"/>
              </w:rPr>
              <w:t>序号</w:t>
            </w:r>
          </w:p>
        </w:tc>
        <w:tc>
          <w:tcPr>
            <w:tcW w:w="4815" w:type="dxa"/>
            <w:shd w:val="clear" w:color="auto" w:fill="E7E6E6"/>
            <w:noWrap w:val="0"/>
            <w:vAlign w:val="center"/>
          </w:tcPr>
          <w:p>
            <w:pPr>
              <w:jc w:val="center"/>
              <w:rPr>
                <w:b/>
                <w:bCs/>
                <w:color w:val="auto"/>
                <w:sz w:val="24"/>
                <w:szCs w:val="24"/>
                <w:highlight w:val="none"/>
              </w:rPr>
            </w:pPr>
            <w:r>
              <w:rPr>
                <w:b/>
                <w:bCs/>
                <w:color w:val="auto"/>
                <w:sz w:val="24"/>
                <w:szCs w:val="24"/>
                <w:highlight w:val="none"/>
              </w:rPr>
              <w:t>岗位设置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2310" w:type="dxa"/>
            <w:vMerge w:val="restart"/>
            <w:noWrap w:val="0"/>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项目经营班子</w:t>
            </w:r>
          </w:p>
        </w:tc>
        <w:tc>
          <w:tcPr>
            <w:tcW w:w="1590" w:type="dxa"/>
            <w:noWrap w:val="0"/>
            <w:vAlign w:val="center"/>
          </w:tcPr>
          <w:p>
            <w:pPr>
              <w:pStyle w:val="65"/>
              <w:jc w:val="center"/>
              <w:rPr>
                <w:rFonts w:hint="eastAsia" w:eastAsia="宋体"/>
                <w:color w:val="auto"/>
                <w:highlight w:val="none"/>
                <w:lang w:eastAsia="zh-CN"/>
              </w:rPr>
            </w:pPr>
            <w:r>
              <w:rPr>
                <w:rFonts w:hint="eastAsia" w:ascii="Times New Roman" w:hAnsi="Times New Roman"/>
                <w:color w:val="auto"/>
                <w:highlight w:val="none"/>
                <w:lang w:eastAsia="zh-CN"/>
              </w:rPr>
              <w:t>1</w:t>
            </w:r>
          </w:p>
        </w:tc>
        <w:tc>
          <w:tcPr>
            <w:tcW w:w="4815"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2310" w:type="dxa"/>
            <w:vMerge w:val="continue"/>
            <w:noWrap w:val="0"/>
            <w:vAlign w:val="center"/>
          </w:tcPr>
          <w:p>
            <w:pPr>
              <w:jc w:val="center"/>
              <w:rPr>
                <w:rFonts w:hint="eastAsia" w:ascii="宋体" w:hAnsi="宋体" w:eastAsia="宋体" w:cs="宋体"/>
                <w:b/>
                <w:bCs/>
                <w:color w:val="auto"/>
                <w:sz w:val="24"/>
                <w:szCs w:val="24"/>
                <w:highlight w:val="none"/>
              </w:rPr>
            </w:pPr>
          </w:p>
        </w:tc>
        <w:tc>
          <w:tcPr>
            <w:tcW w:w="1590" w:type="dxa"/>
            <w:noWrap w:val="0"/>
            <w:vAlign w:val="center"/>
          </w:tcPr>
          <w:p>
            <w:pPr>
              <w:pStyle w:val="65"/>
              <w:spacing w:before="1"/>
              <w:jc w:val="center"/>
              <w:rPr>
                <w:rFonts w:hint="eastAsia" w:eastAsia="宋体"/>
                <w:color w:val="auto"/>
                <w:highlight w:val="none"/>
                <w:lang w:eastAsia="zh-CN"/>
              </w:rPr>
            </w:pPr>
            <w:r>
              <w:rPr>
                <w:rFonts w:hint="eastAsia" w:ascii="Times New Roman" w:hAnsi="Times New Roman"/>
                <w:color w:val="auto"/>
                <w:highlight w:val="none"/>
                <w:lang w:eastAsia="zh-CN"/>
              </w:rPr>
              <w:t>2</w:t>
            </w:r>
          </w:p>
        </w:tc>
        <w:tc>
          <w:tcPr>
            <w:tcW w:w="4815" w:type="dxa"/>
            <w:noWrap w:val="0"/>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项目副总经理（营销）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2310" w:type="dxa"/>
            <w:vMerge w:val="continue"/>
            <w:noWrap w:val="0"/>
            <w:vAlign w:val="center"/>
          </w:tcPr>
          <w:p>
            <w:pPr>
              <w:jc w:val="center"/>
              <w:rPr>
                <w:rFonts w:hint="eastAsia" w:ascii="宋体" w:hAnsi="宋体" w:eastAsia="宋体" w:cs="宋体"/>
                <w:b/>
                <w:bCs/>
                <w:color w:val="auto"/>
                <w:sz w:val="24"/>
                <w:szCs w:val="24"/>
                <w:highlight w:val="none"/>
              </w:rPr>
            </w:pPr>
          </w:p>
        </w:tc>
        <w:tc>
          <w:tcPr>
            <w:tcW w:w="1590" w:type="dxa"/>
            <w:noWrap w:val="0"/>
            <w:vAlign w:val="center"/>
          </w:tcPr>
          <w:p>
            <w:pPr>
              <w:pStyle w:val="65"/>
              <w:spacing w:before="1"/>
              <w:jc w:val="center"/>
              <w:rPr>
                <w:color w:val="auto"/>
                <w:highlight w:val="none"/>
                <w:lang w:eastAsia="zh-CN"/>
              </w:rPr>
            </w:pPr>
            <w:r>
              <w:rPr>
                <w:rFonts w:hint="eastAsia" w:ascii="Times New Roman" w:hAnsi="Times New Roman"/>
                <w:color w:val="auto"/>
                <w:highlight w:val="none"/>
                <w:lang w:eastAsia="zh-CN"/>
              </w:rPr>
              <w:t>3</w:t>
            </w:r>
          </w:p>
        </w:tc>
        <w:tc>
          <w:tcPr>
            <w:tcW w:w="4815" w:type="dxa"/>
            <w:noWrap w:val="0"/>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项目副总经理（前期综管）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2310" w:type="dxa"/>
            <w:vMerge w:val="restart"/>
            <w:noWrap w:val="0"/>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综合管理部</w:t>
            </w:r>
          </w:p>
        </w:tc>
        <w:tc>
          <w:tcPr>
            <w:tcW w:w="1590" w:type="dxa"/>
            <w:noWrap w:val="0"/>
            <w:vAlign w:val="center"/>
          </w:tcPr>
          <w:p>
            <w:pPr>
              <w:pStyle w:val="65"/>
              <w:jc w:val="center"/>
              <w:rPr>
                <w:rFonts w:hint="eastAsia" w:eastAsia="宋体"/>
                <w:color w:val="auto"/>
                <w:highlight w:val="none"/>
                <w:lang w:eastAsia="zh-CN"/>
              </w:rPr>
            </w:pPr>
            <w:r>
              <w:rPr>
                <w:rFonts w:hint="eastAsia" w:ascii="Times New Roman" w:hAnsi="Times New Roman"/>
                <w:color w:val="auto"/>
                <w:highlight w:val="none"/>
                <w:lang w:eastAsia="zh-CN"/>
              </w:rPr>
              <w:t>4</w:t>
            </w:r>
          </w:p>
        </w:tc>
        <w:tc>
          <w:tcPr>
            <w:tcW w:w="4815" w:type="dxa"/>
            <w:noWrap w:val="0"/>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综合管理部负责人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2310" w:type="dxa"/>
            <w:vMerge w:val="continue"/>
            <w:noWrap w:val="0"/>
            <w:vAlign w:val="center"/>
          </w:tcPr>
          <w:p>
            <w:pPr>
              <w:jc w:val="center"/>
              <w:rPr>
                <w:rFonts w:hint="eastAsia" w:ascii="宋体" w:hAnsi="宋体" w:eastAsia="宋体" w:cs="宋体"/>
                <w:b/>
                <w:bCs/>
                <w:color w:val="auto"/>
                <w:sz w:val="24"/>
                <w:szCs w:val="24"/>
                <w:highlight w:val="none"/>
              </w:rPr>
            </w:pPr>
          </w:p>
        </w:tc>
        <w:tc>
          <w:tcPr>
            <w:tcW w:w="1590" w:type="dxa"/>
            <w:noWrap w:val="0"/>
            <w:vAlign w:val="center"/>
          </w:tcPr>
          <w:p>
            <w:pPr>
              <w:pStyle w:val="65"/>
              <w:jc w:val="center"/>
              <w:rPr>
                <w:color w:val="auto"/>
                <w:highlight w:val="none"/>
                <w:lang w:eastAsia="zh-CN"/>
              </w:rPr>
            </w:pPr>
            <w:r>
              <w:rPr>
                <w:rFonts w:hint="eastAsia" w:ascii="Times New Roman" w:hAnsi="Times New Roman"/>
                <w:color w:val="auto"/>
                <w:highlight w:val="none"/>
                <w:lang w:eastAsia="zh-CN"/>
              </w:rPr>
              <w:t>5</w:t>
            </w:r>
          </w:p>
        </w:tc>
        <w:tc>
          <w:tcPr>
            <w:tcW w:w="4815" w:type="dxa"/>
            <w:noWrap w:val="0"/>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行政后勤管理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2310" w:type="dxa"/>
            <w:vMerge w:val="restart"/>
            <w:noWrap w:val="0"/>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产品管理部</w:t>
            </w:r>
          </w:p>
        </w:tc>
        <w:tc>
          <w:tcPr>
            <w:tcW w:w="1590" w:type="dxa"/>
            <w:noWrap w:val="0"/>
            <w:vAlign w:val="center"/>
          </w:tcPr>
          <w:p>
            <w:pPr>
              <w:pStyle w:val="65"/>
              <w:spacing w:before="1"/>
              <w:jc w:val="center"/>
              <w:rPr>
                <w:rFonts w:hint="eastAsia" w:eastAsia="宋体"/>
                <w:color w:val="auto"/>
                <w:highlight w:val="none"/>
                <w:lang w:eastAsia="zh-CN"/>
              </w:rPr>
            </w:pPr>
            <w:r>
              <w:rPr>
                <w:rFonts w:hint="eastAsia" w:ascii="Times New Roman" w:hAnsi="Times New Roman"/>
                <w:color w:val="auto"/>
                <w:highlight w:val="none"/>
                <w:lang w:eastAsia="zh-CN"/>
              </w:rPr>
              <w:t>6</w:t>
            </w:r>
          </w:p>
        </w:tc>
        <w:tc>
          <w:tcPr>
            <w:tcW w:w="4815"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产品管理负责人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2310" w:type="dxa"/>
            <w:vMerge w:val="continue"/>
            <w:noWrap w:val="0"/>
            <w:vAlign w:val="center"/>
          </w:tcPr>
          <w:p>
            <w:pPr>
              <w:jc w:val="center"/>
              <w:rPr>
                <w:rFonts w:hint="eastAsia" w:ascii="宋体" w:hAnsi="宋体" w:eastAsia="宋体" w:cs="宋体"/>
                <w:b/>
                <w:bCs/>
                <w:color w:val="auto"/>
                <w:sz w:val="24"/>
                <w:szCs w:val="24"/>
                <w:highlight w:val="none"/>
              </w:rPr>
            </w:pPr>
          </w:p>
        </w:tc>
        <w:tc>
          <w:tcPr>
            <w:tcW w:w="1590" w:type="dxa"/>
            <w:noWrap w:val="0"/>
            <w:vAlign w:val="center"/>
          </w:tcPr>
          <w:p>
            <w:pPr>
              <w:pStyle w:val="65"/>
              <w:jc w:val="center"/>
              <w:rPr>
                <w:rFonts w:hint="eastAsia" w:eastAsia="宋体"/>
                <w:color w:val="auto"/>
                <w:highlight w:val="none"/>
                <w:lang w:eastAsia="zh-CN"/>
              </w:rPr>
            </w:pPr>
            <w:r>
              <w:rPr>
                <w:rFonts w:hint="eastAsia" w:ascii="Times New Roman" w:hAnsi="Times New Roman"/>
                <w:color w:val="auto"/>
                <w:highlight w:val="none"/>
                <w:lang w:eastAsia="zh-CN"/>
              </w:rPr>
              <w:t>7</w:t>
            </w:r>
          </w:p>
        </w:tc>
        <w:tc>
          <w:tcPr>
            <w:tcW w:w="4815" w:type="dxa"/>
            <w:noWrap w:val="0"/>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设计管理（建筑）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2310" w:type="dxa"/>
            <w:vMerge w:val="continue"/>
            <w:noWrap w:val="0"/>
            <w:vAlign w:val="center"/>
          </w:tcPr>
          <w:p>
            <w:pPr>
              <w:jc w:val="center"/>
              <w:rPr>
                <w:rFonts w:hint="eastAsia" w:ascii="宋体" w:hAnsi="宋体" w:eastAsia="宋体" w:cs="宋体"/>
                <w:b/>
                <w:bCs/>
                <w:color w:val="auto"/>
                <w:sz w:val="24"/>
                <w:szCs w:val="24"/>
                <w:highlight w:val="none"/>
                <w:lang w:eastAsia="zh-CN"/>
              </w:rPr>
            </w:pPr>
          </w:p>
        </w:tc>
        <w:tc>
          <w:tcPr>
            <w:tcW w:w="1590" w:type="dxa"/>
            <w:noWrap w:val="0"/>
            <w:vAlign w:val="center"/>
          </w:tcPr>
          <w:p>
            <w:pPr>
              <w:pStyle w:val="65"/>
              <w:spacing w:before="2"/>
              <w:jc w:val="center"/>
              <w:rPr>
                <w:rFonts w:hint="eastAsia" w:eastAsia="宋体"/>
                <w:color w:val="auto"/>
                <w:highlight w:val="none"/>
                <w:lang w:eastAsia="zh-CN"/>
              </w:rPr>
            </w:pPr>
            <w:r>
              <w:rPr>
                <w:rFonts w:hint="eastAsia" w:ascii="Times New Roman" w:hAnsi="Times New Roman"/>
                <w:color w:val="auto"/>
                <w:highlight w:val="none"/>
                <w:lang w:eastAsia="zh-CN"/>
              </w:rPr>
              <w:t>8</w:t>
            </w:r>
          </w:p>
        </w:tc>
        <w:tc>
          <w:tcPr>
            <w:tcW w:w="4815"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土建管理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2310" w:type="dxa"/>
            <w:vMerge w:val="continue"/>
            <w:noWrap w:val="0"/>
            <w:vAlign w:val="center"/>
          </w:tcPr>
          <w:p>
            <w:pPr>
              <w:jc w:val="center"/>
              <w:rPr>
                <w:rFonts w:hint="eastAsia" w:ascii="宋体" w:hAnsi="宋体" w:eastAsia="宋体" w:cs="宋体"/>
                <w:b/>
                <w:bCs/>
                <w:color w:val="auto"/>
                <w:sz w:val="24"/>
                <w:szCs w:val="24"/>
                <w:highlight w:val="none"/>
              </w:rPr>
            </w:pPr>
          </w:p>
        </w:tc>
        <w:tc>
          <w:tcPr>
            <w:tcW w:w="1590" w:type="dxa"/>
            <w:noWrap w:val="0"/>
            <w:vAlign w:val="center"/>
          </w:tcPr>
          <w:p>
            <w:pPr>
              <w:pStyle w:val="65"/>
              <w:jc w:val="center"/>
              <w:rPr>
                <w:rFonts w:hint="eastAsia" w:eastAsia="宋体"/>
                <w:color w:val="auto"/>
                <w:highlight w:val="none"/>
                <w:lang w:eastAsia="zh-CN"/>
              </w:rPr>
            </w:pPr>
            <w:r>
              <w:rPr>
                <w:rFonts w:hint="eastAsia" w:ascii="Times New Roman" w:hAnsi="Times New Roman"/>
                <w:color w:val="auto"/>
                <w:highlight w:val="none"/>
                <w:lang w:eastAsia="zh-CN"/>
              </w:rPr>
              <w:t>9</w:t>
            </w:r>
          </w:p>
        </w:tc>
        <w:tc>
          <w:tcPr>
            <w:tcW w:w="4815"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土建管理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2310" w:type="dxa"/>
            <w:vMerge w:val="continue"/>
            <w:noWrap w:val="0"/>
            <w:vAlign w:val="center"/>
          </w:tcPr>
          <w:p>
            <w:pPr>
              <w:jc w:val="center"/>
              <w:rPr>
                <w:rFonts w:hint="eastAsia" w:ascii="宋体" w:hAnsi="宋体" w:eastAsia="宋体" w:cs="宋体"/>
                <w:b/>
                <w:bCs/>
                <w:color w:val="auto"/>
                <w:sz w:val="24"/>
                <w:szCs w:val="24"/>
                <w:highlight w:val="none"/>
              </w:rPr>
            </w:pPr>
          </w:p>
        </w:tc>
        <w:tc>
          <w:tcPr>
            <w:tcW w:w="1590" w:type="dxa"/>
            <w:noWrap w:val="0"/>
            <w:vAlign w:val="center"/>
          </w:tcPr>
          <w:p>
            <w:pPr>
              <w:pStyle w:val="65"/>
              <w:spacing w:before="2"/>
              <w:jc w:val="center"/>
              <w:rPr>
                <w:rFonts w:hint="eastAsia" w:eastAsia="宋体"/>
                <w:color w:val="auto"/>
                <w:highlight w:val="none"/>
                <w:lang w:eastAsia="zh-CN"/>
              </w:rPr>
            </w:pPr>
            <w:r>
              <w:rPr>
                <w:rFonts w:hint="eastAsia" w:ascii="Times New Roman" w:hAnsi="Times New Roman"/>
                <w:color w:val="auto"/>
                <w:highlight w:val="none"/>
                <w:lang w:eastAsia="zh-CN"/>
              </w:rPr>
              <w:t>10</w:t>
            </w:r>
          </w:p>
        </w:tc>
        <w:tc>
          <w:tcPr>
            <w:tcW w:w="4815"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安装管理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2310" w:type="dxa"/>
            <w:vMerge w:val="continue"/>
            <w:noWrap w:val="0"/>
            <w:vAlign w:val="center"/>
          </w:tcPr>
          <w:p>
            <w:pPr>
              <w:jc w:val="center"/>
              <w:rPr>
                <w:rFonts w:hint="eastAsia" w:ascii="宋体" w:hAnsi="宋体" w:eastAsia="宋体" w:cs="宋体"/>
                <w:b/>
                <w:bCs/>
                <w:color w:val="auto"/>
                <w:sz w:val="24"/>
                <w:szCs w:val="24"/>
                <w:highlight w:val="none"/>
              </w:rPr>
            </w:pPr>
          </w:p>
        </w:tc>
        <w:tc>
          <w:tcPr>
            <w:tcW w:w="1590" w:type="dxa"/>
            <w:noWrap w:val="0"/>
            <w:vAlign w:val="center"/>
          </w:tcPr>
          <w:p>
            <w:pPr>
              <w:pStyle w:val="65"/>
              <w:spacing w:before="2"/>
              <w:jc w:val="center"/>
              <w:rPr>
                <w:color w:val="auto"/>
                <w:highlight w:val="none"/>
                <w:lang w:eastAsia="zh-CN"/>
              </w:rPr>
            </w:pPr>
            <w:r>
              <w:rPr>
                <w:rFonts w:hint="eastAsia" w:ascii="Times New Roman" w:hAnsi="Times New Roman"/>
                <w:color w:val="auto"/>
                <w:highlight w:val="none"/>
                <w:lang w:eastAsia="zh-CN"/>
              </w:rPr>
              <w:t>11</w:t>
            </w:r>
          </w:p>
        </w:tc>
        <w:tc>
          <w:tcPr>
            <w:tcW w:w="4815"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资料管理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2310" w:type="dxa"/>
            <w:vMerge w:val="continue"/>
            <w:noWrap w:val="0"/>
            <w:vAlign w:val="center"/>
          </w:tcPr>
          <w:p>
            <w:pPr>
              <w:jc w:val="center"/>
              <w:rPr>
                <w:rFonts w:hint="eastAsia" w:ascii="宋体" w:hAnsi="宋体" w:eastAsia="宋体" w:cs="宋体"/>
                <w:b/>
                <w:bCs/>
                <w:color w:val="auto"/>
                <w:sz w:val="24"/>
                <w:szCs w:val="24"/>
                <w:highlight w:val="none"/>
              </w:rPr>
            </w:pPr>
          </w:p>
        </w:tc>
        <w:tc>
          <w:tcPr>
            <w:tcW w:w="1590" w:type="dxa"/>
            <w:noWrap w:val="0"/>
            <w:vAlign w:val="center"/>
          </w:tcPr>
          <w:p>
            <w:pPr>
              <w:pStyle w:val="65"/>
              <w:spacing w:before="2"/>
              <w:jc w:val="center"/>
              <w:rPr>
                <w:color w:val="auto"/>
                <w:highlight w:val="none"/>
                <w:lang w:eastAsia="zh-CN"/>
              </w:rPr>
            </w:pPr>
            <w:r>
              <w:rPr>
                <w:rFonts w:hint="eastAsia" w:ascii="Times New Roman" w:hAnsi="Times New Roman"/>
                <w:color w:val="auto"/>
                <w:highlight w:val="none"/>
                <w:lang w:eastAsia="zh-CN"/>
              </w:rPr>
              <w:t>12</w:t>
            </w:r>
          </w:p>
        </w:tc>
        <w:tc>
          <w:tcPr>
            <w:tcW w:w="4815"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精装修管理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2310" w:type="dxa"/>
            <w:vMerge w:val="continue"/>
            <w:noWrap w:val="0"/>
            <w:vAlign w:val="center"/>
          </w:tcPr>
          <w:p>
            <w:pPr>
              <w:jc w:val="center"/>
              <w:rPr>
                <w:rFonts w:hint="eastAsia" w:ascii="宋体" w:hAnsi="宋体" w:eastAsia="宋体" w:cs="宋体"/>
                <w:b/>
                <w:bCs/>
                <w:color w:val="auto"/>
                <w:sz w:val="24"/>
                <w:szCs w:val="24"/>
                <w:highlight w:val="none"/>
              </w:rPr>
            </w:pPr>
          </w:p>
        </w:tc>
        <w:tc>
          <w:tcPr>
            <w:tcW w:w="1590" w:type="dxa"/>
            <w:noWrap w:val="0"/>
            <w:vAlign w:val="center"/>
          </w:tcPr>
          <w:p>
            <w:pPr>
              <w:pStyle w:val="65"/>
              <w:spacing w:before="2"/>
              <w:jc w:val="center"/>
              <w:rPr>
                <w:color w:val="auto"/>
                <w:highlight w:val="none"/>
                <w:lang w:eastAsia="zh-CN"/>
              </w:rPr>
            </w:pPr>
            <w:r>
              <w:rPr>
                <w:rFonts w:hint="eastAsia" w:ascii="Times New Roman" w:hAnsi="Times New Roman"/>
                <w:color w:val="auto"/>
                <w:highlight w:val="none"/>
                <w:lang w:eastAsia="zh-CN"/>
              </w:rPr>
              <w:t>13</w:t>
            </w:r>
          </w:p>
        </w:tc>
        <w:tc>
          <w:tcPr>
            <w:tcW w:w="4815"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景观管理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2310" w:type="dxa"/>
            <w:vMerge w:val="continue"/>
            <w:noWrap w:val="0"/>
            <w:vAlign w:val="center"/>
          </w:tcPr>
          <w:p>
            <w:pPr>
              <w:jc w:val="center"/>
              <w:rPr>
                <w:rFonts w:hint="eastAsia" w:ascii="宋体" w:hAnsi="宋体" w:eastAsia="宋体" w:cs="宋体"/>
                <w:b/>
                <w:bCs/>
                <w:color w:val="auto"/>
                <w:sz w:val="24"/>
                <w:szCs w:val="24"/>
                <w:highlight w:val="none"/>
              </w:rPr>
            </w:pPr>
          </w:p>
        </w:tc>
        <w:tc>
          <w:tcPr>
            <w:tcW w:w="1590" w:type="dxa"/>
            <w:noWrap w:val="0"/>
            <w:vAlign w:val="center"/>
          </w:tcPr>
          <w:p>
            <w:pPr>
              <w:pStyle w:val="65"/>
              <w:spacing w:before="2"/>
              <w:jc w:val="center"/>
              <w:rPr>
                <w:color w:val="auto"/>
                <w:highlight w:val="none"/>
                <w:lang w:eastAsia="zh-CN"/>
              </w:rPr>
            </w:pPr>
            <w:r>
              <w:rPr>
                <w:rFonts w:hint="eastAsia" w:ascii="Times New Roman" w:hAnsi="Times New Roman"/>
                <w:color w:val="auto"/>
                <w:highlight w:val="none"/>
                <w:lang w:eastAsia="zh-CN"/>
              </w:rPr>
              <w:t>14</w:t>
            </w:r>
          </w:p>
        </w:tc>
        <w:tc>
          <w:tcPr>
            <w:tcW w:w="4815"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前期管理(兼岗)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2310" w:type="dxa"/>
            <w:vMerge w:val="restart"/>
            <w:noWrap w:val="0"/>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成本管理部</w:t>
            </w:r>
          </w:p>
        </w:tc>
        <w:tc>
          <w:tcPr>
            <w:tcW w:w="1590" w:type="dxa"/>
            <w:noWrap w:val="0"/>
            <w:vAlign w:val="center"/>
          </w:tcPr>
          <w:p>
            <w:pPr>
              <w:pStyle w:val="65"/>
              <w:jc w:val="center"/>
              <w:rPr>
                <w:rFonts w:hint="eastAsia" w:eastAsia="宋体"/>
                <w:color w:val="auto"/>
                <w:highlight w:val="none"/>
                <w:lang w:eastAsia="zh-CN"/>
              </w:rPr>
            </w:pPr>
            <w:r>
              <w:rPr>
                <w:rFonts w:hint="eastAsia" w:ascii="Times New Roman" w:hAnsi="Times New Roman"/>
                <w:color w:val="auto"/>
                <w:highlight w:val="none"/>
                <w:lang w:eastAsia="zh-CN"/>
              </w:rPr>
              <w:t>15</w:t>
            </w:r>
          </w:p>
        </w:tc>
        <w:tc>
          <w:tcPr>
            <w:tcW w:w="4815"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成本管理负责人(兼岗)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2310" w:type="dxa"/>
            <w:vMerge w:val="continue"/>
            <w:tcBorders>
              <w:top w:val="nil"/>
            </w:tcBorders>
            <w:noWrap w:val="0"/>
            <w:vAlign w:val="center"/>
          </w:tcPr>
          <w:p>
            <w:pPr>
              <w:jc w:val="center"/>
              <w:rPr>
                <w:rFonts w:hint="eastAsia" w:ascii="宋体" w:hAnsi="宋体" w:eastAsia="宋体" w:cs="宋体"/>
                <w:b/>
                <w:bCs/>
                <w:color w:val="auto"/>
                <w:sz w:val="24"/>
                <w:szCs w:val="24"/>
                <w:highlight w:val="none"/>
              </w:rPr>
            </w:pPr>
          </w:p>
        </w:tc>
        <w:tc>
          <w:tcPr>
            <w:tcW w:w="1590" w:type="dxa"/>
            <w:noWrap w:val="0"/>
            <w:vAlign w:val="center"/>
          </w:tcPr>
          <w:p>
            <w:pPr>
              <w:pStyle w:val="65"/>
              <w:spacing w:before="2"/>
              <w:jc w:val="center"/>
              <w:rPr>
                <w:rFonts w:hint="eastAsia"/>
                <w:color w:val="auto"/>
                <w:highlight w:val="none"/>
                <w:lang w:eastAsia="zh-CN"/>
              </w:rPr>
            </w:pPr>
            <w:r>
              <w:rPr>
                <w:rFonts w:hint="eastAsia" w:ascii="Times New Roman" w:hAnsi="Times New Roman"/>
                <w:color w:val="auto"/>
                <w:highlight w:val="none"/>
                <w:lang w:eastAsia="zh-CN"/>
              </w:rPr>
              <w:t>16</w:t>
            </w:r>
          </w:p>
        </w:tc>
        <w:tc>
          <w:tcPr>
            <w:tcW w:w="4815"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土建成本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2310" w:type="dxa"/>
            <w:tcBorders>
              <w:top w:val="nil"/>
            </w:tcBorders>
            <w:noWrap w:val="0"/>
            <w:vAlign w:val="center"/>
          </w:tcPr>
          <w:p>
            <w:pPr>
              <w:jc w:val="center"/>
              <w:rPr>
                <w:rFonts w:hint="eastAsia" w:ascii="宋体" w:hAnsi="宋体" w:eastAsia="宋体" w:cs="宋体"/>
                <w:b/>
                <w:bCs/>
                <w:color w:val="auto"/>
                <w:sz w:val="24"/>
                <w:szCs w:val="24"/>
                <w:highlight w:val="none"/>
              </w:rPr>
            </w:pPr>
          </w:p>
        </w:tc>
        <w:tc>
          <w:tcPr>
            <w:tcW w:w="1590" w:type="dxa"/>
            <w:noWrap w:val="0"/>
            <w:vAlign w:val="center"/>
          </w:tcPr>
          <w:p>
            <w:pPr>
              <w:pStyle w:val="65"/>
              <w:spacing w:before="2"/>
              <w:jc w:val="center"/>
              <w:rPr>
                <w:rFonts w:hint="eastAsia"/>
                <w:color w:val="auto"/>
                <w:highlight w:val="none"/>
                <w:lang w:eastAsia="zh-CN"/>
              </w:rPr>
            </w:pPr>
            <w:r>
              <w:rPr>
                <w:rFonts w:hint="eastAsia" w:ascii="Times New Roman" w:hAnsi="Times New Roman"/>
                <w:color w:val="auto"/>
                <w:highlight w:val="none"/>
                <w:lang w:eastAsia="zh-CN"/>
              </w:rPr>
              <w:t>17</w:t>
            </w:r>
          </w:p>
        </w:tc>
        <w:tc>
          <w:tcPr>
            <w:tcW w:w="4815"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安装成本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2310" w:type="dxa"/>
            <w:shd w:val="clear" w:color="auto" w:fill="A6A6A6"/>
            <w:noWrap w:val="0"/>
            <w:vAlign w:val="center"/>
          </w:tcPr>
          <w:p>
            <w:pPr>
              <w:jc w:val="center"/>
              <w:rPr>
                <w:rFonts w:hint="eastAsia" w:ascii="宋体" w:hAnsi="宋体" w:eastAsia="宋体" w:cs="宋体"/>
                <w:b/>
                <w:bCs/>
                <w:color w:val="auto"/>
                <w:sz w:val="24"/>
                <w:szCs w:val="24"/>
                <w:highlight w:val="none"/>
              </w:rPr>
            </w:pPr>
          </w:p>
        </w:tc>
        <w:tc>
          <w:tcPr>
            <w:tcW w:w="1590" w:type="dxa"/>
            <w:shd w:val="clear" w:color="auto" w:fill="A6A6A6"/>
            <w:noWrap w:val="0"/>
            <w:vAlign w:val="center"/>
          </w:tcPr>
          <w:p>
            <w:pPr>
              <w:pStyle w:val="65"/>
              <w:jc w:val="center"/>
              <w:rPr>
                <w:rFonts w:ascii="Times New Roman"/>
                <w:color w:val="auto"/>
                <w:sz w:val="20"/>
                <w:highlight w:val="none"/>
              </w:rPr>
            </w:pPr>
          </w:p>
        </w:tc>
        <w:tc>
          <w:tcPr>
            <w:tcW w:w="4815" w:type="dxa"/>
            <w:shd w:val="clear" w:color="auto" w:fill="A6A6A6"/>
            <w:noWrap w:val="0"/>
            <w:vAlign w:val="center"/>
          </w:tcPr>
          <w:p>
            <w:pPr>
              <w:pStyle w:val="65"/>
              <w:ind w:right="1058"/>
              <w:jc w:val="center"/>
              <w:rPr>
                <w:b/>
                <w:color w:val="auto"/>
                <w:highlight w:val="none"/>
              </w:rPr>
            </w:pPr>
            <w:r>
              <w:rPr>
                <w:b/>
                <w:color w:val="auto"/>
                <w:highlight w:val="none"/>
              </w:rPr>
              <w:t>小计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2310" w:type="dxa"/>
            <w:noWrap w:val="0"/>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营销服务部</w:t>
            </w:r>
          </w:p>
        </w:tc>
        <w:tc>
          <w:tcPr>
            <w:tcW w:w="1590" w:type="dxa"/>
            <w:noWrap w:val="0"/>
            <w:vAlign w:val="center"/>
          </w:tcPr>
          <w:p>
            <w:pPr>
              <w:pStyle w:val="65"/>
              <w:spacing w:before="1"/>
              <w:jc w:val="center"/>
              <w:rPr>
                <w:rFonts w:hint="eastAsia" w:eastAsia="宋体"/>
                <w:color w:val="auto"/>
                <w:highlight w:val="none"/>
                <w:lang w:eastAsia="zh-CN"/>
              </w:rPr>
            </w:pPr>
            <w:r>
              <w:rPr>
                <w:rFonts w:hint="eastAsia" w:ascii="Times New Roman" w:hAnsi="Times New Roman"/>
                <w:color w:val="auto"/>
                <w:highlight w:val="none"/>
                <w:lang w:eastAsia="zh-CN"/>
              </w:rPr>
              <w:t>1</w:t>
            </w:r>
          </w:p>
        </w:tc>
        <w:tc>
          <w:tcPr>
            <w:tcW w:w="4815" w:type="dxa"/>
            <w:noWrap w:val="0"/>
            <w:vAlign w:val="center"/>
          </w:tcPr>
          <w:p>
            <w:pPr>
              <w:pStyle w:val="65"/>
              <w:spacing w:before="1"/>
              <w:ind w:right="1058"/>
              <w:jc w:val="center"/>
              <w:rPr>
                <w:color w:val="auto"/>
                <w:highlight w:val="none"/>
              </w:rPr>
            </w:pPr>
            <w:r>
              <w:rPr>
                <w:color w:val="auto"/>
                <w:highlight w:val="none"/>
              </w:rPr>
              <w:t>营销总监</w:t>
            </w:r>
          </w:p>
        </w:tc>
      </w:tr>
    </w:tbl>
    <w:p>
      <w:pPr>
        <w:pStyle w:val="17"/>
        <w:spacing w:before="147" w:line="364" w:lineRule="auto"/>
        <w:ind w:right="978" w:firstLine="858" w:firstLineChars="409"/>
        <w:rPr>
          <w:color w:val="auto"/>
          <w:highlight w:val="none"/>
          <w:lang w:eastAsia="zh-CN"/>
        </w:rPr>
      </w:pPr>
      <w:r>
        <w:rPr>
          <w:color w:val="auto"/>
          <w:highlight w:val="none"/>
          <w:lang w:eastAsia="zh-CN"/>
        </w:rPr>
        <w:t>以上人员编制为估算，可根据项目实际开发需要进行适当调整。</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（注：人员编制估算表参照标准项目公司设置指引的配置标准，并结合项目实际情况及委托方要求拟订；配置方式分为甲方委派、乙方委派二种形式；到岗时间为预估，具体以委派函或签订聘用合同时间为准。）</w:t>
      </w:r>
    </w:p>
    <w:p>
      <w:pPr>
        <w:spacing w:before="38"/>
        <w:ind w:left="375" w:right="657"/>
        <w:jc w:val="center"/>
        <w:rPr>
          <w:rFonts w:hint="eastAsia" w:ascii="黑体" w:eastAsia="黑体"/>
          <w:color w:val="auto"/>
          <w:sz w:val="36"/>
          <w:highlight w:val="none"/>
          <w:lang w:eastAsia="zh-CN"/>
        </w:rPr>
      </w:pPr>
    </w:p>
    <w:p>
      <w:pPr>
        <w:spacing w:before="38"/>
        <w:ind w:left="375" w:right="657"/>
        <w:jc w:val="center"/>
        <w:rPr>
          <w:rFonts w:hint="eastAsia" w:ascii="黑体" w:eastAsia="黑体"/>
          <w:color w:val="auto"/>
          <w:sz w:val="36"/>
          <w:highlight w:val="none"/>
          <w:lang w:eastAsia="zh-CN"/>
        </w:rPr>
      </w:pPr>
    </w:p>
    <w:p>
      <w:pPr>
        <w:spacing w:before="38"/>
        <w:ind w:left="375" w:right="657"/>
        <w:jc w:val="center"/>
        <w:rPr>
          <w:rFonts w:hint="eastAsia" w:ascii="黑体" w:eastAsia="黑体"/>
          <w:color w:val="auto"/>
          <w:sz w:val="36"/>
          <w:highlight w:val="none"/>
          <w:lang w:eastAsia="zh-CN"/>
        </w:rPr>
      </w:pPr>
    </w:p>
    <w:p>
      <w:pPr>
        <w:rPr>
          <w:rFonts w:hint="eastAsia" w:ascii="黑体" w:eastAsia="黑体"/>
          <w:color w:val="auto"/>
          <w:sz w:val="36"/>
          <w:highlight w:val="none"/>
          <w:lang w:eastAsia="zh-CN"/>
        </w:rPr>
      </w:pPr>
      <w:r>
        <w:rPr>
          <w:rFonts w:hint="eastAsia" w:ascii="黑体" w:eastAsia="黑体"/>
          <w:color w:val="auto"/>
          <w:sz w:val="36"/>
          <w:highlight w:val="none"/>
          <w:lang w:eastAsia="zh-CN"/>
        </w:rPr>
        <w:br w:type="page"/>
      </w:r>
    </w:p>
    <w:p>
      <w:pPr>
        <w:spacing w:before="38"/>
        <w:ind w:left="375" w:right="657"/>
        <w:jc w:val="center"/>
        <w:rPr>
          <w:rFonts w:ascii="黑体" w:eastAsia="黑体"/>
          <w:color w:val="auto"/>
          <w:sz w:val="36"/>
          <w:highlight w:val="none"/>
          <w:lang w:eastAsia="zh-CN"/>
        </w:rPr>
      </w:pPr>
      <w:r>
        <w:rPr>
          <w:rFonts w:hint="eastAsia" w:ascii="黑体" w:eastAsia="黑体"/>
          <w:color w:val="auto"/>
          <w:sz w:val="36"/>
          <w:highlight w:val="none"/>
          <w:lang w:eastAsia="zh-CN"/>
        </w:rPr>
        <w:t>第二节 设计合同书</w:t>
      </w:r>
    </w:p>
    <w:p>
      <w:pPr>
        <w:pStyle w:val="17"/>
        <w:ind w:left="0"/>
        <w:rPr>
          <w:rFonts w:ascii="黑体"/>
          <w:color w:val="auto"/>
          <w:sz w:val="36"/>
          <w:highlight w:val="none"/>
          <w:lang w:eastAsia="zh-CN"/>
        </w:rPr>
      </w:pPr>
    </w:p>
    <w:p>
      <w:pPr>
        <w:pStyle w:val="17"/>
        <w:spacing w:before="8"/>
        <w:ind w:left="0"/>
        <w:rPr>
          <w:rFonts w:ascii="黑体"/>
          <w:color w:val="auto"/>
          <w:sz w:val="53"/>
          <w:highlight w:val="none"/>
          <w:lang w:eastAsia="zh-CN"/>
        </w:rPr>
      </w:pPr>
    </w:p>
    <w:p>
      <w:pPr>
        <w:ind w:left="375" w:right="657"/>
        <w:jc w:val="center"/>
        <w:rPr>
          <w:b/>
          <w:color w:val="auto"/>
          <w:sz w:val="44"/>
          <w:highlight w:val="none"/>
          <w:lang w:eastAsia="zh-CN"/>
        </w:rPr>
      </w:pPr>
      <w:r>
        <w:rPr>
          <w:b/>
          <w:color w:val="auto"/>
          <w:sz w:val="44"/>
          <w:highlight w:val="none"/>
          <w:lang w:eastAsia="zh-CN"/>
        </w:rPr>
        <w:t>建筑工程设计合同</w:t>
      </w:r>
    </w:p>
    <w:p>
      <w:pPr>
        <w:pStyle w:val="8"/>
        <w:ind w:firstLine="2811" w:firstLineChars="1000"/>
        <w:rPr>
          <w:color w:val="auto"/>
          <w:highlight w:val="none"/>
          <w:lang w:eastAsia="zh-CN"/>
        </w:rPr>
      </w:pPr>
      <w:r>
        <w:rPr>
          <w:color w:val="auto"/>
          <w:highlight w:val="none"/>
          <w:lang w:eastAsia="zh-CN"/>
        </w:rPr>
        <w:t>（适用于设计总包全过程项目）</w:t>
      </w:r>
    </w:p>
    <w:p>
      <w:pPr>
        <w:pStyle w:val="17"/>
        <w:ind w:left="0"/>
        <w:rPr>
          <w:color w:val="auto"/>
          <w:sz w:val="30"/>
          <w:highlight w:val="none"/>
          <w:lang w:eastAsia="zh-CN"/>
        </w:rPr>
      </w:pPr>
    </w:p>
    <w:p>
      <w:pPr>
        <w:pStyle w:val="17"/>
        <w:ind w:left="0"/>
        <w:rPr>
          <w:color w:val="auto"/>
          <w:sz w:val="30"/>
          <w:highlight w:val="none"/>
          <w:lang w:eastAsia="zh-CN"/>
        </w:rPr>
      </w:pPr>
    </w:p>
    <w:p>
      <w:pPr>
        <w:pStyle w:val="17"/>
        <w:ind w:left="0"/>
        <w:rPr>
          <w:color w:val="auto"/>
          <w:sz w:val="30"/>
          <w:highlight w:val="none"/>
          <w:lang w:eastAsia="zh-CN"/>
        </w:rPr>
      </w:pPr>
    </w:p>
    <w:p>
      <w:pPr>
        <w:pStyle w:val="17"/>
        <w:ind w:left="0"/>
        <w:rPr>
          <w:color w:val="auto"/>
          <w:sz w:val="30"/>
          <w:highlight w:val="none"/>
          <w:lang w:eastAsia="zh-CN"/>
        </w:rPr>
      </w:pPr>
    </w:p>
    <w:p>
      <w:pPr>
        <w:pStyle w:val="17"/>
        <w:ind w:left="0"/>
        <w:rPr>
          <w:color w:val="auto"/>
          <w:sz w:val="30"/>
          <w:highlight w:val="none"/>
          <w:lang w:eastAsia="zh-CN"/>
        </w:rPr>
      </w:pPr>
    </w:p>
    <w:p>
      <w:pPr>
        <w:pStyle w:val="17"/>
        <w:ind w:left="0"/>
        <w:rPr>
          <w:color w:val="auto"/>
          <w:sz w:val="30"/>
          <w:highlight w:val="none"/>
          <w:lang w:eastAsia="zh-CN"/>
        </w:rPr>
      </w:pPr>
    </w:p>
    <w:p>
      <w:pPr>
        <w:pStyle w:val="17"/>
        <w:ind w:left="0"/>
        <w:rPr>
          <w:color w:val="auto"/>
          <w:sz w:val="33"/>
          <w:highlight w:val="none"/>
          <w:lang w:eastAsia="zh-CN"/>
        </w:rPr>
      </w:pPr>
    </w:p>
    <w:p>
      <w:pPr>
        <w:pStyle w:val="9"/>
        <w:tabs>
          <w:tab w:val="left" w:pos="2354"/>
          <w:tab w:val="left" w:pos="2635"/>
          <w:tab w:val="left" w:pos="3057"/>
          <w:tab w:val="left" w:pos="4744"/>
          <w:tab w:val="left" w:pos="5867"/>
          <w:tab w:val="left" w:pos="6851"/>
          <w:tab w:val="left" w:pos="8046"/>
          <w:tab w:val="left" w:pos="8185"/>
        </w:tabs>
        <w:spacing w:line="364" w:lineRule="auto"/>
        <w:ind w:left="1653" w:right="1863"/>
        <w:jc w:val="left"/>
        <w:rPr>
          <w:color w:val="auto"/>
          <w:highlight w:val="none"/>
          <w:lang w:eastAsia="zh-CN"/>
        </w:rPr>
      </w:pPr>
      <w:r>
        <w:rPr>
          <w:color w:val="auto"/>
          <w:highlight w:val="none"/>
          <w:lang w:eastAsia="zh-CN"/>
        </w:rPr>
        <w:t>项</w:t>
      </w:r>
      <w:r>
        <w:rPr>
          <w:color w:val="auto"/>
          <w:spacing w:val="-4"/>
          <w:highlight w:val="none"/>
          <w:lang w:eastAsia="zh-CN"/>
        </w:rPr>
        <w:t xml:space="preserve"> </w:t>
      </w:r>
      <w:r>
        <w:rPr>
          <w:color w:val="auto"/>
          <w:highlight w:val="none"/>
          <w:lang w:eastAsia="zh-CN"/>
        </w:rPr>
        <w:t>目</w:t>
      </w:r>
      <w:r>
        <w:rPr>
          <w:color w:val="auto"/>
          <w:highlight w:val="none"/>
          <w:lang w:eastAsia="zh-CN"/>
        </w:rPr>
        <w:tab/>
      </w:r>
      <w:r>
        <w:rPr>
          <w:color w:val="auto"/>
          <w:highlight w:val="none"/>
          <w:lang w:eastAsia="zh-CN"/>
        </w:rPr>
        <w:t>名</w:t>
      </w:r>
      <w:r>
        <w:rPr>
          <w:color w:val="auto"/>
          <w:spacing w:val="-1"/>
          <w:highlight w:val="none"/>
          <w:lang w:eastAsia="zh-CN"/>
        </w:rPr>
        <w:t xml:space="preserve"> </w:t>
      </w:r>
      <w:r>
        <w:rPr>
          <w:color w:val="auto"/>
          <w:highlight w:val="none"/>
          <w:lang w:eastAsia="zh-CN"/>
        </w:rPr>
        <w:t>称：</w:t>
      </w:r>
      <w:r>
        <w:rPr>
          <w:color w:val="auto"/>
          <w:spacing w:val="-1"/>
          <w:highlight w:val="none"/>
          <w:lang w:eastAsia="zh-CN"/>
        </w:rPr>
        <w:t xml:space="preserve"> </w:t>
      </w:r>
      <w:r>
        <w:rPr>
          <w:rFonts w:ascii="Times New Roman" w:eastAsia="Times New Roman"/>
          <w:color w:val="auto"/>
          <w:highlight w:val="none"/>
          <w:u w:val="single"/>
          <w:lang w:eastAsia="zh-CN"/>
        </w:rPr>
        <w:t xml:space="preserve"> </w:t>
      </w:r>
      <w:r>
        <w:rPr>
          <w:rFonts w:ascii="Times New Roman" w:eastAsia="Times New Roman"/>
          <w:color w:val="auto"/>
          <w:highlight w:val="none"/>
          <w:u w:val="single"/>
          <w:lang w:eastAsia="zh-CN"/>
        </w:rPr>
        <w:tab/>
      </w:r>
      <w:r>
        <w:rPr>
          <w:rFonts w:ascii="Times New Roman" w:eastAsia="Times New Roman"/>
          <w:color w:val="auto"/>
          <w:highlight w:val="none"/>
          <w:u w:val="single"/>
          <w:lang w:eastAsia="zh-CN"/>
        </w:rPr>
        <w:tab/>
      </w:r>
      <w:r>
        <w:rPr>
          <w:rFonts w:ascii="Times New Roman" w:eastAsia="Times New Roman"/>
          <w:color w:val="auto"/>
          <w:highlight w:val="none"/>
          <w:u w:val="single"/>
          <w:lang w:eastAsia="zh-CN"/>
        </w:rPr>
        <w:tab/>
      </w:r>
      <w:r>
        <w:rPr>
          <w:rFonts w:ascii="Times New Roman" w:eastAsia="Times New Roman"/>
          <w:color w:val="auto"/>
          <w:highlight w:val="none"/>
          <w:u w:val="single"/>
          <w:lang w:eastAsia="zh-CN"/>
        </w:rPr>
        <w:tab/>
      </w:r>
      <w:r>
        <w:rPr>
          <w:rFonts w:ascii="Times New Roman" w:eastAsia="Times New Roman"/>
          <w:color w:val="auto"/>
          <w:highlight w:val="none"/>
          <w:u w:val="single"/>
          <w:lang w:eastAsia="zh-CN"/>
        </w:rPr>
        <w:tab/>
      </w:r>
      <w:r>
        <w:rPr>
          <w:rFonts w:ascii="Times New Roman" w:eastAsia="Times New Roman"/>
          <w:color w:val="auto"/>
          <w:highlight w:val="none"/>
          <w:u w:val="single"/>
          <w:lang w:eastAsia="zh-CN"/>
        </w:rPr>
        <w:t xml:space="preserve"> </w:t>
      </w:r>
      <w:r>
        <w:rPr>
          <w:color w:val="auto"/>
          <w:highlight w:val="none"/>
          <w:lang w:eastAsia="zh-CN"/>
        </w:rPr>
        <w:t>工</w:t>
      </w:r>
      <w:r>
        <w:rPr>
          <w:color w:val="auto"/>
          <w:spacing w:val="-4"/>
          <w:highlight w:val="none"/>
          <w:lang w:eastAsia="zh-CN"/>
        </w:rPr>
        <w:t xml:space="preserve"> </w:t>
      </w:r>
      <w:r>
        <w:rPr>
          <w:color w:val="auto"/>
          <w:highlight w:val="none"/>
          <w:lang w:eastAsia="zh-CN"/>
        </w:rPr>
        <w:t>程</w:t>
      </w:r>
      <w:r>
        <w:rPr>
          <w:color w:val="auto"/>
          <w:highlight w:val="none"/>
          <w:lang w:eastAsia="zh-CN"/>
        </w:rPr>
        <w:tab/>
      </w:r>
      <w:r>
        <w:rPr>
          <w:color w:val="auto"/>
          <w:highlight w:val="none"/>
          <w:lang w:eastAsia="zh-CN"/>
        </w:rPr>
        <w:t>地</w:t>
      </w:r>
      <w:r>
        <w:rPr>
          <w:color w:val="auto"/>
          <w:spacing w:val="-2"/>
          <w:highlight w:val="none"/>
          <w:lang w:eastAsia="zh-CN"/>
        </w:rPr>
        <w:t xml:space="preserve"> </w:t>
      </w:r>
      <w:r>
        <w:rPr>
          <w:color w:val="auto"/>
          <w:highlight w:val="none"/>
          <w:lang w:eastAsia="zh-CN"/>
        </w:rPr>
        <w:t>点：</w:t>
      </w:r>
      <w:r>
        <w:rPr>
          <w:rFonts w:ascii="Times New Roman" w:eastAsia="Times New Roman"/>
          <w:color w:val="auto"/>
          <w:highlight w:val="none"/>
          <w:u w:val="single"/>
          <w:lang w:eastAsia="zh-CN"/>
        </w:rPr>
        <w:t xml:space="preserve"> </w:t>
      </w:r>
      <w:r>
        <w:rPr>
          <w:rFonts w:ascii="Times New Roman" w:eastAsia="Times New Roman"/>
          <w:color w:val="auto"/>
          <w:highlight w:val="none"/>
          <w:u w:val="single"/>
          <w:lang w:eastAsia="zh-CN"/>
        </w:rPr>
        <w:tab/>
      </w:r>
      <w:r>
        <w:rPr>
          <w:rFonts w:ascii="Times New Roman" w:eastAsia="Times New Roman"/>
          <w:color w:val="auto"/>
          <w:highlight w:val="none"/>
          <w:u w:val="single"/>
          <w:lang w:eastAsia="zh-CN"/>
        </w:rPr>
        <w:tab/>
      </w:r>
      <w:r>
        <w:rPr>
          <w:rFonts w:ascii="Times New Roman" w:eastAsia="Times New Roman"/>
          <w:color w:val="auto"/>
          <w:highlight w:val="none"/>
          <w:u w:val="single"/>
          <w:lang w:eastAsia="zh-CN"/>
        </w:rPr>
        <w:tab/>
      </w:r>
      <w:r>
        <w:rPr>
          <w:rFonts w:ascii="Times New Roman" w:eastAsia="Times New Roman"/>
          <w:color w:val="auto"/>
          <w:highlight w:val="none"/>
          <w:u w:val="single"/>
          <w:lang w:eastAsia="zh-CN"/>
        </w:rPr>
        <w:tab/>
      </w:r>
      <w:r>
        <w:rPr>
          <w:rFonts w:ascii="Times New Roman" w:eastAsia="Times New Roman"/>
          <w:color w:val="auto"/>
          <w:highlight w:val="none"/>
          <w:u w:val="single"/>
          <w:lang w:eastAsia="zh-CN"/>
        </w:rPr>
        <w:tab/>
      </w:r>
      <w:r>
        <w:rPr>
          <w:rFonts w:ascii="Times New Roman" w:eastAsia="Times New Roman"/>
          <w:color w:val="auto"/>
          <w:highlight w:val="none"/>
          <w:u w:val="single"/>
          <w:lang w:eastAsia="zh-CN"/>
        </w:rPr>
        <w:t xml:space="preserve"> </w:t>
      </w:r>
      <w:r>
        <w:rPr>
          <w:color w:val="auto"/>
          <w:highlight w:val="none"/>
          <w:lang w:eastAsia="zh-CN"/>
        </w:rPr>
        <w:t>合</w:t>
      </w:r>
      <w:r>
        <w:rPr>
          <w:color w:val="auto"/>
          <w:spacing w:val="-4"/>
          <w:highlight w:val="none"/>
          <w:lang w:eastAsia="zh-CN"/>
        </w:rPr>
        <w:t xml:space="preserve"> </w:t>
      </w:r>
      <w:r>
        <w:rPr>
          <w:color w:val="auto"/>
          <w:highlight w:val="none"/>
          <w:lang w:eastAsia="zh-CN"/>
        </w:rPr>
        <w:t>同</w:t>
      </w:r>
      <w:r>
        <w:rPr>
          <w:color w:val="auto"/>
          <w:highlight w:val="none"/>
          <w:lang w:eastAsia="zh-CN"/>
        </w:rPr>
        <w:tab/>
      </w:r>
      <w:r>
        <w:rPr>
          <w:color w:val="auto"/>
          <w:highlight w:val="none"/>
          <w:lang w:eastAsia="zh-CN"/>
        </w:rPr>
        <w:t>编</w:t>
      </w:r>
      <w:r>
        <w:rPr>
          <w:color w:val="auto"/>
          <w:spacing w:val="-2"/>
          <w:highlight w:val="none"/>
          <w:lang w:eastAsia="zh-CN"/>
        </w:rPr>
        <w:t xml:space="preserve"> </w:t>
      </w:r>
      <w:r>
        <w:rPr>
          <w:color w:val="auto"/>
          <w:highlight w:val="none"/>
          <w:lang w:eastAsia="zh-CN"/>
        </w:rPr>
        <w:t>号：</w:t>
      </w:r>
      <w:r>
        <w:rPr>
          <w:rFonts w:ascii="Times New Roman" w:eastAsia="Times New Roman"/>
          <w:color w:val="auto"/>
          <w:highlight w:val="none"/>
          <w:u w:val="single"/>
          <w:lang w:eastAsia="zh-CN"/>
        </w:rPr>
        <w:t xml:space="preserve"> </w:t>
      </w:r>
      <w:r>
        <w:rPr>
          <w:rFonts w:ascii="Times New Roman" w:eastAsia="Times New Roman"/>
          <w:color w:val="auto"/>
          <w:highlight w:val="none"/>
          <w:u w:val="single"/>
          <w:lang w:eastAsia="zh-CN"/>
        </w:rPr>
        <w:tab/>
      </w:r>
      <w:r>
        <w:rPr>
          <w:rFonts w:ascii="Times New Roman" w:eastAsia="Times New Roman"/>
          <w:color w:val="auto"/>
          <w:highlight w:val="none"/>
          <w:u w:val="single"/>
          <w:lang w:eastAsia="zh-CN"/>
        </w:rPr>
        <w:tab/>
      </w:r>
      <w:r>
        <w:rPr>
          <w:rFonts w:ascii="Times New Roman" w:eastAsia="Times New Roman"/>
          <w:color w:val="auto"/>
          <w:highlight w:val="none"/>
          <w:u w:val="single"/>
          <w:lang w:eastAsia="zh-CN"/>
        </w:rPr>
        <w:tab/>
      </w:r>
      <w:r>
        <w:rPr>
          <w:rFonts w:ascii="Times New Roman" w:eastAsia="Times New Roman"/>
          <w:color w:val="auto"/>
          <w:highlight w:val="none"/>
          <w:u w:val="single"/>
          <w:lang w:eastAsia="zh-CN"/>
        </w:rPr>
        <w:tab/>
      </w:r>
      <w:r>
        <w:rPr>
          <w:rFonts w:ascii="Times New Roman" w:eastAsia="Times New Roman"/>
          <w:color w:val="auto"/>
          <w:highlight w:val="none"/>
          <w:u w:val="single"/>
          <w:lang w:eastAsia="zh-CN"/>
        </w:rPr>
        <w:tab/>
      </w:r>
      <w:r>
        <w:rPr>
          <w:rFonts w:ascii="Times New Roman" w:eastAsia="Times New Roman"/>
          <w:color w:val="auto"/>
          <w:spacing w:val="-1"/>
          <w:highlight w:val="none"/>
          <w:u w:val="single"/>
          <w:lang w:eastAsia="zh-CN"/>
        </w:rPr>
        <w:t xml:space="preserve">                                  </w:t>
      </w:r>
      <w:r>
        <w:rPr>
          <w:rFonts w:ascii="Times New Roman" w:eastAsia="Times New Roman"/>
          <w:color w:val="auto"/>
          <w:spacing w:val="34"/>
          <w:highlight w:val="none"/>
          <w:u w:val="single"/>
          <w:lang w:eastAsia="zh-CN"/>
        </w:rPr>
        <w:t xml:space="preserve"> </w:t>
      </w:r>
      <w:r>
        <w:rPr>
          <w:color w:val="auto"/>
          <w:spacing w:val="-1"/>
          <w:w w:val="95"/>
          <w:highlight w:val="none"/>
          <w:lang w:eastAsia="zh-CN"/>
        </w:rPr>
        <w:t>设计</w:t>
      </w:r>
      <w:r>
        <w:rPr>
          <w:color w:val="auto"/>
          <w:w w:val="95"/>
          <w:highlight w:val="none"/>
          <w:lang w:eastAsia="zh-CN"/>
        </w:rPr>
        <w:t>证书等</w:t>
      </w:r>
      <w:r>
        <w:rPr>
          <w:color w:val="auto"/>
          <w:spacing w:val="-65"/>
          <w:w w:val="95"/>
          <w:highlight w:val="none"/>
          <w:lang w:eastAsia="zh-CN"/>
        </w:rPr>
        <w:t xml:space="preserve"> </w:t>
      </w:r>
      <w:r>
        <w:rPr>
          <w:color w:val="auto"/>
          <w:spacing w:val="-1"/>
          <w:w w:val="95"/>
          <w:highlight w:val="none"/>
          <w:lang w:eastAsia="zh-CN"/>
        </w:rPr>
        <w:t>级</w:t>
      </w:r>
      <w:r>
        <w:rPr>
          <w:color w:val="auto"/>
          <w:spacing w:val="-3"/>
          <w:w w:val="95"/>
          <w:highlight w:val="none"/>
          <w:lang w:eastAsia="zh-CN"/>
        </w:rPr>
        <w:t>：</w:t>
      </w:r>
      <w:r>
        <w:rPr>
          <w:color w:val="auto"/>
          <w:spacing w:val="-3"/>
          <w:w w:val="95"/>
          <w:highlight w:val="none"/>
          <w:u w:val="single"/>
          <w:lang w:eastAsia="zh-CN"/>
        </w:rPr>
        <w:tab/>
      </w:r>
      <w:r>
        <w:rPr>
          <w:color w:val="auto"/>
          <w:spacing w:val="-3"/>
          <w:w w:val="95"/>
          <w:highlight w:val="none"/>
          <w:u w:val="single"/>
          <w:lang w:eastAsia="zh-CN"/>
        </w:rPr>
        <w:tab/>
      </w:r>
      <w:r>
        <w:rPr>
          <w:color w:val="auto"/>
          <w:spacing w:val="-3"/>
          <w:w w:val="95"/>
          <w:highlight w:val="none"/>
          <w:u w:val="single"/>
          <w:lang w:eastAsia="zh-CN"/>
        </w:rPr>
        <w:tab/>
      </w:r>
      <w:r>
        <w:rPr>
          <w:color w:val="auto"/>
          <w:spacing w:val="-3"/>
          <w:w w:val="95"/>
          <w:highlight w:val="none"/>
          <w:u w:val="single"/>
          <w:lang w:eastAsia="zh-CN"/>
        </w:rPr>
        <w:tab/>
      </w:r>
      <w:r>
        <w:rPr>
          <w:color w:val="auto"/>
          <w:spacing w:val="-3"/>
          <w:w w:val="95"/>
          <w:highlight w:val="none"/>
          <w:u w:val="single"/>
          <w:lang w:eastAsia="zh-CN"/>
        </w:rPr>
        <w:tab/>
      </w:r>
      <w:r>
        <w:rPr>
          <w:color w:val="auto"/>
          <w:w w:val="95"/>
          <w:highlight w:val="none"/>
          <w:u w:val="single"/>
          <w:lang w:eastAsia="zh-CN"/>
        </w:rPr>
        <w:t xml:space="preserve"> </w:t>
      </w:r>
      <w:r>
        <w:rPr>
          <w:color w:val="auto"/>
          <w:highlight w:val="none"/>
          <w:lang w:eastAsia="zh-CN"/>
        </w:rPr>
        <w:t>发</w:t>
      </w:r>
      <w:r>
        <w:rPr>
          <w:color w:val="auto"/>
          <w:highlight w:val="none"/>
          <w:lang w:eastAsia="zh-CN"/>
        </w:rPr>
        <w:tab/>
      </w:r>
      <w:r>
        <w:rPr>
          <w:color w:val="auto"/>
          <w:highlight w:val="none"/>
          <w:lang w:eastAsia="zh-CN"/>
        </w:rPr>
        <w:t>包</w:t>
      </w:r>
      <w:r>
        <w:rPr>
          <w:color w:val="auto"/>
          <w:highlight w:val="none"/>
          <w:lang w:eastAsia="zh-CN"/>
        </w:rPr>
        <w:tab/>
      </w:r>
      <w:r>
        <w:rPr>
          <w:color w:val="auto"/>
          <w:spacing w:val="-1"/>
          <w:w w:val="95"/>
          <w:highlight w:val="none"/>
          <w:lang w:eastAsia="zh-CN"/>
        </w:rPr>
        <w:t>人：</w:t>
      </w:r>
      <w:r>
        <w:rPr>
          <w:color w:val="auto"/>
          <w:spacing w:val="-1"/>
          <w:w w:val="95"/>
          <w:highlight w:val="none"/>
          <w:u w:val="single"/>
          <w:lang w:eastAsia="zh-CN"/>
        </w:rPr>
        <w:tab/>
      </w:r>
      <w:r>
        <w:rPr>
          <w:color w:val="auto"/>
          <w:spacing w:val="-1"/>
          <w:w w:val="95"/>
          <w:highlight w:val="none"/>
          <w:u w:val="single"/>
          <w:lang w:eastAsia="zh-CN"/>
        </w:rPr>
        <w:tab/>
      </w:r>
      <w:r>
        <w:rPr>
          <w:color w:val="auto"/>
          <w:spacing w:val="-1"/>
          <w:w w:val="95"/>
          <w:highlight w:val="none"/>
          <w:u w:val="single"/>
          <w:lang w:eastAsia="zh-CN"/>
        </w:rPr>
        <w:tab/>
      </w:r>
      <w:r>
        <w:rPr>
          <w:color w:val="auto"/>
          <w:spacing w:val="-1"/>
          <w:w w:val="95"/>
          <w:highlight w:val="none"/>
          <w:u w:val="single"/>
          <w:lang w:eastAsia="zh-CN"/>
        </w:rPr>
        <w:tab/>
      </w:r>
      <w:r>
        <w:rPr>
          <w:color w:val="auto"/>
          <w:spacing w:val="-1"/>
          <w:w w:val="95"/>
          <w:highlight w:val="none"/>
          <w:u w:val="single"/>
          <w:lang w:eastAsia="zh-CN"/>
        </w:rPr>
        <w:tab/>
      </w:r>
      <w:r>
        <w:rPr>
          <w:color w:val="auto"/>
          <w:w w:val="95"/>
          <w:highlight w:val="none"/>
          <w:u w:val="single"/>
          <w:lang w:eastAsia="zh-CN"/>
        </w:rPr>
        <w:t xml:space="preserve"> </w:t>
      </w:r>
      <w:r>
        <w:rPr>
          <w:color w:val="auto"/>
          <w:highlight w:val="none"/>
          <w:lang w:eastAsia="zh-CN"/>
        </w:rPr>
        <w:t>设</w:t>
      </w:r>
      <w:r>
        <w:rPr>
          <w:color w:val="auto"/>
          <w:highlight w:val="none"/>
          <w:lang w:eastAsia="zh-CN"/>
        </w:rPr>
        <w:tab/>
      </w:r>
      <w:r>
        <w:rPr>
          <w:color w:val="auto"/>
          <w:highlight w:val="none"/>
          <w:lang w:eastAsia="zh-CN"/>
        </w:rPr>
        <w:t>计</w:t>
      </w:r>
      <w:r>
        <w:rPr>
          <w:color w:val="auto"/>
          <w:highlight w:val="none"/>
          <w:lang w:eastAsia="zh-CN"/>
        </w:rPr>
        <w:tab/>
      </w:r>
      <w:r>
        <w:rPr>
          <w:color w:val="auto"/>
          <w:spacing w:val="-1"/>
          <w:w w:val="95"/>
          <w:highlight w:val="none"/>
          <w:lang w:eastAsia="zh-CN"/>
        </w:rPr>
        <w:t>人：</w:t>
      </w:r>
      <w:r>
        <w:rPr>
          <w:color w:val="auto"/>
          <w:spacing w:val="-1"/>
          <w:w w:val="95"/>
          <w:highlight w:val="none"/>
          <w:u w:val="single"/>
          <w:lang w:eastAsia="zh-CN"/>
        </w:rPr>
        <w:tab/>
      </w:r>
      <w:r>
        <w:rPr>
          <w:color w:val="auto"/>
          <w:spacing w:val="-1"/>
          <w:w w:val="95"/>
          <w:highlight w:val="none"/>
          <w:u w:val="single"/>
          <w:lang w:eastAsia="zh-CN"/>
        </w:rPr>
        <w:tab/>
      </w:r>
      <w:r>
        <w:rPr>
          <w:color w:val="auto"/>
          <w:spacing w:val="-1"/>
          <w:w w:val="95"/>
          <w:highlight w:val="none"/>
          <w:u w:val="single"/>
          <w:lang w:eastAsia="zh-CN"/>
        </w:rPr>
        <w:tab/>
      </w:r>
      <w:r>
        <w:rPr>
          <w:color w:val="auto"/>
          <w:spacing w:val="-1"/>
          <w:w w:val="95"/>
          <w:highlight w:val="none"/>
          <w:u w:val="single"/>
          <w:lang w:eastAsia="zh-CN"/>
        </w:rPr>
        <w:tab/>
      </w:r>
      <w:r>
        <w:rPr>
          <w:color w:val="auto"/>
          <w:w w:val="95"/>
          <w:highlight w:val="none"/>
          <w:u w:val="single"/>
          <w:lang w:eastAsia="zh-CN"/>
        </w:rPr>
        <w:t xml:space="preserve"> </w:t>
      </w:r>
      <w:r>
        <w:rPr>
          <w:color w:val="auto"/>
          <w:highlight w:val="none"/>
          <w:lang w:eastAsia="zh-CN"/>
        </w:rPr>
        <w:t>签</w:t>
      </w:r>
      <w:r>
        <w:rPr>
          <w:color w:val="auto"/>
          <w:spacing w:val="-4"/>
          <w:highlight w:val="none"/>
          <w:lang w:eastAsia="zh-CN"/>
        </w:rPr>
        <w:t xml:space="preserve"> </w:t>
      </w:r>
      <w:r>
        <w:rPr>
          <w:color w:val="auto"/>
          <w:highlight w:val="none"/>
          <w:lang w:eastAsia="zh-CN"/>
        </w:rPr>
        <w:t>订</w:t>
      </w:r>
      <w:r>
        <w:rPr>
          <w:color w:val="auto"/>
          <w:highlight w:val="none"/>
          <w:lang w:eastAsia="zh-CN"/>
        </w:rPr>
        <w:tab/>
      </w:r>
      <w:r>
        <w:rPr>
          <w:color w:val="auto"/>
          <w:highlight w:val="none"/>
          <w:lang w:eastAsia="zh-CN"/>
        </w:rPr>
        <w:t>日</w:t>
      </w:r>
      <w:r>
        <w:rPr>
          <w:color w:val="auto"/>
          <w:spacing w:val="-1"/>
          <w:highlight w:val="none"/>
          <w:lang w:eastAsia="zh-CN"/>
        </w:rPr>
        <w:t xml:space="preserve"> </w:t>
      </w:r>
      <w:r>
        <w:rPr>
          <w:color w:val="auto"/>
          <w:highlight w:val="none"/>
          <w:lang w:eastAsia="zh-CN"/>
        </w:rPr>
        <w:t>期：</w:t>
      </w:r>
      <w:r>
        <w:rPr>
          <w:color w:val="auto"/>
          <w:highlight w:val="none"/>
          <w:u w:val="single"/>
          <w:lang w:eastAsia="zh-CN"/>
        </w:rPr>
        <w:t xml:space="preserve"> </w:t>
      </w:r>
      <w:r>
        <w:rPr>
          <w:color w:val="auto"/>
          <w:highlight w:val="none"/>
          <w:u w:val="single"/>
          <w:lang w:eastAsia="zh-CN"/>
        </w:rPr>
        <w:tab/>
      </w:r>
      <w:r>
        <w:rPr>
          <w:color w:val="auto"/>
          <w:highlight w:val="none"/>
          <w:lang w:eastAsia="zh-CN"/>
        </w:rPr>
        <w:t>年</w:t>
      </w:r>
      <w:r>
        <w:rPr>
          <w:color w:val="auto"/>
          <w:highlight w:val="none"/>
          <w:u w:val="single"/>
          <w:lang w:eastAsia="zh-CN"/>
        </w:rPr>
        <w:t xml:space="preserve"> </w:t>
      </w:r>
      <w:r>
        <w:rPr>
          <w:color w:val="auto"/>
          <w:highlight w:val="none"/>
          <w:u w:val="single"/>
          <w:lang w:eastAsia="zh-CN"/>
        </w:rPr>
        <w:tab/>
      </w:r>
      <w:r>
        <w:rPr>
          <w:color w:val="auto"/>
          <w:highlight w:val="none"/>
          <w:lang w:eastAsia="zh-CN"/>
        </w:rPr>
        <w:t>月</w:t>
      </w:r>
      <w:r>
        <w:rPr>
          <w:color w:val="auto"/>
          <w:highlight w:val="none"/>
          <w:u w:val="single"/>
          <w:lang w:eastAsia="zh-CN"/>
        </w:rPr>
        <w:t xml:space="preserve"> </w:t>
      </w:r>
      <w:r>
        <w:rPr>
          <w:color w:val="auto"/>
          <w:highlight w:val="none"/>
          <w:u w:val="single"/>
          <w:lang w:eastAsia="zh-CN"/>
        </w:rPr>
        <w:tab/>
      </w:r>
      <w:r>
        <w:rPr>
          <w:color w:val="auto"/>
          <w:highlight w:val="none"/>
          <w:lang w:eastAsia="zh-CN"/>
        </w:rPr>
        <w:t>日</w:t>
      </w:r>
    </w:p>
    <w:p>
      <w:pPr>
        <w:spacing w:line="364" w:lineRule="auto"/>
        <w:rPr>
          <w:color w:val="auto"/>
          <w:highlight w:val="none"/>
          <w:lang w:eastAsia="zh-CN"/>
        </w:rPr>
        <w:sectPr>
          <w:footerReference r:id="rId7" w:type="default"/>
          <w:pgSz w:w="11849" w:h="16792"/>
          <w:pgMar w:top="1417" w:right="850" w:bottom="1417" w:left="850" w:header="850" w:footer="850" w:gutter="0"/>
          <w:pgBorders>
            <w:top w:val="none" w:sz="0" w:space="0"/>
            <w:left w:val="none" w:sz="0" w:space="0"/>
            <w:bottom w:val="none" w:sz="0" w:space="0"/>
            <w:right w:val="none" w:sz="0" w:space="0"/>
          </w:pgBorders>
          <w:pgNumType w:fmt="decimal"/>
          <w:cols w:space="0" w:num="1"/>
          <w:rtlGutter w:val="0"/>
          <w:docGrid w:linePitch="0" w:charSpace="0"/>
        </w:sectPr>
      </w:pPr>
    </w:p>
    <w:p>
      <w:pPr>
        <w:spacing w:before="38"/>
        <w:ind w:left="375" w:right="376"/>
        <w:jc w:val="center"/>
        <w:rPr>
          <w:b/>
          <w:color w:val="auto"/>
          <w:sz w:val="36"/>
          <w:highlight w:val="none"/>
          <w:lang w:eastAsia="zh-CN"/>
        </w:rPr>
      </w:pPr>
      <w:r>
        <w:rPr>
          <w:b/>
          <w:color w:val="auto"/>
          <w:sz w:val="36"/>
          <w:highlight w:val="none"/>
          <w:lang w:eastAsia="zh-CN"/>
        </w:rPr>
        <w:t>建筑工程设计合同</w:t>
      </w:r>
    </w:p>
    <w:p>
      <w:pPr>
        <w:pStyle w:val="17"/>
        <w:ind w:left="0"/>
        <w:rPr>
          <w:b/>
          <w:color w:val="auto"/>
          <w:sz w:val="20"/>
          <w:highlight w:val="none"/>
          <w:lang w:eastAsia="zh-CN"/>
        </w:rPr>
      </w:pPr>
    </w:p>
    <w:p>
      <w:pPr>
        <w:pStyle w:val="17"/>
        <w:spacing w:before="5"/>
        <w:ind w:left="0"/>
        <w:rPr>
          <w:b/>
          <w:color w:val="auto"/>
          <w:sz w:val="24"/>
          <w:highlight w:val="none"/>
          <w:lang w:eastAsia="zh-CN"/>
        </w:rPr>
      </w:pPr>
    </w:p>
    <w:p>
      <w:pPr>
        <w:spacing w:before="70" w:line="364" w:lineRule="auto"/>
        <w:ind w:left="818" w:right="7544"/>
        <w:rPr>
          <w:b/>
          <w:color w:val="auto"/>
          <w:spacing w:val="-7"/>
          <w:sz w:val="21"/>
          <w:highlight w:val="none"/>
          <w:lang w:eastAsia="zh-CN"/>
        </w:rPr>
      </w:pPr>
      <w:r>
        <w:rPr>
          <w:b/>
          <w:color w:val="auto"/>
          <w:sz w:val="21"/>
          <w:highlight w:val="none"/>
          <w:lang w:eastAsia="zh-CN"/>
        </w:rPr>
        <w:t>甲方（发包人</w:t>
      </w:r>
      <w:r>
        <w:rPr>
          <w:b/>
          <w:color w:val="auto"/>
          <w:spacing w:val="-7"/>
          <w:sz w:val="21"/>
          <w:highlight w:val="none"/>
          <w:lang w:eastAsia="zh-CN"/>
        </w:rPr>
        <w:t>）：</w:t>
      </w:r>
    </w:p>
    <w:p>
      <w:pPr>
        <w:spacing w:before="70" w:line="364" w:lineRule="auto"/>
        <w:ind w:left="818" w:right="7544"/>
        <w:rPr>
          <w:b/>
          <w:color w:val="auto"/>
          <w:sz w:val="21"/>
          <w:highlight w:val="none"/>
          <w:lang w:eastAsia="zh-CN"/>
        </w:rPr>
      </w:pPr>
      <w:r>
        <w:rPr>
          <w:b/>
          <w:color w:val="auto"/>
          <w:sz w:val="21"/>
          <w:highlight w:val="none"/>
          <w:lang w:eastAsia="zh-CN"/>
        </w:rPr>
        <w:t>联系电话：</w:t>
      </w:r>
    </w:p>
    <w:p>
      <w:pPr>
        <w:spacing w:line="267" w:lineRule="exact"/>
        <w:ind w:left="818"/>
        <w:rPr>
          <w:b/>
          <w:color w:val="auto"/>
          <w:sz w:val="21"/>
          <w:highlight w:val="none"/>
          <w:lang w:eastAsia="zh-CN"/>
        </w:rPr>
      </w:pPr>
      <w:r>
        <w:rPr>
          <w:b/>
          <w:color w:val="auto"/>
          <w:w w:val="95"/>
          <w:sz w:val="21"/>
          <w:highlight w:val="none"/>
          <w:lang w:eastAsia="zh-CN"/>
        </w:rPr>
        <w:t>联系地址：</w:t>
      </w:r>
    </w:p>
    <w:p>
      <w:pPr>
        <w:pStyle w:val="17"/>
        <w:ind w:left="0"/>
        <w:rPr>
          <w:b/>
          <w:color w:val="auto"/>
          <w:sz w:val="20"/>
          <w:highlight w:val="none"/>
          <w:lang w:eastAsia="zh-CN"/>
        </w:rPr>
      </w:pPr>
    </w:p>
    <w:p>
      <w:pPr>
        <w:pStyle w:val="17"/>
        <w:spacing w:before="11"/>
        <w:ind w:left="0"/>
        <w:rPr>
          <w:b/>
          <w:color w:val="auto"/>
          <w:highlight w:val="none"/>
          <w:lang w:eastAsia="zh-CN"/>
        </w:rPr>
      </w:pPr>
    </w:p>
    <w:p>
      <w:pPr>
        <w:spacing w:line="364" w:lineRule="auto"/>
        <w:ind w:left="818" w:right="7544"/>
        <w:rPr>
          <w:b/>
          <w:color w:val="auto"/>
          <w:spacing w:val="-7"/>
          <w:sz w:val="21"/>
          <w:highlight w:val="none"/>
          <w:lang w:eastAsia="zh-CN"/>
        </w:rPr>
      </w:pPr>
      <w:r>
        <w:rPr>
          <w:b/>
          <w:color w:val="auto"/>
          <w:sz w:val="21"/>
          <w:highlight w:val="none"/>
          <w:lang w:eastAsia="zh-CN"/>
        </w:rPr>
        <w:t>乙方（设计人</w:t>
      </w:r>
      <w:r>
        <w:rPr>
          <w:b/>
          <w:color w:val="auto"/>
          <w:spacing w:val="-7"/>
          <w:sz w:val="21"/>
          <w:highlight w:val="none"/>
          <w:lang w:eastAsia="zh-CN"/>
        </w:rPr>
        <w:t xml:space="preserve">）： </w:t>
      </w:r>
    </w:p>
    <w:p>
      <w:pPr>
        <w:spacing w:line="364" w:lineRule="auto"/>
        <w:ind w:left="818" w:right="7544"/>
        <w:rPr>
          <w:b/>
          <w:color w:val="auto"/>
          <w:sz w:val="21"/>
          <w:highlight w:val="none"/>
          <w:lang w:eastAsia="zh-CN"/>
        </w:rPr>
      </w:pPr>
      <w:r>
        <w:rPr>
          <w:b/>
          <w:color w:val="auto"/>
          <w:sz w:val="21"/>
          <w:highlight w:val="none"/>
          <w:lang w:eastAsia="zh-CN"/>
        </w:rPr>
        <w:t>联系电话：</w:t>
      </w:r>
    </w:p>
    <w:p>
      <w:pPr>
        <w:spacing w:line="267" w:lineRule="exact"/>
        <w:ind w:left="818"/>
        <w:rPr>
          <w:b/>
          <w:color w:val="auto"/>
          <w:sz w:val="21"/>
          <w:highlight w:val="none"/>
          <w:lang w:eastAsia="zh-CN"/>
        </w:rPr>
      </w:pPr>
      <w:r>
        <w:rPr>
          <w:b/>
          <w:color w:val="auto"/>
          <w:w w:val="95"/>
          <w:sz w:val="21"/>
          <w:highlight w:val="none"/>
          <w:lang w:eastAsia="zh-CN"/>
        </w:rPr>
        <w:t>联系地址：</w:t>
      </w:r>
    </w:p>
    <w:p>
      <w:pPr>
        <w:pStyle w:val="17"/>
        <w:ind w:left="0"/>
        <w:rPr>
          <w:b/>
          <w:color w:val="auto"/>
          <w:sz w:val="20"/>
          <w:highlight w:val="none"/>
          <w:lang w:eastAsia="zh-CN"/>
        </w:rPr>
      </w:pPr>
    </w:p>
    <w:p>
      <w:pPr>
        <w:pStyle w:val="17"/>
        <w:spacing w:before="9"/>
        <w:ind w:left="0"/>
        <w:rPr>
          <w:b/>
          <w:color w:val="auto"/>
          <w:highlight w:val="none"/>
          <w:lang w:eastAsia="zh-CN"/>
        </w:rPr>
      </w:pPr>
    </w:p>
    <w:p>
      <w:pPr>
        <w:tabs>
          <w:tab w:val="left" w:pos="1975"/>
          <w:tab w:val="left" w:pos="4495"/>
          <w:tab w:val="left" w:pos="4915"/>
        </w:tabs>
        <w:spacing w:line="364" w:lineRule="auto"/>
        <w:ind w:left="820" w:right="829" w:firstLine="420"/>
        <w:rPr>
          <w:color w:val="auto"/>
          <w:sz w:val="21"/>
          <w:highlight w:val="none"/>
          <w:lang w:eastAsia="zh-CN"/>
        </w:rPr>
      </w:pPr>
      <w:r>
        <w:rPr>
          <w:color w:val="auto"/>
          <w:sz w:val="21"/>
          <w:highlight w:val="none"/>
          <w:lang w:eastAsia="zh-CN"/>
        </w:rPr>
        <w:t>鉴于甲方正在进行</w:t>
      </w:r>
      <w:r>
        <w:rPr>
          <w:color w:val="auto"/>
          <w:sz w:val="21"/>
          <w:highlight w:val="none"/>
          <w:u w:val="single"/>
          <w:lang w:eastAsia="zh-CN"/>
        </w:rPr>
        <w:t xml:space="preserve"> </w:t>
      </w:r>
      <w:r>
        <w:rPr>
          <w:color w:val="auto"/>
          <w:sz w:val="21"/>
          <w:highlight w:val="none"/>
          <w:u w:val="single"/>
          <w:lang w:eastAsia="zh-CN"/>
        </w:rPr>
        <w:tab/>
      </w:r>
      <w:r>
        <w:rPr>
          <w:color w:val="auto"/>
          <w:sz w:val="21"/>
          <w:highlight w:val="none"/>
          <w:lang w:eastAsia="zh-CN"/>
        </w:rPr>
        <w:t>项目（以下简称“本项目”）的开发建设，乙方拥有</w:t>
      </w:r>
      <w:r>
        <w:rPr>
          <w:color w:val="auto"/>
          <w:sz w:val="21"/>
          <w:highlight w:val="none"/>
          <w:u w:val="single"/>
          <w:lang w:eastAsia="zh-CN"/>
        </w:rPr>
        <w:t xml:space="preserve"> </w:t>
      </w:r>
      <w:r>
        <w:rPr>
          <w:color w:val="auto"/>
          <w:sz w:val="21"/>
          <w:highlight w:val="none"/>
          <w:u w:val="single"/>
          <w:lang w:eastAsia="zh-CN"/>
        </w:rPr>
        <w:tab/>
      </w:r>
      <w:r>
        <w:rPr>
          <w:color w:val="auto"/>
          <w:sz w:val="21"/>
          <w:highlight w:val="none"/>
          <w:lang w:eastAsia="zh-CN"/>
        </w:rPr>
        <w:t>资质，资质证书编号为：</w:t>
      </w:r>
      <w:r>
        <w:rPr>
          <w:color w:val="auto"/>
          <w:sz w:val="21"/>
          <w:highlight w:val="none"/>
          <w:u w:val="single"/>
          <w:lang w:eastAsia="zh-CN"/>
        </w:rPr>
        <w:t xml:space="preserve"> </w:t>
      </w:r>
      <w:r>
        <w:rPr>
          <w:color w:val="auto"/>
          <w:sz w:val="21"/>
          <w:highlight w:val="none"/>
          <w:u w:val="single"/>
          <w:lang w:eastAsia="zh-CN"/>
        </w:rPr>
        <w:tab/>
      </w:r>
      <w:r>
        <w:rPr>
          <w:color w:val="auto"/>
          <w:sz w:val="21"/>
          <w:highlight w:val="none"/>
          <w:u w:val="single"/>
          <w:lang w:eastAsia="zh-CN"/>
        </w:rPr>
        <w:tab/>
      </w:r>
      <w:r>
        <w:rPr>
          <w:color w:val="auto"/>
          <w:sz w:val="21"/>
          <w:highlight w:val="none"/>
          <w:lang w:eastAsia="zh-CN"/>
        </w:rPr>
        <w:t>，现甲方通过公开招投标形式，确认乙方为中标单位，并委托乙方承担本项目的建筑工程设计任务。甲乙双方在平等、自愿、协商一致的基础上签订本合同，以资共同遵守。</w:t>
      </w:r>
    </w:p>
    <w:p>
      <w:pPr>
        <w:pStyle w:val="17"/>
        <w:ind w:left="0"/>
        <w:rPr>
          <w:color w:val="auto"/>
          <w:sz w:val="20"/>
          <w:highlight w:val="none"/>
          <w:lang w:eastAsia="zh-CN"/>
        </w:rPr>
      </w:pPr>
    </w:p>
    <w:p>
      <w:pPr>
        <w:spacing w:before="153"/>
        <w:ind w:left="100"/>
        <w:jc w:val="both"/>
        <w:rPr>
          <w:b/>
          <w:color w:val="auto"/>
          <w:sz w:val="21"/>
          <w:highlight w:val="none"/>
          <w:lang w:eastAsia="zh-CN"/>
        </w:rPr>
      </w:pPr>
      <w:r>
        <w:rPr>
          <w:b/>
          <w:color w:val="auto"/>
          <w:sz w:val="21"/>
          <w:highlight w:val="none"/>
          <w:lang w:eastAsia="zh-CN"/>
        </w:rPr>
        <w:t>第一条 合同签订的依据</w:t>
      </w:r>
    </w:p>
    <w:p>
      <w:pPr>
        <w:pStyle w:val="17"/>
        <w:spacing w:before="138"/>
        <w:ind w:left="460"/>
        <w:jc w:val="both"/>
        <w:rPr>
          <w:color w:val="auto"/>
          <w:highlight w:val="none"/>
          <w:lang w:eastAsia="zh-CN"/>
        </w:rPr>
      </w:pPr>
      <w:r>
        <w:rPr>
          <w:rFonts w:hint="eastAsia" w:ascii="Times New Roman" w:hAnsi="Times New Roman"/>
          <w:color w:val="auto"/>
          <w:highlight w:val="none"/>
          <w:lang w:eastAsia="zh-CN"/>
        </w:rPr>
        <w:t>1</w:t>
      </w:r>
      <w:r>
        <w:rPr>
          <w:color w:val="auto"/>
          <w:highlight w:val="none"/>
          <w:lang w:eastAsia="zh-CN"/>
        </w:rPr>
        <w:t>.</w:t>
      </w:r>
      <w:r>
        <w:rPr>
          <w:rFonts w:hint="eastAsia" w:ascii="Times New Roman" w:hAnsi="Times New Roman"/>
          <w:color w:val="auto"/>
          <w:highlight w:val="none"/>
          <w:lang w:eastAsia="zh-CN"/>
        </w:rPr>
        <w:t>1</w:t>
      </w:r>
      <w:r>
        <w:rPr>
          <w:color w:val="auto"/>
          <w:highlight w:val="none"/>
          <w:lang w:eastAsia="zh-CN"/>
        </w:rPr>
        <w:t xml:space="preserve"> 本合同依据以下规定或者文件签订:</w:t>
      </w:r>
    </w:p>
    <w:p>
      <w:pPr>
        <w:pStyle w:val="90"/>
        <w:numPr>
          <w:ilvl w:val="2"/>
          <w:numId w:val="0"/>
        </w:numPr>
        <w:tabs>
          <w:tab w:val="left" w:pos="1529"/>
        </w:tabs>
        <w:spacing w:before="148" w:line="364" w:lineRule="auto"/>
        <w:ind w:right="817" w:rightChars="0" w:firstLine="428" w:firstLineChars="200"/>
        <w:jc w:val="both"/>
        <w:rPr>
          <w:color w:val="auto"/>
          <w:highlight w:val="none"/>
          <w:lang w:eastAsia="zh-CN"/>
        </w:rPr>
      </w:pPr>
      <w:r>
        <w:rPr>
          <w:rFonts w:hint="eastAsia" w:ascii="Times New Roman" w:hAnsi="Times New Roman" w:cs="宋体"/>
          <w:color w:val="auto"/>
          <w:spacing w:val="-3"/>
          <w:w w:val="100"/>
          <w:kern w:val="2"/>
          <w:sz w:val="22"/>
          <w:szCs w:val="22"/>
          <w:highlight w:val="none"/>
          <w:lang w:val="en-US" w:eastAsia="zh-CN" w:bidi="ar-SA"/>
        </w:rPr>
        <w:t>1</w:t>
      </w:r>
      <w:r>
        <w:rPr>
          <w:rFonts w:hint="default" w:ascii="宋体" w:hAnsi="宋体" w:eastAsia="宋体" w:cs="宋体"/>
          <w:color w:val="auto"/>
          <w:spacing w:val="-3"/>
          <w:w w:val="100"/>
          <w:kern w:val="2"/>
          <w:sz w:val="22"/>
          <w:szCs w:val="22"/>
          <w:highlight w:val="none"/>
          <w:lang w:val="en-US" w:eastAsia="zh-CN" w:bidi="ar-SA"/>
        </w:rPr>
        <w:t>.</w:t>
      </w:r>
      <w:r>
        <w:rPr>
          <w:rFonts w:hint="eastAsia" w:ascii="Times New Roman" w:hAnsi="Times New Roman" w:cs="宋体"/>
          <w:color w:val="auto"/>
          <w:spacing w:val="-3"/>
          <w:w w:val="100"/>
          <w:kern w:val="2"/>
          <w:sz w:val="22"/>
          <w:szCs w:val="22"/>
          <w:highlight w:val="none"/>
          <w:lang w:val="en-US" w:eastAsia="zh-CN" w:bidi="ar-SA"/>
        </w:rPr>
        <w:t>1</w:t>
      </w:r>
      <w:r>
        <w:rPr>
          <w:rFonts w:hint="default" w:ascii="宋体" w:hAnsi="宋体" w:eastAsia="宋体" w:cs="宋体"/>
          <w:color w:val="auto"/>
          <w:spacing w:val="-3"/>
          <w:w w:val="100"/>
          <w:kern w:val="2"/>
          <w:sz w:val="22"/>
          <w:szCs w:val="22"/>
          <w:highlight w:val="none"/>
          <w:lang w:val="en-US" w:eastAsia="zh-CN" w:bidi="ar-SA"/>
        </w:rPr>
        <w:t>.</w:t>
      </w:r>
      <w:r>
        <w:rPr>
          <w:rFonts w:hint="eastAsia" w:ascii="Times New Roman" w:hAnsi="Times New Roman" w:cs="宋体"/>
          <w:color w:val="auto"/>
          <w:spacing w:val="-3"/>
          <w:w w:val="100"/>
          <w:kern w:val="2"/>
          <w:sz w:val="22"/>
          <w:szCs w:val="22"/>
          <w:highlight w:val="none"/>
          <w:lang w:val="en-US" w:eastAsia="zh-CN" w:bidi="ar-SA"/>
        </w:rPr>
        <w:t>1</w:t>
      </w:r>
      <w:r>
        <w:rPr>
          <w:color w:val="auto"/>
          <w:spacing w:val="-3"/>
          <w:highlight w:val="none"/>
          <w:lang w:eastAsia="zh-CN"/>
        </w:rPr>
        <w:t>《中华人民共和国民法典》、《中华人民共和国建筑法》、《建设工程质量管理条例》、《建设工程勘察设计管理条例》等国家及地方有关建设工程勘察设计管理的法规和规章，招标文件、中标通知书；</w:t>
      </w:r>
    </w:p>
    <w:p>
      <w:pPr>
        <w:pStyle w:val="90"/>
        <w:numPr>
          <w:ilvl w:val="2"/>
          <w:numId w:val="0"/>
        </w:numPr>
        <w:tabs>
          <w:tab w:val="left" w:pos="1529"/>
        </w:tabs>
        <w:spacing w:line="281" w:lineRule="exact"/>
        <w:ind w:firstLine="428" w:firstLineChars="200"/>
        <w:jc w:val="both"/>
        <w:rPr>
          <w:color w:val="auto"/>
          <w:highlight w:val="none"/>
        </w:rPr>
      </w:pPr>
      <w:r>
        <w:rPr>
          <w:rFonts w:hint="eastAsia" w:ascii="Times New Roman" w:hAnsi="Times New Roman" w:cs="宋体"/>
          <w:color w:val="auto"/>
          <w:spacing w:val="-3"/>
          <w:w w:val="100"/>
          <w:kern w:val="2"/>
          <w:sz w:val="22"/>
          <w:szCs w:val="22"/>
          <w:highlight w:val="none"/>
          <w:lang w:val="en-US" w:eastAsia="zh-CN" w:bidi="ar-SA"/>
        </w:rPr>
        <w:t>1</w:t>
      </w:r>
      <w:r>
        <w:rPr>
          <w:rFonts w:hint="default" w:ascii="宋体" w:hAnsi="宋体" w:eastAsia="宋体" w:cs="宋体"/>
          <w:color w:val="auto"/>
          <w:spacing w:val="-3"/>
          <w:w w:val="100"/>
          <w:kern w:val="2"/>
          <w:sz w:val="22"/>
          <w:szCs w:val="22"/>
          <w:highlight w:val="none"/>
          <w:lang w:val="en-US" w:eastAsia="zh-CN" w:bidi="ar-SA"/>
        </w:rPr>
        <w:t>.</w:t>
      </w:r>
      <w:r>
        <w:rPr>
          <w:rFonts w:hint="eastAsia" w:ascii="Times New Roman" w:hAnsi="Times New Roman" w:cs="宋体"/>
          <w:color w:val="auto"/>
          <w:spacing w:val="-3"/>
          <w:w w:val="100"/>
          <w:kern w:val="2"/>
          <w:sz w:val="22"/>
          <w:szCs w:val="22"/>
          <w:highlight w:val="none"/>
          <w:lang w:val="en-US" w:eastAsia="zh-CN" w:bidi="ar-SA"/>
        </w:rPr>
        <w:t>1</w:t>
      </w:r>
      <w:r>
        <w:rPr>
          <w:rFonts w:hint="default" w:ascii="宋体" w:hAnsi="宋体" w:eastAsia="宋体" w:cs="宋体"/>
          <w:color w:val="auto"/>
          <w:spacing w:val="-3"/>
          <w:w w:val="100"/>
          <w:kern w:val="2"/>
          <w:sz w:val="22"/>
          <w:szCs w:val="22"/>
          <w:highlight w:val="none"/>
          <w:lang w:val="en-US" w:eastAsia="zh-CN" w:bidi="ar-SA"/>
        </w:rPr>
        <w:t>.</w:t>
      </w:r>
      <w:r>
        <w:rPr>
          <w:rFonts w:hint="eastAsia" w:ascii="Times New Roman" w:hAnsi="Times New Roman" w:cs="宋体"/>
          <w:color w:val="auto"/>
          <w:spacing w:val="-3"/>
          <w:w w:val="100"/>
          <w:kern w:val="2"/>
          <w:sz w:val="22"/>
          <w:szCs w:val="22"/>
          <w:highlight w:val="none"/>
          <w:lang w:val="en-US" w:eastAsia="zh-CN" w:bidi="ar-SA"/>
        </w:rPr>
        <w:t>2</w:t>
      </w:r>
      <w:r>
        <w:rPr>
          <w:color w:val="auto"/>
          <w:spacing w:val="-3"/>
          <w:highlight w:val="none"/>
        </w:rPr>
        <w:t>建设工程批准文件等。</w:t>
      </w:r>
    </w:p>
    <w:p>
      <w:pPr>
        <w:spacing w:before="153"/>
        <w:ind w:left="100"/>
        <w:jc w:val="both"/>
        <w:rPr>
          <w:b/>
          <w:color w:val="auto"/>
          <w:sz w:val="21"/>
          <w:highlight w:val="none"/>
          <w:lang w:eastAsia="zh-CN"/>
        </w:rPr>
      </w:pPr>
      <w:r>
        <w:rPr>
          <w:b/>
          <w:color w:val="auto"/>
          <w:sz w:val="21"/>
          <w:highlight w:val="none"/>
          <w:lang w:eastAsia="zh-CN"/>
        </w:rPr>
        <w:t>第二条</w:t>
      </w:r>
      <w:bookmarkStart w:id="147" w:name="第二条项目概况与规划要点"/>
      <w:bookmarkEnd w:id="147"/>
      <w:r>
        <w:rPr>
          <w:b/>
          <w:color w:val="auto"/>
          <w:sz w:val="21"/>
          <w:highlight w:val="none"/>
          <w:lang w:eastAsia="zh-CN"/>
        </w:rPr>
        <w:t>项目概况与规划要点</w:t>
      </w:r>
    </w:p>
    <w:p>
      <w:pPr>
        <w:tabs>
          <w:tab w:val="left" w:pos="1528"/>
        </w:tabs>
        <w:spacing w:before="139" w:line="367" w:lineRule="auto"/>
        <w:ind w:left="100" w:right="5156" w:firstLine="300"/>
        <w:rPr>
          <w:b/>
          <w:color w:val="auto"/>
          <w:spacing w:val="-10"/>
          <w:sz w:val="21"/>
          <w:highlight w:val="none"/>
          <w:lang w:eastAsia="zh-CN"/>
        </w:rPr>
      </w:pPr>
      <w:r>
        <w:rPr>
          <w:rFonts w:hint="eastAsia" w:ascii="Times New Roman" w:hAnsi="Times New Roman"/>
          <w:color w:val="auto"/>
          <w:sz w:val="21"/>
          <w:highlight w:val="none"/>
          <w:lang w:eastAsia="zh-CN"/>
        </w:rPr>
        <w:t>2</w:t>
      </w:r>
      <w:r>
        <w:rPr>
          <w:color w:val="auto"/>
          <w:sz w:val="21"/>
          <w:highlight w:val="none"/>
          <w:lang w:eastAsia="zh-CN"/>
        </w:rPr>
        <w:t>.</w:t>
      </w:r>
      <w:r>
        <w:rPr>
          <w:rFonts w:hint="eastAsia" w:ascii="Times New Roman" w:hAnsi="Times New Roman"/>
          <w:color w:val="auto"/>
          <w:sz w:val="21"/>
          <w:highlight w:val="none"/>
          <w:lang w:eastAsia="zh-CN"/>
        </w:rPr>
        <w:t>1</w:t>
      </w:r>
      <w:r>
        <w:rPr>
          <w:color w:val="auto"/>
          <w:sz w:val="21"/>
          <w:highlight w:val="none"/>
          <w:lang w:eastAsia="zh-CN"/>
        </w:rPr>
        <w:t>项目概况及规划要点，详见</w:t>
      </w:r>
      <w:r>
        <w:rPr>
          <w:b/>
          <w:color w:val="auto"/>
          <w:sz w:val="21"/>
          <w:highlight w:val="none"/>
          <w:lang w:eastAsia="zh-CN"/>
        </w:rPr>
        <w:t>附件一</w:t>
      </w:r>
      <w:r>
        <w:rPr>
          <w:b/>
          <w:color w:val="auto"/>
          <w:spacing w:val="-10"/>
          <w:sz w:val="21"/>
          <w:highlight w:val="none"/>
          <w:lang w:eastAsia="zh-CN"/>
        </w:rPr>
        <w:t>。</w:t>
      </w:r>
    </w:p>
    <w:p>
      <w:pPr>
        <w:spacing w:before="153"/>
        <w:ind w:left="100"/>
        <w:jc w:val="both"/>
        <w:rPr>
          <w:b/>
          <w:color w:val="auto"/>
          <w:sz w:val="21"/>
          <w:highlight w:val="none"/>
          <w:lang w:eastAsia="zh-CN"/>
        </w:rPr>
      </w:pPr>
      <w:r>
        <w:rPr>
          <w:b/>
          <w:color w:val="auto"/>
          <w:sz w:val="21"/>
          <w:highlight w:val="none"/>
          <w:lang w:eastAsia="zh-CN"/>
        </w:rPr>
        <w:t>第三条</w:t>
      </w:r>
      <w:bookmarkStart w:id="148" w:name="第三条设计服务范围和内容_"/>
      <w:bookmarkEnd w:id="148"/>
      <w:r>
        <w:rPr>
          <w:b/>
          <w:color w:val="auto"/>
          <w:sz w:val="21"/>
          <w:highlight w:val="none"/>
          <w:lang w:eastAsia="zh-CN"/>
        </w:rPr>
        <w:t>设计服务范围和内容</w:t>
      </w:r>
    </w:p>
    <w:p>
      <w:pPr>
        <w:tabs>
          <w:tab w:val="left" w:pos="1528"/>
        </w:tabs>
        <w:spacing w:line="364" w:lineRule="auto"/>
        <w:ind w:left="100" w:right="4945" w:firstLine="360"/>
        <w:rPr>
          <w:b/>
          <w:color w:val="auto"/>
          <w:spacing w:val="-10"/>
          <w:sz w:val="21"/>
          <w:highlight w:val="none"/>
          <w:lang w:eastAsia="zh-CN"/>
        </w:rPr>
      </w:pPr>
      <w:r>
        <w:rPr>
          <w:rFonts w:hint="eastAsia" w:ascii="Times New Roman" w:hAnsi="Times New Roman"/>
          <w:color w:val="auto"/>
          <w:sz w:val="21"/>
          <w:highlight w:val="none"/>
          <w:lang w:eastAsia="zh-CN"/>
        </w:rPr>
        <w:t>3</w:t>
      </w:r>
      <w:r>
        <w:rPr>
          <w:color w:val="auto"/>
          <w:sz w:val="21"/>
          <w:highlight w:val="none"/>
          <w:lang w:eastAsia="zh-CN"/>
        </w:rPr>
        <w:t>.</w:t>
      </w:r>
      <w:r>
        <w:rPr>
          <w:rFonts w:hint="eastAsia" w:ascii="Times New Roman" w:hAnsi="Times New Roman"/>
          <w:color w:val="auto"/>
          <w:sz w:val="21"/>
          <w:highlight w:val="none"/>
          <w:lang w:eastAsia="zh-CN"/>
        </w:rPr>
        <w:t>1</w:t>
      </w:r>
      <w:r>
        <w:rPr>
          <w:color w:val="auto"/>
          <w:sz w:val="21"/>
          <w:highlight w:val="none"/>
          <w:lang w:eastAsia="zh-CN"/>
        </w:rPr>
        <w:t>乙方的设计内容及范围，详见</w:t>
      </w:r>
      <w:r>
        <w:rPr>
          <w:b/>
          <w:color w:val="auto"/>
          <w:sz w:val="21"/>
          <w:highlight w:val="none"/>
          <w:lang w:eastAsia="zh-CN"/>
        </w:rPr>
        <w:t>附件二</w:t>
      </w:r>
      <w:r>
        <w:rPr>
          <w:b/>
          <w:color w:val="auto"/>
          <w:spacing w:val="-10"/>
          <w:sz w:val="21"/>
          <w:highlight w:val="none"/>
          <w:lang w:eastAsia="zh-CN"/>
        </w:rPr>
        <w:t>。</w:t>
      </w:r>
    </w:p>
    <w:p>
      <w:pPr>
        <w:spacing w:before="153"/>
        <w:ind w:left="100"/>
        <w:jc w:val="both"/>
        <w:rPr>
          <w:b/>
          <w:color w:val="auto"/>
          <w:sz w:val="21"/>
          <w:highlight w:val="none"/>
          <w:lang w:eastAsia="zh-CN"/>
        </w:rPr>
      </w:pPr>
      <w:r>
        <w:rPr>
          <w:b/>
          <w:color w:val="auto"/>
          <w:sz w:val="21"/>
          <w:highlight w:val="none"/>
          <w:lang w:eastAsia="zh-CN"/>
        </w:rPr>
        <w:t>第四条</w:t>
      </w:r>
      <w:bookmarkStart w:id="149" w:name="第四条设计进度要求与成果的提交"/>
      <w:bookmarkEnd w:id="149"/>
      <w:r>
        <w:rPr>
          <w:b/>
          <w:color w:val="auto"/>
          <w:sz w:val="21"/>
          <w:highlight w:val="none"/>
          <w:lang w:eastAsia="zh-CN"/>
        </w:rPr>
        <w:t>设计进度要求与成果的提交</w:t>
      </w:r>
    </w:p>
    <w:p>
      <w:pPr>
        <w:pStyle w:val="90"/>
        <w:numPr>
          <w:ilvl w:val="1"/>
          <w:numId w:val="0"/>
        </w:numPr>
        <w:tabs>
          <w:tab w:val="left" w:pos="1459"/>
          <w:tab w:val="left" w:pos="1460"/>
        </w:tabs>
        <w:ind w:firstLine="436" w:firstLineChars="200"/>
        <w:rPr>
          <w:color w:val="auto"/>
          <w:highlight w:val="none"/>
          <w:lang w:eastAsia="zh-CN"/>
        </w:rPr>
      </w:pPr>
      <w:r>
        <w:rPr>
          <w:rFonts w:hint="eastAsia" w:ascii="Times New Roman" w:hAnsi="Times New Roman" w:cs="宋体"/>
          <w:color w:val="auto"/>
          <w:spacing w:val="-1"/>
          <w:w w:val="100"/>
          <w:kern w:val="2"/>
          <w:sz w:val="22"/>
          <w:szCs w:val="22"/>
          <w:highlight w:val="none"/>
          <w:lang w:val="en-US" w:eastAsia="zh-CN" w:bidi="ar-SA"/>
        </w:rPr>
        <w:t>4</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1</w:t>
      </w:r>
      <w:r>
        <w:rPr>
          <w:color w:val="auto"/>
          <w:spacing w:val="-3"/>
          <w:highlight w:val="none"/>
          <w:lang w:eastAsia="zh-CN"/>
        </w:rPr>
        <w:t>乙方保证，按约定完成设计进度并提交成果，详见</w:t>
      </w:r>
      <w:r>
        <w:rPr>
          <w:b/>
          <w:color w:val="auto"/>
          <w:highlight w:val="none"/>
          <w:lang w:eastAsia="zh-CN"/>
        </w:rPr>
        <w:t>附件三</w:t>
      </w:r>
      <w:r>
        <w:rPr>
          <w:color w:val="auto"/>
          <w:highlight w:val="none"/>
          <w:lang w:eastAsia="zh-CN"/>
        </w:rPr>
        <w:t>。</w:t>
      </w:r>
    </w:p>
    <w:p>
      <w:pPr>
        <w:pStyle w:val="90"/>
        <w:numPr>
          <w:ilvl w:val="1"/>
          <w:numId w:val="0"/>
        </w:numPr>
        <w:tabs>
          <w:tab w:val="left" w:pos="1460"/>
        </w:tabs>
        <w:spacing w:before="141"/>
        <w:ind w:firstLine="436" w:firstLineChars="200"/>
        <w:jc w:val="both"/>
        <w:rPr>
          <w:color w:val="auto"/>
          <w:highlight w:val="none"/>
          <w:lang w:eastAsia="zh-CN"/>
        </w:rPr>
      </w:pPr>
      <w:r>
        <w:rPr>
          <w:rFonts w:hint="eastAsia" w:ascii="Times New Roman" w:hAnsi="Times New Roman" w:cs="宋体"/>
          <w:color w:val="auto"/>
          <w:spacing w:val="-1"/>
          <w:w w:val="100"/>
          <w:kern w:val="2"/>
          <w:sz w:val="22"/>
          <w:szCs w:val="22"/>
          <w:highlight w:val="none"/>
          <w:lang w:val="en-US" w:eastAsia="zh-CN" w:bidi="ar-SA"/>
        </w:rPr>
        <w:t>4</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2</w:t>
      </w:r>
      <w:r>
        <w:rPr>
          <w:color w:val="auto"/>
          <w:spacing w:val="-3"/>
          <w:highlight w:val="none"/>
          <w:lang w:eastAsia="zh-CN"/>
        </w:rPr>
        <w:t>乙方承诺配合本项目政府报批而可能调整的设计工期安排，。</w:t>
      </w:r>
    </w:p>
    <w:p>
      <w:pPr>
        <w:pStyle w:val="90"/>
        <w:numPr>
          <w:ilvl w:val="1"/>
          <w:numId w:val="0"/>
        </w:numPr>
        <w:tabs>
          <w:tab w:val="left" w:pos="1460"/>
        </w:tabs>
        <w:spacing w:before="145" w:line="364" w:lineRule="auto"/>
        <w:ind w:right="865" w:rightChars="0" w:firstLine="436" w:firstLineChars="200"/>
        <w:jc w:val="both"/>
        <w:rPr>
          <w:color w:val="auto"/>
          <w:highlight w:val="none"/>
          <w:lang w:eastAsia="zh-CN"/>
        </w:rPr>
      </w:pPr>
      <w:r>
        <w:rPr>
          <w:rFonts w:hint="eastAsia" w:ascii="Times New Roman" w:hAnsi="Times New Roman" w:cs="宋体"/>
          <w:color w:val="auto"/>
          <w:spacing w:val="-1"/>
          <w:w w:val="100"/>
          <w:kern w:val="2"/>
          <w:sz w:val="22"/>
          <w:szCs w:val="22"/>
          <w:highlight w:val="none"/>
          <w:lang w:val="en-US" w:eastAsia="zh-CN" w:bidi="ar-SA"/>
        </w:rPr>
        <w:t>4</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3</w:t>
      </w:r>
      <w:r>
        <w:rPr>
          <w:color w:val="auto"/>
          <w:spacing w:val="1"/>
          <w:highlight w:val="none"/>
          <w:lang w:eastAsia="zh-CN"/>
        </w:rPr>
        <w:t>乙方在阶段设计完成后先行提供</w:t>
      </w:r>
      <w:r>
        <w:rPr>
          <w:rFonts w:hint="eastAsia" w:ascii="Times New Roman" w:hAnsi="Times New Roman"/>
          <w:color w:val="auto"/>
          <w:highlight w:val="none"/>
          <w:lang w:eastAsia="zh-CN"/>
        </w:rPr>
        <w:t>PDF</w:t>
      </w:r>
      <w:r>
        <w:rPr>
          <w:color w:val="auto"/>
          <w:spacing w:val="-8"/>
          <w:highlight w:val="none"/>
          <w:lang w:eastAsia="zh-CN"/>
        </w:rPr>
        <w:t xml:space="preserve"> 格式设计成果供甲方内部确认及评审，在甲</w:t>
      </w:r>
      <w:r>
        <w:rPr>
          <w:color w:val="auto"/>
          <w:spacing w:val="-1"/>
          <w:highlight w:val="none"/>
          <w:lang w:eastAsia="zh-CN"/>
        </w:rPr>
        <w:t>方确认及付清相应阶段设计费后提供</w:t>
      </w:r>
      <w:r>
        <w:rPr>
          <w:rFonts w:hint="eastAsia" w:ascii="Times New Roman" w:hAnsi="Times New Roman"/>
          <w:color w:val="auto"/>
          <w:highlight w:val="none"/>
          <w:lang w:eastAsia="zh-CN"/>
        </w:rPr>
        <w:t>CAD</w:t>
      </w:r>
      <w:r>
        <w:rPr>
          <w:color w:val="auto"/>
          <w:spacing w:val="-8"/>
          <w:highlight w:val="none"/>
          <w:lang w:eastAsia="zh-CN"/>
        </w:rPr>
        <w:t xml:space="preserve"> 格式设计成果。报建、评审会、汇报会、专题</w:t>
      </w:r>
      <w:r>
        <w:rPr>
          <w:color w:val="auto"/>
          <w:spacing w:val="-3"/>
          <w:highlight w:val="none"/>
          <w:lang w:eastAsia="zh-CN"/>
        </w:rPr>
        <w:t>会议所需一般图纸、资料由乙方提供；若甲方要求提供特殊资料文件、多媒体、动画展示类资料，由甲方另行委托制作，所需费用由甲方自行承担。甲方要求乙方提供设计文件份数超过附件三约定的，由甲方另行支付设计文件工本费及快递费。最终设计成果提交地点为甲方工程项目所在地或者甲方另行指定的其他地点。</w:t>
      </w:r>
    </w:p>
    <w:p>
      <w:pPr>
        <w:pStyle w:val="90"/>
        <w:numPr>
          <w:ilvl w:val="1"/>
          <w:numId w:val="0"/>
        </w:numPr>
        <w:tabs>
          <w:tab w:val="left" w:pos="1459"/>
          <w:tab w:val="left" w:pos="1460"/>
        </w:tabs>
        <w:spacing w:before="145" w:line="364" w:lineRule="auto"/>
        <w:ind w:right="865" w:rightChars="0" w:firstLine="436" w:firstLineChars="200"/>
        <w:rPr>
          <w:color w:val="auto"/>
          <w:highlight w:val="none"/>
          <w:lang w:eastAsia="zh-CN"/>
        </w:rPr>
      </w:pPr>
      <w:r>
        <w:rPr>
          <w:rFonts w:hint="eastAsia" w:ascii="Times New Roman" w:hAnsi="Times New Roman" w:cs="宋体"/>
          <w:color w:val="auto"/>
          <w:spacing w:val="-1"/>
          <w:w w:val="100"/>
          <w:kern w:val="2"/>
          <w:sz w:val="22"/>
          <w:szCs w:val="22"/>
          <w:highlight w:val="none"/>
          <w:lang w:val="en-US" w:eastAsia="zh-CN" w:bidi="ar-SA"/>
        </w:rPr>
        <w:t>4</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4</w:t>
      </w:r>
      <w:r>
        <w:rPr>
          <w:color w:val="auto"/>
          <w:spacing w:val="-3"/>
          <w:highlight w:val="none"/>
          <w:lang w:eastAsia="zh-CN"/>
        </w:rPr>
        <w:t>甲方对已完成的阶段设计成果进行书面确认,并支付该阶段的全部设计费用，并下发乙方书面的下一阶段设计启动函后，乙方进行下一阶段的设计，否则乙方有权不启动下阶段设计工作。</w:t>
      </w:r>
    </w:p>
    <w:p>
      <w:pPr>
        <w:pStyle w:val="90"/>
        <w:numPr>
          <w:ilvl w:val="1"/>
          <w:numId w:val="0"/>
        </w:numPr>
        <w:tabs>
          <w:tab w:val="left" w:pos="1460"/>
        </w:tabs>
        <w:spacing w:line="364" w:lineRule="auto"/>
        <w:ind w:right="865" w:rightChars="0" w:firstLine="436" w:firstLineChars="200"/>
        <w:jc w:val="both"/>
        <w:rPr>
          <w:color w:val="auto"/>
          <w:highlight w:val="none"/>
          <w:lang w:eastAsia="zh-CN"/>
        </w:rPr>
      </w:pPr>
      <w:r>
        <w:rPr>
          <w:rFonts w:hint="eastAsia" w:ascii="Times New Roman" w:hAnsi="Times New Roman" w:cs="宋体"/>
          <w:color w:val="auto"/>
          <w:spacing w:val="-1"/>
          <w:w w:val="100"/>
          <w:kern w:val="2"/>
          <w:sz w:val="22"/>
          <w:szCs w:val="22"/>
          <w:highlight w:val="none"/>
          <w:lang w:val="en-US" w:eastAsia="zh-CN" w:bidi="ar-SA"/>
        </w:rPr>
        <w:t>4</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5</w:t>
      </w:r>
      <w:r>
        <w:rPr>
          <w:color w:val="auto"/>
          <w:spacing w:val="-3"/>
          <w:highlight w:val="none"/>
          <w:lang w:eastAsia="zh-CN"/>
        </w:rPr>
        <w:t>乙方的下阶段设计周期为收到甲方上阶段设计费及下阶段书面设计启动函后第一个工作日起算。上述工作周期为乙方纯内部工作周期，不包含甲方确认时间及因各种外部因素引起的设计修改周期。</w:t>
      </w:r>
    </w:p>
    <w:p>
      <w:pPr>
        <w:spacing w:line="266" w:lineRule="exact"/>
        <w:ind w:left="100"/>
        <w:jc w:val="both"/>
        <w:rPr>
          <w:b/>
          <w:color w:val="auto"/>
          <w:sz w:val="21"/>
          <w:highlight w:val="none"/>
          <w:lang w:eastAsia="zh-CN"/>
        </w:rPr>
      </w:pPr>
      <w:r>
        <w:rPr>
          <w:b/>
          <w:color w:val="auto"/>
          <w:sz w:val="21"/>
          <w:highlight w:val="none"/>
          <w:lang w:eastAsia="zh-CN"/>
        </w:rPr>
        <w:t>第五条 项目团队的组成与变动</w:t>
      </w:r>
    </w:p>
    <w:p>
      <w:pPr>
        <w:pStyle w:val="90"/>
        <w:numPr>
          <w:ilvl w:val="1"/>
          <w:numId w:val="0"/>
        </w:numPr>
        <w:tabs>
          <w:tab w:val="left" w:pos="1459"/>
          <w:tab w:val="left" w:pos="1460"/>
        </w:tabs>
        <w:spacing w:before="145" w:line="364" w:lineRule="auto"/>
        <w:ind w:right="865" w:rightChars="0" w:firstLine="436" w:firstLineChars="200"/>
        <w:rPr>
          <w:rFonts w:hint="default" w:ascii="宋体" w:hAnsi="宋体" w:eastAsia="宋体" w:cs="宋体"/>
          <w:color w:val="auto"/>
          <w:spacing w:val="-1"/>
          <w:w w:val="100"/>
          <w:kern w:val="2"/>
          <w:sz w:val="22"/>
          <w:szCs w:val="22"/>
          <w:highlight w:val="none"/>
          <w:lang w:val="en-US" w:eastAsia="zh-CN" w:bidi="ar-SA"/>
        </w:rPr>
      </w:pPr>
      <w:r>
        <w:rPr>
          <w:rFonts w:hint="eastAsia" w:ascii="Times New Roman" w:hAnsi="Times New Roman" w:cs="宋体"/>
          <w:color w:val="auto"/>
          <w:spacing w:val="-1"/>
          <w:w w:val="100"/>
          <w:kern w:val="2"/>
          <w:sz w:val="22"/>
          <w:szCs w:val="22"/>
          <w:highlight w:val="none"/>
          <w:lang w:val="en-US" w:eastAsia="zh-CN" w:bidi="ar-SA"/>
        </w:rPr>
        <w:t>5</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1</w:t>
      </w:r>
      <w:r>
        <w:rPr>
          <w:rFonts w:hint="default" w:ascii="宋体" w:hAnsi="宋体" w:eastAsia="宋体" w:cs="宋体"/>
          <w:color w:val="auto"/>
          <w:spacing w:val="-1"/>
          <w:w w:val="100"/>
          <w:kern w:val="2"/>
          <w:sz w:val="22"/>
          <w:szCs w:val="22"/>
          <w:highlight w:val="none"/>
          <w:lang w:val="en-US" w:eastAsia="zh-CN" w:bidi="ar-SA"/>
        </w:rPr>
        <w:t>乙方承诺乙方及其参与设计的人员均是具备法定资质的机构和人员，乙方应在本合同签署时同时提供乙方的资质证明及参与本合同项目设计的负责人及主要设计人员的资质证明及名单，上述证明资料及名单作为本合同附件（详见附件四），并取得甲方认可。乙方应在本合同附件四《乙方设计团队主要人员名单》中真实填写设计负责人（包括总设计负责人及各专业设计负责人）的资料，包括姓名、职务、职责等。</w:t>
      </w:r>
    </w:p>
    <w:p>
      <w:pPr>
        <w:pStyle w:val="90"/>
        <w:numPr>
          <w:ilvl w:val="1"/>
          <w:numId w:val="0"/>
        </w:numPr>
        <w:tabs>
          <w:tab w:val="left" w:pos="1459"/>
          <w:tab w:val="left" w:pos="1460"/>
        </w:tabs>
        <w:spacing w:before="145" w:line="364" w:lineRule="auto"/>
        <w:ind w:right="865" w:rightChars="0" w:firstLine="436" w:firstLineChars="200"/>
        <w:rPr>
          <w:rFonts w:hint="default" w:ascii="宋体" w:hAnsi="宋体" w:eastAsia="宋体" w:cs="宋体"/>
          <w:color w:val="auto"/>
          <w:spacing w:val="-1"/>
          <w:w w:val="100"/>
          <w:kern w:val="2"/>
          <w:sz w:val="22"/>
          <w:szCs w:val="22"/>
          <w:highlight w:val="none"/>
          <w:lang w:val="en-US" w:eastAsia="zh-CN" w:bidi="ar-SA"/>
        </w:rPr>
      </w:pPr>
      <w:r>
        <w:rPr>
          <w:rFonts w:hint="eastAsia" w:ascii="Times New Roman" w:hAnsi="Times New Roman" w:cs="宋体"/>
          <w:color w:val="auto"/>
          <w:spacing w:val="-1"/>
          <w:w w:val="100"/>
          <w:kern w:val="2"/>
          <w:sz w:val="22"/>
          <w:szCs w:val="22"/>
          <w:highlight w:val="none"/>
          <w:lang w:val="en-US" w:eastAsia="zh-CN" w:bidi="ar-SA"/>
        </w:rPr>
        <w:t>5</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2</w:t>
      </w:r>
      <w:r>
        <w:rPr>
          <w:rFonts w:hint="default" w:ascii="宋体" w:hAnsi="宋体" w:eastAsia="宋体" w:cs="宋体"/>
          <w:color w:val="auto"/>
          <w:spacing w:val="-1"/>
          <w:w w:val="100"/>
          <w:kern w:val="2"/>
          <w:sz w:val="22"/>
          <w:szCs w:val="22"/>
          <w:highlight w:val="none"/>
          <w:lang w:val="en-US" w:eastAsia="zh-CN" w:bidi="ar-SA"/>
        </w:rPr>
        <w:t>乙方委派【       】作为本项目总设计负责人，项目总设计负责人应组织各专业设计负责人及各专项设计单位在施工前进行技术交底，参加图纸会审，参加隐蔽工程竣工验收。</w:t>
      </w:r>
    </w:p>
    <w:p>
      <w:pPr>
        <w:pStyle w:val="90"/>
        <w:numPr>
          <w:ilvl w:val="1"/>
          <w:numId w:val="0"/>
        </w:numPr>
        <w:tabs>
          <w:tab w:val="left" w:pos="1459"/>
          <w:tab w:val="left" w:pos="1460"/>
        </w:tabs>
        <w:spacing w:before="145" w:line="364" w:lineRule="auto"/>
        <w:ind w:right="865" w:rightChars="0" w:firstLine="436" w:firstLineChars="200"/>
        <w:rPr>
          <w:rFonts w:hint="default" w:ascii="宋体" w:hAnsi="宋体" w:eastAsia="宋体" w:cs="宋体"/>
          <w:color w:val="auto"/>
          <w:spacing w:val="-1"/>
          <w:w w:val="100"/>
          <w:kern w:val="2"/>
          <w:sz w:val="22"/>
          <w:szCs w:val="22"/>
          <w:highlight w:val="none"/>
          <w:lang w:val="en-US" w:eastAsia="zh-CN" w:bidi="ar-SA"/>
        </w:rPr>
      </w:pPr>
      <w:r>
        <w:rPr>
          <w:rFonts w:hint="eastAsia" w:ascii="Times New Roman" w:hAnsi="Times New Roman" w:cs="宋体"/>
          <w:color w:val="auto"/>
          <w:spacing w:val="-1"/>
          <w:w w:val="100"/>
          <w:kern w:val="2"/>
          <w:sz w:val="22"/>
          <w:szCs w:val="22"/>
          <w:highlight w:val="none"/>
          <w:lang w:val="en-US" w:eastAsia="zh-CN" w:bidi="ar-SA"/>
        </w:rPr>
        <w:t>5</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3</w:t>
      </w:r>
      <w:r>
        <w:rPr>
          <w:rFonts w:hint="default" w:ascii="宋体" w:hAnsi="宋体" w:eastAsia="宋体" w:cs="宋体"/>
          <w:color w:val="auto"/>
          <w:spacing w:val="-1"/>
          <w:w w:val="100"/>
          <w:kern w:val="2"/>
          <w:sz w:val="22"/>
          <w:szCs w:val="22"/>
          <w:highlight w:val="none"/>
          <w:lang w:val="en-US" w:eastAsia="zh-CN" w:bidi="ar-SA"/>
        </w:rPr>
        <w:t xml:space="preserve">对乙方选派的设计负责人及其他参与设计的人员，如甲方认为不能有效地与合作单位配合或不能胜任工作（包括但不限于不能准确理解甲方的意图、不能按时保质提交设计成果、设计方案经【 】次及以上调整不能满足甲方要求等情况），甲方有权要求乙方及时地更换为符合甲方要求并经甲方确认的相关人选。乙方应当在收到甲方的书面通知之日 </w:t>
      </w:r>
      <w:r>
        <w:rPr>
          <w:rFonts w:hint="eastAsia" w:ascii="Times New Roman" w:hAnsi="Times New Roman" w:cs="宋体"/>
          <w:color w:val="auto"/>
          <w:spacing w:val="-1"/>
          <w:w w:val="100"/>
          <w:kern w:val="2"/>
          <w:sz w:val="22"/>
          <w:szCs w:val="22"/>
          <w:highlight w:val="none"/>
          <w:lang w:val="en-US" w:eastAsia="zh-CN" w:bidi="ar-SA"/>
        </w:rPr>
        <w:t>7</w:t>
      </w:r>
      <w:r>
        <w:rPr>
          <w:rFonts w:hint="default" w:ascii="宋体" w:hAnsi="宋体" w:eastAsia="宋体" w:cs="宋体"/>
          <w:color w:val="auto"/>
          <w:spacing w:val="-1"/>
          <w:w w:val="100"/>
          <w:kern w:val="2"/>
          <w:sz w:val="22"/>
          <w:szCs w:val="22"/>
          <w:highlight w:val="none"/>
          <w:lang w:val="en-US" w:eastAsia="zh-CN" w:bidi="ar-SA"/>
        </w:rPr>
        <w:t xml:space="preserve"> 天内完成更换；如经两次更换后仍不能满足甲方要求的，甲方有权单方解除本合同。乙方如需更换人员，应提前 </w:t>
      </w:r>
      <w:r>
        <w:rPr>
          <w:rFonts w:hint="eastAsia" w:ascii="Times New Roman" w:hAnsi="Times New Roman" w:cs="宋体"/>
          <w:color w:val="auto"/>
          <w:spacing w:val="-1"/>
          <w:w w:val="100"/>
          <w:kern w:val="2"/>
          <w:sz w:val="22"/>
          <w:szCs w:val="22"/>
          <w:highlight w:val="none"/>
          <w:lang w:val="en-US" w:eastAsia="zh-CN" w:bidi="ar-SA"/>
        </w:rPr>
        <w:t>7</w:t>
      </w:r>
      <w:r>
        <w:rPr>
          <w:rFonts w:hint="default" w:ascii="宋体" w:hAnsi="宋体" w:eastAsia="宋体" w:cs="宋体"/>
          <w:color w:val="auto"/>
          <w:spacing w:val="-1"/>
          <w:w w:val="100"/>
          <w:kern w:val="2"/>
          <w:sz w:val="22"/>
          <w:szCs w:val="22"/>
          <w:highlight w:val="none"/>
          <w:lang w:val="en-US" w:eastAsia="zh-CN" w:bidi="ar-SA"/>
        </w:rPr>
        <w:t xml:space="preserve"> 天以书面形式通知甲方并征得甲方同意。乙方未征得甲方同意而更换人员或甲方对乙方更换后的人员不满意，甲方有权拒绝更换，若乙方坚持更换，甲方有权单方解除本合同，并要求乙方承担相应的违约责任。但乙方更换人员是因离职、退休、患病、负伤、生育等原因导致的除外。</w:t>
      </w:r>
    </w:p>
    <w:p>
      <w:pPr>
        <w:tabs>
          <w:tab w:val="left" w:pos="1528"/>
        </w:tabs>
        <w:spacing w:line="263" w:lineRule="exact"/>
        <w:ind w:left="100"/>
        <w:rPr>
          <w:b/>
          <w:color w:val="auto"/>
          <w:sz w:val="21"/>
          <w:highlight w:val="none"/>
          <w:lang w:eastAsia="zh-CN"/>
        </w:rPr>
      </w:pPr>
      <w:r>
        <w:rPr>
          <w:b/>
          <w:color w:val="auto"/>
          <w:sz w:val="21"/>
          <w:highlight w:val="none"/>
          <w:lang w:eastAsia="zh-CN"/>
        </w:rPr>
        <w:t>第六条</w:t>
      </w:r>
      <w:bookmarkStart w:id="150" w:name="第六条甲方与乙方的义务"/>
      <w:bookmarkEnd w:id="150"/>
      <w:r>
        <w:rPr>
          <w:rFonts w:hint="eastAsia"/>
          <w:b/>
          <w:color w:val="auto"/>
          <w:sz w:val="21"/>
          <w:highlight w:val="none"/>
          <w:lang w:val="en-US" w:eastAsia="zh-CN"/>
        </w:rPr>
        <w:t xml:space="preserve"> </w:t>
      </w:r>
      <w:r>
        <w:rPr>
          <w:b/>
          <w:color w:val="auto"/>
          <w:sz w:val="21"/>
          <w:highlight w:val="none"/>
          <w:lang w:eastAsia="zh-CN"/>
        </w:rPr>
        <w:t>甲方与乙方的义务</w:t>
      </w:r>
    </w:p>
    <w:p>
      <w:pPr>
        <w:pStyle w:val="13"/>
        <w:numPr>
          <w:ilvl w:val="1"/>
          <w:numId w:val="0"/>
        </w:numPr>
        <w:tabs>
          <w:tab w:val="left" w:pos="1355"/>
          <w:tab w:val="left" w:pos="1356"/>
        </w:tabs>
        <w:spacing w:before="139"/>
        <w:ind w:left="1356" w:leftChars="0" w:hanging="536" w:firstLineChars="0"/>
        <w:rPr>
          <w:color w:val="auto"/>
          <w:highlight w:val="none"/>
        </w:rPr>
      </w:pPr>
      <w:bookmarkStart w:id="151" w:name="6.1_甲方义务"/>
      <w:bookmarkEnd w:id="151"/>
      <w:r>
        <w:rPr>
          <w:rFonts w:hint="eastAsia" w:ascii="Times New Roman" w:hAnsi="Times New Roman" w:cs="宋体"/>
          <w:b/>
          <w:bCs/>
          <w:color w:val="auto"/>
          <w:spacing w:val="-1"/>
          <w:w w:val="99"/>
          <w:kern w:val="2"/>
          <w:sz w:val="22"/>
          <w:szCs w:val="22"/>
          <w:highlight w:val="none"/>
          <w:lang w:val="en-US" w:eastAsia="zh-CN" w:bidi="ar-SA"/>
        </w:rPr>
        <w:t>6</w:t>
      </w:r>
      <w:r>
        <w:rPr>
          <w:rFonts w:hint="default" w:ascii="宋体" w:hAnsi="宋体" w:eastAsia="宋体" w:cs="宋体"/>
          <w:b/>
          <w:bCs/>
          <w:color w:val="auto"/>
          <w:spacing w:val="-1"/>
          <w:w w:val="99"/>
          <w:kern w:val="2"/>
          <w:sz w:val="22"/>
          <w:szCs w:val="22"/>
          <w:highlight w:val="none"/>
          <w:lang w:val="en-US" w:eastAsia="zh-CN" w:bidi="ar-SA"/>
        </w:rPr>
        <w:t>.</w:t>
      </w:r>
      <w:r>
        <w:rPr>
          <w:rFonts w:hint="eastAsia" w:ascii="Times New Roman" w:hAnsi="Times New Roman" w:cs="宋体"/>
          <w:b/>
          <w:bCs/>
          <w:color w:val="auto"/>
          <w:spacing w:val="-1"/>
          <w:w w:val="99"/>
          <w:kern w:val="2"/>
          <w:sz w:val="22"/>
          <w:szCs w:val="22"/>
          <w:highlight w:val="none"/>
          <w:lang w:val="en-US" w:eastAsia="zh-CN" w:bidi="ar-SA"/>
        </w:rPr>
        <w:t>1</w:t>
      </w:r>
      <w:r>
        <w:rPr>
          <w:color w:val="auto"/>
          <w:highlight w:val="none"/>
        </w:rPr>
        <w:t>甲方义务</w:t>
      </w:r>
    </w:p>
    <w:p>
      <w:pPr>
        <w:pStyle w:val="90"/>
        <w:numPr>
          <w:ilvl w:val="1"/>
          <w:numId w:val="0"/>
        </w:numPr>
        <w:tabs>
          <w:tab w:val="left" w:pos="1459"/>
          <w:tab w:val="left" w:pos="1460"/>
        </w:tabs>
        <w:spacing w:before="145" w:line="364" w:lineRule="auto"/>
        <w:ind w:right="865" w:rightChars="0" w:firstLine="436" w:firstLineChars="200"/>
        <w:rPr>
          <w:rFonts w:hint="default" w:ascii="宋体" w:hAnsi="宋体" w:eastAsia="宋体" w:cs="宋体"/>
          <w:color w:val="auto"/>
          <w:spacing w:val="-1"/>
          <w:w w:val="100"/>
          <w:kern w:val="2"/>
          <w:sz w:val="22"/>
          <w:szCs w:val="22"/>
          <w:highlight w:val="none"/>
          <w:lang w:val="en-US" w:eastAsia="zh-CN" w:bidi="ar-SA"/>
        </w:rPr>
      </w:pPr>
      <w:r>
        <w:rPr>
          <w:rFonts w:hint="eastAsia" w:ascii="Times New Roman" w:hAnsi="Times New Roman" w:cs="宋体"/>
          <w:color w:val="auto"/>
          <w:spacing w:val="-1"/>
          <w:w w:val="100"/>
          <w:kern w:val="2"/>
          <w:sz w:val="22"/>
          <w:szCs w:val="22"/>
          <w:highlight w:val="none"/>
          <w:lang w:val="en-US" w:eastAsia="zh-CN" w:bidi="ar-SA"/>
        </w:rPr>
        <w:t>6</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1</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1</w:t>
      </w:r>
      <w:r>
        <w:rPr>
          <w:rFonts w:hint="default" w:ascii="宋体" w:hAnsi="宋体" w:eastAsia="宋体" w:cs="宋体"/>
          <w:color w:val="auto"/>
          <w:spacing w:val="-1"/>
          <w:w w:val="100"/>
          <w:kern w:val="2"/>
          <w:sz w:val="22"/>
          <w:szCs w:val="22"/>
          <w:highlight w:val="none"/>
          <w:lang w:val="en-US" w:eastAsia="zh-CN" w:bidi="ar-SA"/>
        </w:rPr>
        <w:t>向乙方提供本项目设计任务书（可含设计限额要求）及设计所需资料(详见附件五)，并在设计开始前组织设计交底会。</w:t>
      </w:r>
    </w:p>
    <w:p>
      <w:pPr>
        <w:pStyle w:val="90"/>
        <w:numPr>
          <w:ilvl w:val="1"/>
          <w:numId w:val="0"/>
        </w:numPr>
        <w:tabs>
          <w:tab w:val="left" w:pos="1459"/>
          <w:tab w:val="left" w:pos="1460"/>
        </w:tabs>
        <w:spacing w:before="145" w:line="364" w:lineRule="auto"/>
        <w:ind w:right="865" w:rightChars="0" w:firstLine="436" w:firstLineChars="200"/>
        <w:rPr>
          <w:rFonts w:hint="default" w:ascii="宋体" w:hAnsi="宋体" w:eastAsia="宋体" w:cs="宋体"/>
          <w:color w:val="auto"/>
          <w:spacing w:val="-1"/>
          <w:w w:val="100"/>
          <w:kern w:val="2"/>
          <w:sz w:val="22"/>
          <w:szCs w:val="22"/>
          <w:highlight w:val="none"/>
          <w:lang w:val="en-US" w:eastAsia="zh-CN" w:bidi="ar-SA"/>
        </w:rPr>
      </w:pPr>
      <w:r>
        <w:rPr>
          <w:rFonts w:hint="eastAsia" w:ascii="Times New Roman" w:hAnsi="Times New Roman" w:cs="宋体"/>
          <w:color w:val="auto"/>
          <w:spacing w:val="-1"/>
          <w:w w:val="100"/>
          <w:kern w:val="2"/>
          <w:sz w:val="22"/>
          <w:szCs w:val="22"/>
          <w:highlight w:val="none"/>
          <w:lang w:val="en-US" w:eastAsia="zh-CN" w:bidi="ar-SA"/>
        </w:rPr>
        <w:t>6</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1</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2</w:t>
      </w:r>
      <w:r>
        <w:rPr>
          <w:rFonts w:hint="default" w:ascii="宋体" w:hAnsi="宋体" w:eastAsia="宋体" w:cs="宋体"/>
          <w:color w:val="auto"/>
          <w:spacing w:val="-1"/>
          <w:w w:val="100"/>
          <w:kern w:val="2"/>
          <w:sz w:val="22"/>
          <w:szCs w:val="22"/>
          <w:highlight w:val="none"/>
          <w:lang w:val="en-US" w:eastAsia="zh-CN" w:bidi="ar-SA"/>
        </w:rPr>
        <w:t xml:space="preserve">甲方按 </w:t>
      </w:r>
      <w:r>
        <w:rPr>
          <w:rFonts w:hint="eastAsia" w:ascii="Times New Roman" w:hAnsi="Times New Roman" w:cs="宋体"/>
          <w:color w:val="auto"/>
          <w:spacing w:val="-1"/>
          <w:w w:val="100"/>
          <w:kern w:val="2"/>
          <w:sz w:val="22"/>
          <w:szCs w:val="22"/>
          <w:highlight w:val="none"/>
          <w:lang w:val="en-US" w:eastAsia="zh-CN" w:bidi="ar-SA"/>
        </w:rPr>
        <w:t>6</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1</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1</w:t>
      </w:r>
      <w:r>
        <w:rPr>
          <w:rFonts w:hint="default" w:ascii="宋体" w:hAnsi="宋体" w:eastAsia="宋体" w:cs="宋体"/>
          <w:color w:val="auto"/>
          <w:spacing w:val="-1"/>
          <w:w w:val="100"/>
          <w:kern w:val="2"/>
          <w:sz w:val="22"/>
          <w:szCs w:val="22"/>
          <w:highlight w:val="none"/>
          <w:lang w:val="en-US" w:eastAsia="zh-CN" w:bidi="ar-SA"/>
        </w:rPr>
        <w:t xml:space="preserve"> 条约定向乙方提交资料及文件，并对其完整性、正确性、及时性负责，甲方提供的设计限额要求需与项目投资建安成本及产品定位相匹配。甲方 不得要求乙方违反国家有关标准进行设计。</w:t>
      </w:r>
    </w:p>
    <w:p>
      <w:pPr>
        <w:pStyle w:val="90"/>
        <w:numPr>
          <w:ilvl w:val="1"/>
          <w:numId w:val="0"/>
        </w:numPr>
        <w:tabs>
          <w:tab w:val="left" w:pos="1459"/>
          <w:tab w:val="left" w:pos="1460"/>
        </w:tabs>
        <w:spacing w:before="145" w:line="364" w:lineRule="auto"/>
        <w:ind w:right="865" w:rightChars="0" w:firstLine="436" w:firstLineChars="200"/>
        <w:rPr>
          <w:rFonts w:hint="default" w:ascii="宋体" w:hAnsi="宋体" w:eastAsia="宋体" w:cs="宋体"/>
          <w:color w:val="auto"/>
          <w:spacing w:val="-1"/>
          <w:w w:val="100"/>
          <w:kern w:val="2"/>
          <w:sz w:val="22"/>
          <w:szCs w:val="22"/>
          <w:highlight w:val="none"/>
          <w:lang w:val="en-US" w:eastAsia="zh-CN" w:bidi="ar-SA"/>
        </w:rPr>
      </w:pPr>
      <w:r>
        <w:rPr>
          <w:rFonts w:hint="eastAsia" w:ascii="Times New Roman" w:hAnsi="Times New Roman" w:cs="宋体"/>
          <w:color w:val="auto"/>
          <w:spacing w:val="-1"/>
          <w:w w:val="100"/>
          <w:kern w:val="2"/>
          <w:sz w:val="22"/>
          <w:szCs w:val="22"/>
          <w:highlight w:val="none"/>
          <w:lang w:val="en-US" w:eastAsia="zh-CN" w:bidi="ar-SA"/>
        </w:rPr>
        <w:t>6</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1</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3</w:t>
      </w:r>
      <w:r>
        <w:rPr>
          <w:rFonts w:hint="default" w:ascii="宋体" w:hAnsi="宋体" w:eastAsia="宋体" w:cs="宋体"/>
          <w:color w:val="auto"/>
          <w:spacing w:val="-1"/>
          <w:w w:val="100"/>
          <w:kern w:val="2"/>
          <w:sz w:val="22"/>
          <w:szCs w:val="22"/>
          <w:highlight w:val="none"/>
          <w:lang w:val="en-US" w:eastAsia="zh-CN" w:bidi="ar-SA"/>
        </w:rPr>
        <w:t>甲方向乙方提出的非乙方原因产生的项目重大修改指令需及时出具书面文件，否</w:t>
      </w:r>
    </w:p>
    <w:p>
      <w:pPr>
        <w:pStyle w:val="90"/>
        <w:numPr>
          <w:ilvl w:val="1"/>
          <w:numId w:val="0"/>
        </w:numPr>
        <w:tabs>
          <w:tab w:val="left" w:pos="1459"/>
          <w:tab w:val="left" w:pos="1460"/>
        </w:tabs>
        <w:spacing w:before="145" w:line="364" w:lineRule="auto"/>
        <w:ind w:right="865" w:rightChars="0" w:firstLine="436" w:firstLineChars="200"/>
        <w:rPr>
          <w:rFonts w:hint="default" w:ascii="宋体" w:hAnsi="宋体" w:eastAsia="宋体" w:cs="宋体"/>
          <w:color w:val="auto"/>
          <w:spacing w:val="-1"/>
          <w:w w:val="100"/>
          <w:kern w:val="2"/>
          <w:sz w:val="22"/>
          <w:szCs w:val="22"/>
          <w:highlight w:val="none"/>
          <w:lang w:val="en-US" w:eastAsia="zh-CN" w:bidi="ar-SA"/>
        </w:rPr>
        <w:sectPr>
          <w:pgSz w:w="11849" w:h="16792"/>
          <w:pgMar w:top="1417" w:right="850" w:bottom="1417" w:left="850" w:header="850" w:footer="850" w:gutter="0"/>
          <w:pgBorders>
            <w:top w:val="none" w:sz="0" w:space="0"/>
            <w:left w:val="none" w:sz="0" w:space="0"/>
            <w:bottom w:val="none" w:sz="0" w:space="0"/>
            <w:right w:val="none" w:sz="0" w:space="0"/>
          </w:pgBorders>
          <w:pgNumType w:fmt="decimal"/>
          <w:cols w:space="0" w:num="1"/>
          <w:rtlGutter w:val="0"/>
          <w:docGrid w:linePitch="0" w:charSpace="0"/>
        </w:sectPr>
      </w:pPr>
    </w:p>
    <w:p>
      <w:pPr>
        <w:pStyle w:val="90"/>
        <w:numPr>
          <w:ilvl w:val="1"/>
          <w:numId w:val="0"/>
        </w:numPr>
        <w:tabs>
          <w:tab w:val="left" w:pos="1459"/>
          <w:tab w:val="left" w:pos="1460"/>
        </w:tabs>
        <w:spacing w:before="145" w:line="364" w:lineRule="auto"/>
        <w:ind w:right="865" w:rightChars="0" w:firstLine="436" w:firstLineChars="200"/>
        <w:rPr>
          <w:rFonts w:hint="default" w:ascii="宋体" w:hAnsi="宋体" w:eastAsia="宋体" w:cs="宋体"/>
          <w:color w:val="auto"/>
          <w:spacing w:val="-1"/>
          <w:w w:val="100"/>
          <w:kern w:val="2"/>
          <w:sz w:val="22"/>
          <w:szCs w:val="22"/>
          <w:highlight w:val="none"/>
          <w:lang w:val="en-US" w:eastAsia="zh-CN" w:bidi="ar-SA"/>
        </w:rPr>
      </w:pPr>
      <w:r>
        <w:rPr>
          <w:rFonts w:hint="default" w:ascii="宋体" w:hAnsi="宋体" w:eastAsia="宋体" w:cs="宋体"/>
          <w:color w:val="auto"/>
          <w:spacing w:val="-1"/>
          <w:w w:val="100"/>
          <w:kern w:val="2"/>
          <w:sz w:val="22"/>
          <w:szCs w:val="22"/>
          <w:highlight w:val="none"/>
          <w:lang w:val="en-US" w:eastAsia="zh-CN" w:bidi="ar-SA"/>
        </w:rPr>
        <w:t>则乙方有权不进行相关设计修改工作。</w:t>
      </w:r>
    </w:p>
    <w:p>
      <w:pPr>
        <w:pStyle w:val="90"/>
        <w:numPr>
          <w:ilvl w:val="1"/>
          <w:numId w:val="0"/>
        </w:numPr>
        <w:tabs>
          <w:tab w:val="left" w:pos="1459"/>
          <w:tab w:val="left" w:pos="1460"/>
        </w:tabs>
        <w:spacing w:before="145" w:line="364" w:lineRule="auto"/>
        <w:ind w:right="865" w:rightChars="0" w:firstLine="436" w:firstLineChars="200"/>
        <w:rPr>
          <w:rFonts w:hint="default" w:ascii="宋体" w:hAnsi="宋体" w:eastAsia="宋体" w:cs="宋体"/>
          <w:color w:val="auto"/>
          <w:spacing w:val="-1"/>
          <w:w w:val="100"/>
          <w:kern w:val="2"/>
          <w:sz w:val="22"/>
          <w:szCs w:val="22"/>
          <w:highlight w:val="none"/>
          <w:lang w:val="en-US" w:eastAsia="zh-CN" w:bidi="ar-SA"/>
        </w:rPr>
      </w:pPr>
      <w:r>
        <w:rPr>
          <w:rFonts w:hint="eastAsia" w:ascii="Times New Roman" w:hAnsi="Times New Roman" w:cs="宋体"/>
          <w:color w:val="auto"/>
          <w:spacing w:val="-1"/>
          <w:w w:val="100"/>
          <w:kern w:val="2"/>
          <w:sz w:val="22"/>
          <w:szCs w:val="22"/>
          <w:highlight w:val="none"/>
          <w:lang w:val="en-US" w:eastAsia="zh-CN" w:bidi="ar-SA"/>
        </w:rPr>
        <w:t>6</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1</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4</w:t>
      </w:r>
      <w:r>
        <w:rPr>
          <w:rFonts w:hint="default" w:ascii="宋体" w:hAnsi="宋体" w:eastAsia="宋体" w:cs="宋体"/>
          <w:color w:val="auto"/>
          <w:spacing w:val="-1"/>
          <w:w w:val="100"/>
          <w:kern w:val="2"/>
          <w:sz w:val="22"/>
          <w:szCs w:val="22"/>
          <w:highlight w:val="none"/>
          <w:lang w:val="en-US" w:eastAsia="zh-CN" w:bidi="ar-SA"/>
        </w:rPr>
        <w:t xml:space="preserve">甲方提交上述资料及文件超过约定期限 </w:t>
      </w:r>
      <w:r>
        <w:rPr>
          <w:rFonts w:hint="eastAsia" w:ascii="Times New Roman" w:hAnsi="Times New Roman" w:cs="宋体"/>
          <w:color w:val="auto"/>
          <w:spacing w:val="-1"/>
          <w:w w:val="100"/>
          <w:kern w:val="2"/>
          <w:sz w:val="22"/>
          <w:szCs w:val="22"/>
          <w:highlight w:val="none"/>
          <w:lang w:val="en-US" w:eastAsia="zh-CN" w:bidi="ar-SA"/>
        </w:rPr>
        <w:t>15</w:t>
      </w:r>
      <w:r>
        <w:rPr>
          <w:rFonts w:hint="default" w:ascii="宋体" w:hAnsi="宋体" w:eastAsia="宋体" w:cs="宋体"/>
          <w:color w:val="auto"/>
          <w:spacing w:val="-1"/>
          <w:w w:val="100"/>
          <w:kern w:val="2"/>
          <w:sz w:val="22"/>
          <w:szCs w:val="22"/>
          <w:highlight w:val="none"/>
          <w:lang w:val="en-US" w:eastAsia="zh-CN" w:bidi="ar-SA"/>
        </w:rPr>
        <w:t xml:space="preserve"> 天以内，乙方按合同第 </w:t>
      </w:r>
      <w:r>
        <w:rPr>
          <w:rFonts w:hint="eastAsia" w:ascii="Times New Roman" w:hAnsi="Times New Roman" w:cs="宋体"/>
          <w:color w:val="auto"/>
          <w:spacing w:val="-1"/>
          <w:w w:val="100"/>
          <w:kern w:val="2"/>
          <w:sz w:val="22"/>
          <w:szCs w:val="22"/>
          <w:highlight w:val="none"/>
          <w:lang w:val="en-US" w:eastAsia="zh-CN" w:bidi="ar-SA"/>
        </w:rPr>
        <w:t>4</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1</w:t>
      </w:r>
      <w:r>
        <w:rPr>
          <w:rFonts w:hint="default" w:ascii="宋体" w:hAnsi="宋体" w:eastAsia="宋体" w:cs="宋体"/>
          <w:color w:val="auto"/>
          <w:spacing w:val="-1"/>
          <w:w w:val="100"/>
          <w:kern w:val="2"/>
          <w:sz w:val="22"/>
          <w:szCs w:val="22"/>
          <w:highlight w:val="none"/>
          <w:lang w:val="en-US" w:eastAsia="zh-CN" w:bidi="ar-SA"/>
        </w:rPr>
        <w:t xml:space="preserve"> 条约定交付设计文件时间顺延；超过规定期限 </w:t>
      </w:r>
      <w:r>
        <w:rPr>
          <w:rFonts w:hint="eastAsia" w:ascii="Times New Roman" w:hAnsi="Times New Roman" w:cs="宋体"/>
          <w:color w:val="auto"/>
          <w:spacing w:val="-1"/>
          <w:w w:val="100"/>
          <w:kern w:val="2"/>
          <w:sz w:val="22"/>
          <w:szCs w:val="22"/>
          <w:highlight w:val="none"/>
          <w:lang w:val="en-US" w:eastAsia="zh-CN" w:bidi="ar-SA"/>
        </w:rPr>
        <w:t>15</w:t>
      </w:r>
      <w:r>
        <w:rPr>
          <w:rFonts w:hint="default" w:ascii="宋体" w:hAnsi="宋体" w:eastAsia="宋体" w:cs="宋体"/>
          <w:color w:val="auto"/>
          <w:spacing w:val="-1"/>
          <w:w w:val="100"/>
          <w:kern w:val="2"/>
          <w:sz w:val="22"/>
          <w:szCs w:val="22"/>
          <w:highlight w:val="none"/>
          <w:lang w:val="en-US" w:eastAsia="zh-CN" w:bidi="ar-SA"/>
        </w:rPr>
        <w:t xml:space="preserve"> 天以上时，双方重新确定提交设计文件的时间。</w:t>
      </w:r>
    </w:p>
    <w:p>
      <w:pPr>
        <w:pStyle w:val="90"/>
        <w:numPr>
          <w:ilvl w:val="1"/>
          <w:numId w:val="0"/>
        </w:numPr>
        <w:tabs>
          <w:tab w:val="left" w:pos="1459"/>
          <w:tab w:val="left" w:pos="1460"/>
        </w:tabs>
        <w:spacing w:before="145" w:line="364" w:lineRule="auto"/>
        <w:ind w:right="865" w:rightChars="0" w:firstLine="436" w:firstLineChars="200"/>
        <w:rPr>
          <w:rFonts w:hint="default" w:ascii="宋体" w:hAnsi="宋体" w:eastAsia="宋体" w:cs="宋体"/>
          <w:color w:val="auto"/>
          <w:spacing w:val="-1"/>
          <w:w w:val="100"/>
          <w:kern w:val="2"/>
          <w:sz w:val="22"/>
          <w:szCs w:val="22"/>
          <w:highlight w:val="none"/>
          <w:lang w:val="en-US" w:eastAsia="zh-CN" w:bidi="ar-SA"/>
        </w:rPr>
      </w:pPr>
      <w:r>
        <w:rPr>
          <w:rFonts w:hint="eastAsia" w:ascii="Times New Roman" w:hAnsi="Times New Roman" w:cs="宋体"/>
          <w:color w:val="auto"/>
          <w:spacing w:val="-1"/>
          <w:w w:val="100"/>
          <w:kern w:val="2"/>
          <w:sz w:val="22"/>
          <w:szCs w:val="22"/>
          <w:highlight w:val="none"/>
          <w:lang w:val="en-US" w:eastAsia="zh-CN" w:bidi="ar-SA"/>
        </w:rPr>
        <w:t>6</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1</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5</w:t>
      </w:r>
      <w:r>
        <w:rPr>
          <w:rFonts w:hint="default" w:ascii="宋体" w:hAnsi="宋体" w:eastAsia="宋体" w:cs="宋体"/>
          <w:color w:val="auto"/>
          <w:spacing w:val="-1"/>
          <w:w w:val="100"/>
          <w:kern w:val="2"/>
          <w:sz w:val="22"/>
          <w:szCs w:val="22"/>
          <w:highlight w:val="none"/>
          <w:lang w:val="en-US" w:eastAsia="zh-CN" w:bidi="ar-SA"/>
        </w:rPr>
        <w:t>组织实施图纸会审、施工图审图。</w:t>
      </w:r>
    </w:p>
    <w:p>
      <w:pPr>
        <w:pStyle w:val="90"/>
        <w:numPr>
          <w:ilvl w:val="1"/>
          <w:numId w:val="0"/>
        </w:numPr>
        <w:tabs>
          <w:tab w:val="left" w:pos="1459"/>
          <w:tab w:val="left" w:pos="1460"/>
        </w:tabs>
        <w:spacing w:before="145" w:line="364" w:lineRule="auto"/>
        <w:ind w:right="865" w:rightChars="0" w:firstLine="436" w:firstLineChars="200"/>
        <w:rPr>
          <w:rFonts w:hint="default" w:ascii="宋体" w:hAnsi="宋体" w:eastAsia="宋体" w:cs="宋体"/>
          <w:color w:val="auto"/>
          <w:spacing w:val="-1"/>
          <w:w w:val="100"/>
          <w:kern w:val="2"/>
          <w:sz w:val="22"/>
          <w:szCs w:val="22"/>
          <w:highlight w:val="none"/>
          <w:lang w:val="en-US" w:eastAsia="zh-CN" w:bidi="ar-SA"/>
        </w:rPr>
      </w:pPr>
      <w:r>
        <w:rPr>
          <w:rFonts w:hint="eastAsia" w:ascii="Times New Roman" w:hAnsi="Times New Roman" w:cs="宋体"/>
          <w:color w:val="auto"/>
          <w:spacing w:val="-1"/>
          <w:w w:val="100"/>
          <w:kern w:val="2"/>
          <w:sz w:val="22"/>
          <w:szCs w:val="22"/>
          <w:highlight w:val="none"/>
          <w:lang w:val="en-US" w:eastAsia="zh-CN" w:bidi="ar-SA"/>
        </w:rPr>
        <w:t>6</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1</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6</w:t>
      </w:r>
      <w:r>
        <w:rPr>
          <w:rFonts w:hint="default" w:ascii="宋体" w:hAnsi="宋体" w:eastAsia="宋体" w:cs="宋体"/>
          <w:color w:val="auto"/>
          <w:spacing w:val="-1"/>
          <w:w w:val="100"/>
          <w:kern w:val="2"/>
          <w:sz w:val="22"/>
          <w:szCs w:val="22"/>
          <w:highlight w:val="none"/>
          <w:lang w:val="en-US" w:eastAsia="zh-CN" w:bidi="ar-SA"/>
        </w:rPr>
        <w:t>按合同约定支付设计费，如甲方未依约履行支付义务，乙方有权暂停设计及设计配合与服务工作。</w:t>
      </w:r>
    </w:p>
    <w:p>
      <w:pPr>
        <w:pStyle w:val="90"/>
        <w:numPr>
          <w:ilvl w:val="1"/>
          <w:numId w:val="0"/>
        </w:numPr>
        <w:tabs>
          <w:tab w:val="left" w:pos="1459"/>
          <w:tab w:val="left" w:pos="1460"/>
        </w:tabs>
        <w:spacing w:before="145" w:line="364" w:lineRule="auto"/>
        <w:ind w:right="865" w:rightChars="0" w:firstLine="436" w:firstLineChars="200"/>
        <w:rPr>
          <w:rFonts w:hint="default" w:ascii="宋体" w:hAnsi="宋体" w:eastAsia="宋体" w:cs="宋体"/>
          <w:color w:val="auto"/>
          <w:spacing w:val="-1"/>
          <w:w w:val="100"/>
          <w:kern w:val="2"/>
          <w:sz w:val="22"/>
          <w:szCs w:val="22"/>
          <w:highlight w:val="none"/>
          <w:lang w:val="en-US" w:eastAsia="zh-CN" w:bidi="ar-SA"/>
        </w:rPr>
      </w:pPr>
      <w:r>
        <w:rPr>
          <w:rFonts w:hint="eastAsia" w:ascii="Times New Roman" w:hAnsi="Times New Roman" w:cs="宋体"/>
          <w:color w:val="auto"/>
          <w:spacing w:val="-1"/>
          <w:w w:val="100"/>
          <w:kern w:val="2"/>
          <w:sz w:val="22"/>
          <w:szCs w:val="22"/>
          <w:highlight w:val="none"/>
          <w:lang w:val="en-US" w:eastAsia="zh-CN" w:bidi="ar-SA"/>
        </w:rPr>
        <w:t>6</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1</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7</w:t>
      </w:r>
      <w:r>
        <w:rPr>
          <w:rFonts w:hint="default" w:ascii="宋体" w:hAnsi="宋体" w:eastAsia="宋体" w:cs="宋体"/>
          <w:color w:val="auto"/>
          <w:spacing w:val="-1"/>
          <w:w w:val="100"/>
          <w:kern w:val="2"/>
          <w:sz w:val="22"/>
          <w:szCs w:val="22"/>
          <w:highlight w:val="none"/>
          <w:lang w:val="en-US" w:eastAsia="zh-CN" w:bidi="ar-SA"/>
        </w:rPr>
        <w:t>指派专人负责与本项目的联系协调工作，及时解决项目设计工作中出现的应由甲方协调解决的问题。</w:t>
      </w:r>
    </w:p>
    <w:p>
      <w:pPr>
        <w:pStyle w:val="90"/>
        <w:numPr>
          <w:ilvl w:val="1"/>
          <w:numId w:val="0"/>
        </w:numPr>
        <w:tabs>
          <w:tab w:val="left" w:pos="1459"/>
          <w:tab w:val="left" w:pos="1460"/>
        </w:tabs>
        <w:spacing w:before="145" w:line="364" w:lineRule="auto"/>
        <w:ind w:right="865" w:rightChars="0" w:firstLine="436" w:firstLineChars="200"/>
        <w:rPr>
          <w:rFonts w:hint="default" w:ascii="宋体" w:hAnsi="宋体" w:eastAsia="宋体" w:cs="宋体"/>
          <w:color w:val="auto"/>
          <w:spacing w:val="-1"/>
          <w:w w:val="100"/>
          <w:kern w:val="2"/>
          <w:sz w:val="22"/>
          <w:szCs w:val="22"/>
          <w:highlight w:val="none"/>
          <w:lang w:val="en-US" w:eastAsia="zh-CN" w:bidi="ar-SA"/>
        </w:rPr>
      </w:pPr>
      <w:r>
        <w:rPr>
          <w:rFonts w:hint="eastAsia" w:ascii="Times New Roman" w:hAnsi="Times New Roman" w:cs="宋体"/>
          <w:color w:val="auto"/>
          <w:spacing w:val="-1"/>
          <w:w w:val="100"/>
          <w:kern w:val="2"/>
          <w:sz w:val="22"/>
          <w:szCs w:val="22"/>
          <w:highlight w:val="none"/>
          <w:lang w:val="en-US" w:eastAsia="zh-CN" w:bidi="ar-SA"/>
        </w:rPr>
        <w:t>6</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1</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8</w:t>
      </w:r>
      <w:r>
        <w:rPr>
          <w:rFonts w:hint="default" w:ascii="宋体" w:hAnsi="宋体" w:eastAsia="宋体" w:cs="宋体"/>
          <w:color w:val="auto"/>
          <w:spacing w:val="-1"/>
          <w:w w:val="100"/>
          <w:kern w:val="2"/>
          <w:sz w:val="22"/>
          <w:szCs w:val="22"/>
          <w:highlight w:val="none"/>
          <w:lang w:val="en-US" w:eastAsia="zh-CN" w:bidi="ar-SA"/>
        </w:rPr>
        <w:t>甲方应为派赴现场处理有关设计问题的工作人员，提供必要的工作生活及交通等方便条件。</w:t>
      </w:r>
    </w:p>
    <w:p>
      <w:pPr>
        <w:pStyle w:val="90"/>
        <w:numPr>
          <w:ilvl w:val="1"/>
          <w:numId w:val="0"/>
        </w:numPr>
        <w:tabs>
          <w:tab w:val="left" w:pos="1459"/>
          <w:tab w:val="left" w:pos="1460"/>
        </w:tabs>
        <w:spacing w:before="145" w:line="364" w:lineRule="auto"/>
        <w:ind w:right="865" w:rightChars="0" w:firstLine="436" w:firstLineChars="200"/>
        <w:rPr>
          <w:rFonts w:hint="default" w:ascii="宋体" w:hAnsi="宋体" w:eastAsia="宋体" w:cs="宋体"/>
          <w:color w:val="auto"/>
          <w:spacing w:val="-1"/>
          <w:w w:val="100"/>
          <w:kern w:val="2"/>
          <w:sz w:val="22"/>
          <w:szCs w:val="22"/>
          <w:highlight w:val="none"/>
          <w:lang w:val="en-US" w:eastAsia="zh-CN" w:bidi="ar-SA"/>
        </w:rPr>
      </w:pPr>
      <w:r>
        <w:rPr>
          <w:rFonts w:hint="eastAsia" w:ascii="Times New Roman" w:hAnsi="Times New Roman" w:cs="宋体"/>
          <w:color w:val="auto"/>
          <w:spacing w:val="-1"/>
          <w:w w:val="100"/>
          <w:kern w:val="2"/>
          <w:sz w:val="22"/>
          <w:szCs w:val="22"/>
          <w:highlight w:val="none"/>
          <w:lang w:val="en-US" w:eastAsia="zh-CN" w:bidi="ar-SA"/>
        </w:rPr>
        <w:t>6</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1</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9</w:t>
      </w:r>
      <w:r>
        <w:rPr>
          <w:rFonts w:hint="default" w:ascii="宋体" w:hAnsi="宋体" w:eastAsia="宋体" w:cs="宋体"/>
          <w:color w:val="auto"/>
          <w:spacing w:val="-1"/>
          <w:w w:val="100"/>
          <w:kern w:val="2"/>
          <w:sz w:val="22"/>
          <w:szCs w:val="22"/>
          <w:highlight w:val="none"/>
          <w:lang w:val="en-US" w:eastAsia="zh-CN" w:bidi="ar-SA"/>
        </w:rPr>
        <w:t>由甲方选择的与本项目相关的其它设计单位，甲方应为乙方提供协调帮助。</w:t>
      </w:r>
    </w:p>
    <w:p>
      <w:pPr>
        <w:pStyle w:val="90"/>
        <w:numPr>
          <w:ilvl w:val="1"/>
          <w:numId w:val="0"/>
        </w:numPr>
        <w:tabs>
          <w:tab w:val="left" w:pos="1459"/>
          <w:tab w:val="left" w:pos="1460"/>
        </w:tabs>
        <w:spacing w:before="145" w:line="364" w:lineRule="auto"/>
        <w:ind w:right="865" w:rightChars="0" w:firstLine="436" w:firstLineChars="200"/>
        <w:rPr>
          <w:rFonts w:hint="default" w:ascii="宋体" w:hAnsi="宋体" w:eastAsia="宋体" w:cs="宋体"/>
          <w:color w:val="auto"/>
          <w:spacing w:val="-1"/>
          <w:w w:val="100"/>
          <w:kern w:val="2"/>
          <w:sz w:val="22"/>
          <w:szCs w:val="22"/>
          <w:highlight w:val="none"/>
          <w:lang w:val="en-US" w:eastAsia="zh-CN" w:bidi="ar-SA"/>
        </w:rPr>
      </w:pPr>
      <w:r>
        <w:rPr>
          <w:rFonts w:hint="eastAsia" w:ascii="Times New Roman" w:hAnsi="Times New Roman" w:cs="宋体"/>
          <w:color w:val="auto"/>
          <w:spacing w:val="-1"/>
          <w:w w:val="100"/>
          <w:kern w:val="2"/>
          <w:sz w:val="22"/>
          <w:szCs w:val="22"/>
          <w:highlight w:val="none"/>
          <w:lang w:val="en-US" w:eastAsia="zh-CN" w:bidi="ar-SA"/>
        </w:rPr>
        <w:t>6</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1</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10</w:t>
      </w:r>
      <w:r>
        <w:rPr>
          <w:rFonts w:hint="default" w:ascii="宋体" w:hAnsi="宋体" w:eastAsia="宋体" w:cs="宋体"/>
          <w:color w:val="auto"/>
          <w:spacing w:val="-1"/>
          <w:w w:val="100"/>
          <w:kern w:val="2"/>
          <w:sz w:val="22"/>
          <w:szCs w:val="22"/>
          <w:highlight w:val="none"/>
          <w:lang w:val="en-US" w:eastAsia="zh-CN" w:bidi="ar-SA"/>
        </w:rPr>
        <w:t xml:space="preserve">甲方指定代表人： </w:t>
      </w:r>
      <w:r>
        <w:rPr>
          <w:rFonts w:hint="default" w:ascii="宋体" w:hAnsi="宋体" w:eastAsia="宋体" w:cs="宋体"/>
          <w:color w:val="auto"/>
          <w:spacing w:val="-1"/>
          <w:w w:val="100"/>
          <w:kern w:val="2"/>
          <w:sz w:val="22"/>
          <w:szCs w:val="22"/>
          <w:highlight w:val="none"/>
          <w:lang w:val="en-US" w:eastAsia="zh-CN" w:bidi="ar-SA"/>
        </w:rPr>
        <w:tab/>
      </w:r>
      <w:r>
        <w:rPr>
          <w:rFonts w:hint="default" w:ascii="宋体" w:hAnsi="宋体" w:eastAsia="宋体" w:cs="宋体"/>
          <w:color w:val="auto"/>
          <w:spacing w:val="-1"/>
          <w:w w:val="100"/>
          <w:kern w:val="2"/>
          <w:sz w:val="22"/>
          <w:szCs w:val="22"/>
          <w:highlight w:val="none"/>
          <w:lang w:val="en-US" w:eastAsia="zh-CN" w:bidi="ar-SA"/>
        </w:rPr>
        <w:t xml:space="preserve">，传达甲方意见、解答乙方疑问及确认设计成果。代表人联系电话： </w:t>
      </w:r>
      <w:r>
        <w:rPr>
          <w:rFonts w:hint="default" w:ascii="宋体" w:hAnsi="宋体" w:eastAsia="宋体" w:cs="宋体"/>
          <w:color w:val="auto"/>
          <w:spacing w:val="-1"/>
          <w:w w:val="100"/>
          <w:kern w:val="2"/>
          <w:sz w:val="22"/>
          <w:szCs w:val="22"/>
          <w:highlight w:val="none"/>
          <w:lang w:val="en-US" w:eastAsia="zh-CN" w:bidi="ar-SA"/>
        </w:rPr>
        <w:tab/>
      </w:r>
      <w:r>
        <w:rPr>
          <w:rFonts w:hint="default" w:ascii="宋体" w:hAnsi="宋体" w:eastAsia="宋体" w:cs="宋体"/>
          <w:color w:val="auto"/>
          <w:spacing w:val="-1"/>
          <w:w w:val="100"/>
          <w:kern w:val="2"/>
          <w:sz w:val="22"/>
          <w:szCs w:val="22"/>
          <w:highlight w:val="none"/>
          <w:lang w:val="en-US" w:eastAsia="zh-CN" w:bidi="ar-SA"/>
        </w:rPr>
        <w:tab/>
      </w:r>
      <w:r>
        <w:rPr>
          <w:rFonts w:hint="default" w:ascii="宋体" w:hAnsi="宋体" w:eastAsia="宋体" w:cs="宋体"/>
          <w:color w:val="auto"/>
          <w:spacing w:val="-1"/>
          <w:w w:val="100"/>
          <w:kern w:val="2"/>
          <w:sz w:val="22"/>
          <w:szCs w:val="22"/>
          <w:highlight w:val="none"/>
          <w:lang w:val="en-US" w:eastAsia="zh-CN" w:bidi="ar-SA"/>
        </w:rPr>
        <w:t xml:space="preserve">；邮箱： </w:t>
      </w:r>
      <w:r>
        <w:rPr>
          <w:rFonts w:hint="default" w:ascii="宋体" w:hAnsi="宋体" w:eastAsia="宋体" w:cs="宋体"/>
          <w:color w:val="auto"/>
          <w:spacing w:val="-1"/>
          <w:w w:val="100"/>
          <w:kern w:val="2"/>
          <w:sz w:val="22"/>
          <w:szCs w:val="22"/>
          <w:highlight w:val="none"/>
          <w:lang w:val="en-US" w:eastAsia="zh-CN" w:bidi="ar-SA"/>
        </w:rPr>
        <w:tab/>
      </w:r>
      <w:r>
        <w:rPr>
          <w:rFonts w:hint="default" w:ascii="宋体" w:hAnsi="宋体" w:eastAsia="宋体" w:cs="宋体"/>
          <w:color w:val="auto"/>
          <w:spacing w:val="-1"/>
          <w:w w:val="100"/>
          <w:kern w:val="2"/>
          <w:sz w:val="22"/>
          <w:szCs w:val="22"/>
          <w:highlight w:val="none"/>
          <w:lang w:val="en-US" w:eastAsia="zh-CN" w:bidi="ar-SA"/>
        </w:rPr>
        <w:t>。</w:t>
      </w:r>
    </w:p>
    <w:p>
      <w:pPr>
        <w:pStyle w:val="17"/>
        <w:spacing w:before="147" w:line="364" w:lineRule="auto"/>
        <w:ind w:right="867" w:firstLine="439"/>
        <w:rPr>
          <w:color w:val="auto"/>
          <w:highlight w:val="none"/>
          <w:lang w:eastAsia="zh-CN"/>
        </w:rPr>
      </w:pPr>
      <w:r>
        <w:rPr>
          <w:color w:val="auto"/>
          <w:highlight w:val="none"/>
          <w:lang w:eastAsia="zh-CN"/>
        </w:rPr>
        <w:t>乙方应执行甲方代表人的指示，但若甲方代表人超越合同授权范围或违反相关国家及地方规定发出指示，该指示所作的任何行为对乙方不具约束力。</w:t>
      </w:r>
    </w:p>
    <w:p>
      <w:pPr>
        <w:pStyle w:val="13"/>
        <w:numPr>
          <w:ilvl w:val="1"/>
          <w:numId w:val="0"/>
        </w:numPr>
        <w:tabs>
          <w:tab w:val="left" w:pos="1466"/>
          <w:tab w:val="left" w:pos="1467"/>
        </w:tabs>
        <w:spacing w:line="279" w:lineRule="exact"/>
        <w:ind w:firstLine="216" w:firstLineChars="100"/>
        <w:rPr>
          <w:color w:val="auto"/>
          <w:highlight w:val="none"/>
        </w:rPr>
      </w:pPr>
      <w:bookmarkStart w:id="152" w:name="6.2__乙方义务"/>
      <w:bookmarkEnd w:id="152"/>
      <w:r>
        <w:rPr>
          <w:rFonts w:hint="eastAsia" w:ascii="Times New Roman" w:hAnsi="Times New Roman" w:cs="宋体"/>
          <w:b/>
          <w:bCs/>
          <w:color w:val="auto"/>
          <w:spacing w:val="-1"/>
          <w:w w:val="99"/>
          <w:kern w:val="2"/>
          <w:sz w:val="22"/>
          <w:szCs w:val="22"/>
          <w:highlight w:val="none"/>
          <w:lang w:val="en-US" w:eastAsia="zh-CN" w:bidi="ar-SA"/>
        </w:rPr>
        <w:t>6</w:t>
      </w:r>
      <w:r>
        <w:rPr>
          <w:rFonts w:hint="default" w:ascii="宋体" w:hAnsi="宋体" w:eastAsia="宋体" w:cs="宋体"/>
          <w:b/>
          <w:bCs/>
          <w:color w:val="auto"/>
          <w:spacing w:val="-1"/>
          <w:w w:val="99"/>
          <w:kern w:val="2"/>
          <w:sz w:val="22"/>
          <w:szCs w:val="22"/>
          <w:highlight w:val="none"/>
          <w:lang w:val="en-US" w:eastAsia="zh-CN" w:bidi="ar-SA"/>
        </w:rPr>
        <w:t>.</w:t>
      </w:r>
      <w:r>
        <w:rPr>
          <w:rFonts w:hint="eastAsia" w:ascii="Times New Roman" w:hAnsi="Times New Roman" w:cs="宋体"/>
          <w:b/>
          <w:bCs/>
          <w:color w:val="auto"/>
          <w:spacing w:val="-1"/>
          <w:w w:val="99"/>
          <w:kern w:val="2"/>
          <w:sz w:val="22"/>
          <w:szCs w:val="22"/>
          <w:highlight w:val="none"/>
          <w:lang w:val="en-US" w:eastAsia="zh-CN" w:bidi="ar-SA"/>
        </w:rPr>
        <w:t>2</w:t>
      </w:r>
      <w:r>
        <w:rPr>
          <w:color w:val="auto"/>
          <w:highlight w:val="none"/>
        </w:rPr>
        <w:t>乙方义务</w:t>
      </w:r>
    </w:p>
    <w:p>
      <w:pPr>
        <w:pStyle w:val="90"/>
        <w:numPr>
          <w:ilvl w:val="1"/>
          <w:numId w:val="0"/>
        </w:numPr>
        <w:tabs>
          <w:tab w:val="left" w:pos="1459"/>
          <w:tab w:val="left" w:pos="1460"/>
        </w:tabs>
        <w:spacing w:before="145" w:line="364" w:lineRule="auto"/>
        <w:ind w:right="865" w:rightChars="0" w:firstLine="436" w:firstLineChars="200"/>
        <w:rPr>
          <w:rFonts w:hint="default" w:ascii="宋体" w:hAnsi="宋体" w:eastAsia="宋体" w:cs="宋体"/>
          <w:color w:val="auto"/>
          <w:spacing w:val="-1"/>
          <w:w w:val="100"/>
          <w:kern w:val="2"/>
          <w:sz w:val="22"/>
          <w:szCs w:val="22"/>
          <w:highlight w:val="none"/>
          <w:lang w:val="en-US" w:eastAsia="zh-CN" w:bidi="ar-SA"/>
        </w:rPr>
      </w:pPr>
      <w:r>
        <w:rPr>
          <w:rFonts w:hint="eastAsia" w:ascii="Times New Roman" w:hAnsi="Times New Roman" w:cs="宋体"/>
          <w:color w:val="auto"/>
          <w:spacing w:val="-1"/>
          <w:w w:val="100"/>
          <w:kern w:val="2"/>
          <w:sz w:val="22"/>
          <w:szCs w:val="22"/>
          <w:highlight w:val="none"/>
          <w:lang w:val="en-US" w:eastAsia="zh-CN" w:bidi="ar-SA"/>
        </w:rPr>
        <w:t>6</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2</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1</w:t>
      </w:r>
      <w:r>
        <w:rPr>
          <w:rFonts w:hint="default" w:ascii="宋体" w:hAnsi="宋体" w:eastAsia="宋体" w:cs="宋体"/>
          <w:color w:val="auto"/>
          <w:spacing w:val="-1"/>
          <w:w w:val="100"/>
          <w:kern w:val="2"/>
          <w:sz w:val="22"/>
          <w:szCs w:val="22"/>
          <w:highlight w:val="none"/>
          <w:lang w:val="en-US" w:eastAsia="zh-CN" w:bidi="ar-SA"/>
        </w:rPr>
        <w:t>按甲方提供的设计任务书、设计资料及国家和项目所在地现行法律法规、规范、标准、规程、技术条例、政策和其他经相关政府部门认可的专业规范、通行的 行业规范进行和完成设计工作，并提交符合设计任务书和国家及项目所在地有 关规定要求及深度、能够获得政府相关部门批准的设计文件和设计成果，并对 其成果负责。</w:t>
      </w:r>
    </w:p>
    <w:p>
      <w:pPr>
        <w:pStyle w:val="90"/>
        <w:numPr>
          <w:ilvl w:val="1"/>
          <w:numId w:val="0"/>
        </w:numPr>
        <w:tabs>
          <w:tab w:val="left" w:pos="1459"/>
          <w:tab w:val="left" w:pos="1460"/>
        </w:tabs>
        <w:spacing w:before="145" w:line="364" w:lineRule="auto"/>
        <w:ind w:right="865" w:rightChars="0" w:firstLine="436" w:firstLineChars="200"/>
        <w:rPr>
          <w:rFonts w:hint="default" w:ascii="宋体" w:hAnsi="宋体" w:eastAsia="宋体" w:cs="宋体"/>
          <w:color w:val="auto"/>
          <w:spacing w:val="-1"/>
          <w:w w:val="100"/>
          <w:kern w:val="2"/>
          <w:sz w:val="22"/>
          <w:szCs w:val="22"/>
          <w:highlight w:val="none"/>
          <w:lang w:val="en-US" w:eastAsia="zh-CN" w:bidi="ar-SA"/>
        </w:rPr>
      </w:pPr>
      <w:r>
        <w:rPr>
          <w:rFonts w:hint="eastAsia" w:ascii="Times New Roman" w:hAnsi="Times New Roman" w:cs="宋体"/>
          <w:color w:val="auto"/>
          <w:spacing w:val="-1"/>
          <w:w w:val="100"/>
          <w:kern w:val="2"/>
          <w:sz w:val="22"/>
          <w:szCs w:val="22"/>
          <w:highlight w:val="none"/>
          <w:lang w:val="en-US" w:eastAsia="zh-CN" w:bidi="ar-SA"/>
        </w:rPr>
        <w:t>6</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2</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2</w:t>
      </w:r>
      <w:r>
        <w:rPr>
          <w:rFonts w:hint="default" w:ascii="宋体" w:hAnsi="宋体" w:eastAsia="宋体" w:cs="宋体"/>
          <w:color w:val="auto"/>
          <w:spacing w:val="-1"/>
          <w:w w:val="100"/>
          <w:kern w:val="2"/>
          <w:sz w:val="22"/>
          <w:szCs w:val="22"/>
          <w:highlight w:val="none"/>
          <w:lang w:val="en-US" w:eastAsia="zh-CN" w:bidi="ar-SA"/>
        </w:rPr>
        <w:t>组成经甲方认可的为本项目工作的专门的设计项目团队，设计项目团队的人员应当具备相应资质与丰富的实践经验，按合同约定的进度、设计任务书完成设计 工作。乙方需指派设计代表负责施工过程中的设计联络工作。</w:t>
      </w:r>
    </w:p>
    <w:p>
      <w:pPr>
        <w:pStyle w:val="90"/>
        <w:numPr>
          <w:ilvl w:val="1"/>
          <w:numId w:val="0"/>
        </w:numPr>
        <w:tabs>
          <w:tab w:val="left" w:pos="1459"/>
          <w:tab w:val="left" w:pos="1460"/>
        </w:tabs>
        <w:spacing w:before="145" w:line="364" w:lineRule="auto"/>
        <w:ind w:right="865" w:rightChars="0" w:firstLine="436" w:firstLineChars="200"/>
        <w:rPr>
          <w:rFonts w:hint="default" w:ascii="宋体" w:hAnsi="宋体" w:eastAsia="宋体" w:cs="宋体"/>
          <w:color w:val="auto"/>
          <w:spacing w:val="-1"/>
          <w:w w:val="100"/>
          <w:kern w:val="2"/>
          <w:sz w:val="22"/>
          <w:szCs w:val="22"/>
          <w:highlight w:val="none"/>
          <w:lang w:val="en-US" w:eastAsia="zh-CN" w:bidi="ar-SA"/>
        </w:rPr>
      </w:pPr>
      <w:r>
        <w:rPr>
          <w:rFonts w:hint="eastAsia" w:ascii="Times New Roman" w:hAnsi="Times New Roman" w:cs="宋体"/>
          <w:color w:val="auto"/>
          <w:spacing w:val="-1"/>
          <w:w w:val="100"/>
          <w:kern w:val="2"/>
          <w:sz w:val="22"/>
          <w:szCs w:val="22"/>
          <w:highlight w:val="none"/>
          <w:lang w:val="en-US" w:eastAsia="zh-CN" w:bidi="ar-SA"/>
        </w:rPr>
        <w:t>6</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2</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3</w:t>
      </w:r>
      <w:r>
        <w:rPr>
          <w:rFonts w:hint="default" w:ascii="宋体" w:hAnsi="宋体" w:eastAsia="宋体" w:cs="宋体"/>
          <w:color w:val="auto"/>
          <w:spacing w:val="-1"/>
          <w:w w:val="100"/>
          <w:kern w:val="2"/>
          <w:sz w:val="22"/>
          <w:szCs w:val="22"/>
          <w:highlight w:val="none"/>
          <w:lang w:val="en-US" w:eastAsia="zh-CN" w:bidi="ar-SA"/>
        </w:rPr>
        <w:t>按照甲方要求指派项目设计负责人及乙方主要人员在设计各阶段及时到甲方所在地向甲方汇报，按照甲方要求指派乙方各专业人员参加项目设计意图介绍、设 计交底等会议，配合甲方参加有关部门召开的项目设计审查会、评审会、汇报 会、技术交底会、专题会、介绍项目设计或项目推介等各项会议。</w:t>
      </w:r>
    </w:p>
    <w:p>
      <w:pPr>
        <w:pStyle w:val="90"/>
        <w:numPr>
          <w:ilvl w:val="1"/>
          <w:numId w:val="0"/>
        </w:numPr>
        <w:tabs>
          <w:tab w:val="left" w:pos="1459"/>
          <w:tab w:val="left" w:pos="1460"/>
        </w:tabs>
        <w:spacing w:before="145" w:line="364" w:lineRule="auto"/>
        <w:ind w:right="865" w:rightChars="0" w:firstLine="436" w:firstLineChars="200"/>
        <w:rPr>
          <w:rFonts w:hint="default" w:ascii="宋体" w:hAnsi="宋体" w:eastAsia="宋体" w:cs="宋体"/>
          <w:color w:val="auto"/>
          <w:spacing w:val="-1"/>
          <w:w w:val="100"/>
          <w:kern w:val="2"/>
          <w:sz w:val="22"/>
          <w:szCs w:val="22"/>
          <w:highlight w:val="none"/>
          <w:lang w:val="en-US" w:eastAsia="zh-CN" w:bidi="ar-SA"/>
        </w:rPr>
      </w:pPr>
      <w:r>
        <w:rPr>
          <w:rFonts w:hint="eastAsia" w:ascii="Times New Roman" w:hAnsi="Times New Roman" w:cs="宋体"/>
          <w:color w:val="auto"/>
          <w:spacing w:val="-1"/>
          <w:w w:val="100"/>
          <w:kern w:val="2"/>
          <w:sz w:val="22"/>
          <w:szCs w:val="22"/>
          <w:highlight w:val="none"/>
          <w:lang w:val="en-US" w:eastAsia="zh-CN" w:bidi="ar-SA"/>
        </w:rPr>
        <w:t>6</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2</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4</w:t>
      </w:r>
      <w:r>
        <w:rPr>
          <w:rFonts w:hint="default" w:ascii="宋体" w:hAnsi="宋体" w:eastAsia="宋体" w:cs="宋体"/>
          <w:color w:val="auto"/>
          <w:spacing w:val="-1"/>
          <w:w w:val="100"/>
          <w:kern w:val="2"/>
          <w:sz w:val="22"/>
          <w:szCs w:val="22"/>
          <w:highlight w:val="none"/>
          <w:lang w:val="en-US" w:eastAsia="zh-CN" w:bidi="ar-SA"/>
        </w:rPr>
        <w:t>在报批报建及建筑施工图图审期间，乙方将派驻有关设计师驻场，密切配合甲方与政府有关部门协调沟通；在项目其他重要节点验收等需要时，均及时派驻相 关专业设计师出差或驻场。其他时间的现场服务或驻场需求，根据项目实际需要另行与代建管理团队协商安排，确保项目现场全过程有设计代表参与协调与管理。</w:t>
      </w:r>
    </w:p>
    <w:p>
      <w:pPr>
        <w:pStyle w:val="90"/>
        <w:numPr>
          <w:ilvl w:val="1"/>
          <w:numId w:val="0"/>
        </w:numPr>
        <w:tabs>
          <w:tab w:val="left" w:pos="1459"/>
          <w:tab w:val="left" w:pos="1460"/>
        </w:tabs>
        <w:spacing w:before="145" w:line="364" w:lineRule="auto"/>
        <w:ind w:right="865" w:rightChars="0" w:firstLine="436" w:firstLineChars="200"/>
        <w:rPr>
          <w:rFonts w:hint="default" w:ascii="宋体" w:hAnsi="宋体" w:eastAsia="宋体" w:cs="宋体"/>
          <w:color w:val="auto"/>
          <w:spacing w:val="-1"/>
          <w:w w:val="100"/>
          <w:kern w:val="2"/>
          <w:sz w:val="22"/>
          <w:szCs w:val="22"/>
          <w:highlight w:val="none"/>
          <w:lang w:val="en-US" w:eastAsia="zh-CN" w:bidi="ar-SA"/>
        </w:rPr>
      </w:pPr>
      <w:r>
        <w:rPr>
          <w:rFonts w:hint="eastAsia" w:ascii="Times New Roman" w:hAnsi="Times New Roman" w:cs="宋体"/>
          <w:color w:val="auto"/>
          <w:spacing w:val="-1"/>
          <w:w w:val="100"/>
          <w:kern w:val="2"/>
          <w:sz w:val="22"/>
          <w:szCs w:val="22"/>
          <w:highlight w:val="none"/>
          <w:lang w:val="en-US" w:eastAsia="zh-CN" w:bidi="ar-SA"/>
        </w:rPr>
        <w:t>6</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2</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5</w:t>
      </w:r>
      <w:r>
        <w:rPr>
          <w:rFonts w:hint="default" w:ascii="宋体" w:hAnsi="宋体" w:eastAsia="宋体" w:cs="宋体"/>
          <w:color w:val="auto"/>
          <w:spacing w:val="-1"/>
          <w:w w:val="100"/>
          <w:kern w:val="2"/>
          <w:sz w:val="22"/>
          <w:szCs w:val="22"/>
          <w:highlight w:val="none"/>
          <w:lang w:val="en-US" w:eastAsia="zh-CN" w:bidi="ar-SA"/>
        </w:rPr>
        <w:t>协助甲方完成各项报批报建工作，确保设计的成果文件获得批准通过；及时复核专项二次深化设计图等是否满足建筑主体设计意图和效果，及时处理施工中的 设计问题，参加主要阶段验收；协助甲方为本项目选择材料、设备，协助甲方 进行营销图纸审核。</w:t>
      </w:r>
    </w:p>
    <w:p>
      <w:pPr>
        <w:pStyle w:val="90"/>
        <w:numPr>
          <w:ilvl w:val="1"/>
          <w:numId w:val="0"/>
        </w:numPr>
        <w:tabs>
          <w:tab w:val="left" w:pos="1459"/>
          <w:tab w:val="left" w:pos="1460"/>
        </w:tabs>
        <w:spacing w:before="145" w:line="364" w:lineRule="auto"/>
        <w:ind w:right="865" w:rightChars="0" w:firstLine="436" w:firstLineChars="200"/>
        <w:rPr>
          <w:rFonts w:hint="default" w:ascii="宋体" w:hAnsi="宋体" w:eastAsia="宋体" w:cs="宋体"/>
          <w:color w:val="auto"/>
          <w:spacing w:val="-1"/>
          <w:w w:val="100"/>
          <w:kern w:val="2"/>
          <w:sz w:val="22"/>
          <w:szCs w:val="22"/>
          <w:highlight w:val="none"/>
          <w:lang w:val="en-US" w:eastAsia="zh-CN" w:bidi="ar-SA"/>
        </w:rPr>
      </w:pPr>
      <w:r>
        <w:rPr>
          <w:rFonts w:hint="eastAsia" w:ascii="Times New Roman" w:hAnsi="Times New Roman" w:cs="宋体"/>
          <w:color w:val="auto"/>
          <w:spacing w:val="-1"/>
          <w:w w:val="100"/>
          <w:kern w:val="2"/>
          <w:sz w:val="22"/>
          <w:szCs w:val="22"/>
          <w:highlight w:val="none"/>
          <w:lang w:val="en-US" w:eastAsia="zh-CN" w:bidi="ar-SA"/>
        </w:rPr>
        <w:t>6</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2</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6</w:t>
      </w:r>
      <w:r>
        <w:rPr>
          <w:rFonts w:hint="default" w:ascii="宋体" w:hAnsi="宋体" w:eastAsia="宋体" w:cs="宋体"/>
          <w:color w:val="auto"/>
          <w:spacing w:val="-1"/>
          <w:w w:val="100"/>
          <w:kern w:val="2"/>
          <w:sz w:val="22"/>
          <w:szCs w:val="22"/>
          <w:highlight w:val="none"/>
          <w:lang w:val="en-US" w:eastAsia="zh-CN" w:bidi="ar-SA"/>
        </w:rPr>
        <w:t>乙方对甲方已确认的设计成果不能进行擅自修改，所有的修改工作必须经过甲方书面同意，在提交甲方的设计修改通知中应注明修改原因及修改对工程造价的 影响，若乙方未经甲方书面同意而擅自修改设计，造成甲方经济损失的，乙方 应予以赔偿，赔偿金额以设计费总额为限。</w:t>
      </w:r>
    </w:p>
    <w:p>
      <w:pPr>
        <w:pStyle w:val="90"/>
        <w:numPr>
          <w:ilvl w:val="1"/>
          <w:numId w:val="0"/>
        </w:numPr>
        <w:tabs>
          <w:tab w:val="left" w:pos="1459"/>
          <w:tab w:val="left" w:pos="1460"/>
        </w:tabs>
        <w:spacing w:before="145" w:line="364" w:lineRule="auto"/>
        <w:ind w:right="865" w:rightChars="0" w:firstLine="436" w:firstLineChars="200"/>
        <w:rPr>
          <w:rFonts w:hint="default" w:ascii="宋体" w:hAnsi="宋体" w:eastAsia="宋体" w:cs="宋体"/>
          <w:color w:val="auto"/>
          <w:spacing w:val="-1"/>
          <w:w w:val="100"/>
          <w:kern w:val="2"/>
          <w:sz w:val="22"/>
          <w:szCs w:val="22"/>
          <w:highlight w:val="none"/>
          <w:lang w:val="en-US" w:eastAsia="zh-CN" w:bidi="ar-SA"/>
        </w:rPr>
      </w:pPr>
      <w:r>
        <w:rPr>
          <w:rFonts w:hint="eastAsia" w:ascii="Times New Roman" w:hAnsi="Times New Roman" w:cs="宋体"/>
          <w:color w:val="auto"/>
          <w:spacing w:val="-1"/>
          <w:w w:val="100"/>
          <w:kern w:val="2"/>
          <w:sz w:val="22"/>
          <w:szCs w:val="22"/>
          <w:highlight w:val="none"/>
          <w:lang w:val="en-US" w:eastAsia="zh-CN" w:bidi="ar-SA"/>
        </w:rPr>
        <w:t>6</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2</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7</w:t>
      </w:r>
      <w:r>
        <w:rPr>
          <w:rFonts w:hint="default" w:ascii="宋体" w:hAnsi="宋体" w:eastAsia="宋体" w:cs="宋体"/>
          <w:color w:val="auto"/>
          <w:spacing w:val="-1"/>
          <w:w w:val="100"/>
          <w:kern w:val="2"/>
          <w:sz w:val="22"/>
          <w:szCs w:val="22"/>
          <w:highlight w:val="none"/>
          <w:lang w:val="en-US" w:eastAsia="zh-CN" w:bidi="ar-SA"/>
        </w:rPr>
        <w:t>乙方必须根据项目当地面积计算规则要求提供正确的户型面积计算和经济技术指标计算，原则上确保施工图阶段的户型面积与方案阶段户型面积误差小于±</w:t>
      </w:r>
      <w:r>
        <w:rPr>
          <w:rFonts w:hint="eastAsia" w:ascii="Times New Roman" w:hAnsi="Times New Roman" w:cs="宋体"/>
          <w:color w:val="auto"/>
          <w:spacing w:val="-1"/>
          <w:w w:val="100"/>
          <w:kern w:val="2"/>
          <w:sz w:val="22"/>
          <w:szCs w:val="22"/>
          <w:highlight w:val="none"/>
          <w:lang w:val="en-US" w:eastAsia="zh-CN" w:bidi="ar-SA"/>
        </w:rPr>
        <w:t>3</w:t>
      </w:r>
      <w:r>
        <w:rPr>
          <w:rFonts w:hint="default" w:ascii="宋体" w:hAnsi="宋体" w:eastAsia="宋体" w:cs="宋体"/>
          <w:color w:val="auto"/>
          <w:spacing w:val="-1"/>
          <w:w w:val="100"/>
          <w:kern w:val="2"/>
          <w:sz w:val="22"/>
          <w:szCs w:val="22"/>
          <w:highlight w:val="none"/>
          <w:lang w:val="en-US" w:eastAsia="zh-CN" w:bidi="ar-SA"/>
        </w:rPr>
        <w:t>%</w:t>
      </w:r>
    </w:p>
    <w:p>
      <w:pPr>
        <w:pStyle w:val="90"/>
        <w:numPr>
          <w:ilvl w:val="1"/>
          <w:numId w:val="0"/>
        </w:numPr>
        <w:tabs>
          <w:tab w:val="left" w:pos="1459"/>
          <w:tab w:val="left" w:pos="1460"/>
        </w:tabs>
        <w:spacing w:before="145" w:line="364" w:lineRule="auto"/>
        <w:ind w:right="865" w:rightChars="0" w:firstLine="436" w:firstLineChars="200"/>
        <w:rPr>
          <w:rFonts w:hint="default" w:ascii="宋体" w:hAnsi="宋体" w:eastAsia="宋体" w:cs="宋体"/>
          <w:color w:val="auto"/>
          <w:spacing w:val="-1"/>
          <w:w w:val="100"/>
          <w:kern w:val="2"/>
          <w:sz w:val="22"/>
          <w:szCs w:val="22"/>
          <w:highlight w:val="none"/>
          <w:lang w:val="en-US" w:eastAsia="zh-CN" w:bidi="ar-SA"/>
        </w:rPr>
      </w:pPr>
      <w:r>
        <w:rPr>
          <w:rFonts w:hint="default" w:ascii="宋体" w:hAnsi="宋体" w:eastAsia="宋体" w:cs="宋体"/>
          <w:color w:val="auto"/>
          <w:spacing w:val="-1"/>
          <w:w w:val="100"/>
          <w:kern w:val="2"/>
          <w:sz w:val="22"/>
          <w:szCs w:val="22"/>
          <w:highlight w:val="none"/>
          <w:lang w:val="en-US" w:eastAsia="zh-CN" w:bidi="ar-SA"/>
        </w:rPr>
        <w:t>（不含本数）、考虑到面积、层高计算原则的地域性，有关面积、层高计算规定应由合同双方共同至相关部门征询后，以书面文件形式记录并得到合同双方共同确认后的计算面积、层高规定为准。以上面积、层高误差控制要求不包括由于甲方设计要求更改所造成的面积、层高计算误差。</w:t>
      </w:r>
    </w:p>
    <w:p>
      <w:pPr>
        <w:pStyle w:val="90"/>
        <w:numPr>
          <w:ilvl w:val="1"/>
          <w:numId w:val="0"/>
        </w:numPr>
        <w:tabs>
          <w:tab w:val="left" w:pos="1459"/>
          <w:tab w:val="left" w:pos="1460"/>
        </w:tabs>
        <w:spacing w:before="145" w:line="364" w:lineRule="auto"/>
        <w:ind w:right="865" w:rightChars="0" w:firstLine="436" w:firstLineChars="200"/>
        <w:rPr>
          <w:rFonts w:hint="default" w:ascii="宋体" w:hAnsi="宋体" w:eastAsia="宋体" w:cs="宋体"/>
          <w:color w:val="auto"/>
          <w:spacing w:val="-1"/>
          <w:w w:val="100"/>
          <w:kern w:val="2"/>
          <w:sz w:val="22"/>
          <w:szCs w:val="22"/>
          <w:highlight w:val="none"/>
          <w:lang w:val="en-US" w:eastAsia="zh-CN" w:bidi="ar-SA"/>
        </w:rPr>
      </w:pPr>
      <w:r>
        <w:rPr>
          <w:rFonts w:hint="eastAsia" w:ascii="Times New Roman" w:hAnsi="Times New Roman" w:cs="宋体"/>
          <w:color w:val="auto"/>
          <w:spacing w:val="-1"/>
          <w:w w:val="100"/>
          <w:kern w:val="2"/>
          <w:sz w:val="22"/>
          <w:szCs w:val="22"/>
          <w:highlight w:val="none"/>
          <w:lang w:val="en-US" w:eastAsia="zh-CN" w:bidi="ar-SA"/>
        </w:rPr>
        <w:t>6</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2</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8</w:t>
      </w:r>
      <w:r>
        <w:rPr>
          <w:rFonts w:hint="default" w:ascii="宋体" w:hAnsi="宋体" w:eastAsia="宋体" w:cs="宋体"/>
          <w:color w:val="auto"/>
          <w:spacing w:val="-1"/>
          <w:w w:val="100"/>
          <w:kern w:val="2"/>
          <w:sz w:val="22"/>
          <w:szCs w:val="22"/>
          <w:highlight w:val="none"/>
          <w:lang w:val="en-US" w:eastAsia="zh-CN" w:bidi="ar-SA"/>
        </w:rPr>
        <w:t>乙方须配合甲方完成与本合同委托设计内容有关的政府报审工作，提供准确的图纸及说明。</w:t>
      </w:r>
    </w:p>
    <w:p>
      <w:pPr>
        <w:pStyle w:val="90"/>
        <w:numPr>
          <w:ilvl w:val="1"/>
          <w:numId w:val="0"/>
        </w:numPr>
        <w:tabs>
          <w:tab w:val="left" w:pos="1459"/>
          <w:tab w:val="left" w:pos="1460"/>
        </w:tabs>
        <w:spacing w:before="145" w:line="364" w:lineRule="auto"/>
        <w:ind w:right="865" w:rightChars="0" w:firstLine="436" w:firstLineChars="200"/>
        <w:rPr>
          <w:rFonts w:hint="default" w:ascii="宋体" w:hAnsi="宋体" w:eastAsia="宋体" w:cs="宋体"/>
          <w:color w:val="auto"/>
          <w:spacing w:val="-1"/>
          <w:w w:val="100"/>
          <w:kern w:val="2"/>
          <w:sz w:val="22"/>
          <w:szCs w:val="22"/>
          <w:highlight w:val="none"/>
          <w:lang w:val="en-US" w:eastAsia="zh-CN" w:bidi="ar-SA"/>
        </w:rPr>
      </w:pPr>
      <w:r>
        <w:rPr>
          <w:rFonts w:hint="eastAsia" w:ascii="Times New Roman" w:hAnsi="Times New Roman" w:cs="宋体"/>
          <w:color w:val="auto"/>
          <w:spacing w:val="-1"/>
          <w:w w:val="100"/>
          <w:kern w:val="2"/>
          <w:sz w:val="22"/>
          <w:szCs w:val="22"/>
          <w:highlight w:val="none"/>
          <w:lang w:val="en-US" w:eastAsia="zh-CN" w:bidi="ar-SA"/>
        </w:rPr>
        <w:t>6</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2</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9</w:t>
      </w:r>
      <w:r>
        <w:rPr>
          <w:rFonts w:hint="default" w:ascii="宋体" w:hAnsi="宋体" w:eastAsia="宋体" w:cs="宋体"/>
          <w:color w:val="auto"/>
          <w:spacing w:val="-1"/>
          <w:w w:val="100"/>
          <w:kern w:val="2"/>
          <w:sz w:val="22"/>
          <w:szCs w:val="22"/>
          <w:highlight w:val="none"/>
          <w:lang w:val="en-US" w:eastAsia="zh-CN" w:bidi="ar-SA"/>
        </w:rPr>
        <w:t>乙方未经甲方书面同意不得擅自转包、分包建筑方案至施工图全过程设计任务， 专项设计允许分包给有相应资质的第三方。</w:t>
      </w:r>
    </w:p>
    <w:p>
      <w:pPr>
        <w:pStyle w:val="90"/>
        <w:numPr>
          <w:ilvl w:val="1"/>
          <w:numId w:val="0"/>
        </w:numPr>
        <w:tabs>
          <w:tab w:val="left" w:pos="1459"/>
          <w:tab w:val="left" w:pos="1460"/>
        </w:tabs>
        <w:spacing w:before="145" w:line="364" w:lineRule="auto"/>
        <w:ind w:right="865" w:rightChars="0" w:firstLine="436" w:firstLineChars="200"/>
        <w:rPr>
          <w:rFonts w:hint="default" w:ascii="宋体" w:hAnsi="宋体" w:eastAsia="宋体" w:cs="宋体"/>
          <w:color w:val="auto"/>
          <w:spacing w:val="-1"/>
          <w:w w:val="100"/>
          <w:kern w:val="2"/>
          <w:sz w:val="22"/>
          <w:szCs w:val="22"/>
          <w:highlight w:val="none"/>
          <w:lang w:val="en-US" w:eastAsia="zh-CN" w:bidi="ar-SA"/>
        </w:rPr>
      </w:pPr>
      <w:r>
        <w:rPr>
          <w:rFonts w:hint="eastAsia" w:ascii="Times New Roman" w:hAnsi="Times New Roman" w:cs="宋体"/>
          <w:color w:val="auto"/>
          <w:spacing w:val="-1"/>
          <w:w w:val="100"/>
          <w:kern w:val="2"/>
          <w:sz w:val="22"/>
          <w:szCs w:val="22"/>
          <w:highlight w:val="none"/>
          <w:lang w:val="en-US" w:eastAsia="zh-CN" w:bidi="ar-SA"/>
        </w:rPr>
        <w:t>6</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2</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10</w:t>
      </w:r>
      <w:r>
        <w:rPr>
          <w:rFonts w:hint="default" w:ascii="宋体" w:hAnsi="宋体" w:eastAsia="宋体" w:cs="宋体"/>
          <w:color w:val="auto"/>
          <w:spacing w:val="-1"/>
          <w:w w:val="100"/>
          <w:kern w:val="2"/>
          <w:sz w:val="22"/>
          <w:szCs w:val="22"/>
          <w:highlight w:val="none"/>
          <w:lang w:val="en-US" w:eastAsia="zh-CN" w:bidi="ar-SA"/>
        </w:rPr>
        <w:t>乙方应承担相应的保密义务。未经甲方同意，乙方不得向本合同缔约方外的任何一方披露、泄露、扩散、转让甲方提交的图纸等资料。</w:t>
      </w:r>
    </w:p>
    <w:p>
      <w:pPr>
        <w:pStyle w:val="90"/>
        <w:numPr>
          <w:ilvl w:val="1"/>
          <w:numId w:val="0"/>
        </w:numPr>
        <w:tabs>
          <w:tab w:val="left" w:pos="1459"/>
          <w:tab w:val="left" w:pos="1460"/>
        </w:tabs>
        <w:spacing w:before="145" w:line="364" w:lineRule="auto"/>
        <w:ind w:right="865" w:rightChars="0" w:firstLine="436" w:firstLineChars="200"/>
        <w:rPr>
          <w:rFonts w:hint="default" w:ascii="宋体" w:hAnsi="宋体" w:eastAsia="宋体" w:cs="宋体"/>
          <w:color w:val="auto"/>
          <w:spacing w:val="-1"/>
          <w:w w:val="100"/>
          <w:kern w:val="2"/>
          <w:sz w:val="22"/>
          <w:szCs w:val="22"/>
          <w:highlight w:val="none"/>
          <w:lang w:val="en-US" w:eastAsia="zh-CN" w:bidi="ar-SA"/>
        </w:rPr>
      </w:pPr>
      <w:r>
        <w:rPr>
          <w:rFonts w:hint="eastAsia" w:ascii="Times New Roman" w:hAnsi="Times New Roman" w:cs="宋体"/>
          <w:color w:val="auto"/>
          <w:spacing w:val="-1"/>
          <w:w w:val="100"/>
          <w:kern w:val="2"/>
          <w:sz w:val="22"/>
          <w:szCs w:val="22"/>
          <w:highlight w:val="none"/>
          <w:lang w:val="en-US" w:eastAsia="zh-CN" w:bidi="ar-SA"/>
        </w:rPr>
        <w:t>6</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2</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11</w:t>
      </w:r>
      <w:r>
        <w:rPr>
          <w:rFonts w:hint="default" w:ascii="宋体" w:hAnsi="宋体" w:eastAsia="宋体" w:cs="宋体"/>
          <w:color w:val="auto"/>
          <w:spacing w:val="-1"/>
          <w:w w:val="100"/>
          <w:kern w:val="2"/>
          <w:sz w:val="22"/>
          <w:szCs w:val="22"/>
          <w:highlight w:val="none"/>
          <w:lang w:val="en-US" w:eastAsia="zh-CN" w:bidi="ar-SA"/>
        </w:rPr>
        <w:t>乙方对其在合同中所承诺的所有义务，负有全部和不可分割的责任。同时，乙方的全部技术责任和义务，并不因甲方的任何审核、批准而获得免除。</w:t>
      </w:r>
    </w:p>
    <w:p>
      <w:pPr>
        <w:pStyle w:val="90"/>
        <w:numPr>
          <w:ilvl w:val="1"/>
          <w:numId w:val="0"/>
        </w:numPr>
        <w:tabs>
          <w:tab w:val="left" w:pos="1459"/>
          <w:tab w:val="left" w:pos="1460"/>
        </w:tabs>
        <w:spacing w:before="145" w:line="364" w:lineRule="auto"/>
        <w:ind w:right="865" w:rightChars="0" w:firstLine="436" w:firstLineChars="200"/>
        <w:rPr>
          <w:rFonts w:hint="default" w:ascii="宋体" w:hAnsi="宋体" w:eastAsia="宋体" w:cs="宋体"/>
          <w:color w:val="auto"/>
          <w:spacing w:val="-1"/>
          <w:w w:val="100"/>
          <w:kern w:val="2"/>
          <w:sz w:val="22"/>
          <w:szCs w:val="22"/>
          <w:highlight w:val="none"/>
          <w:lang w:val="en-US" w:eastAsia="zh-CN" w:bidi="ar-SA"/>
        </w:rPr>
      </w:pPr>
      <w:r>
        <w:rPr>
          <w:rFonts w:hint="eastAsia" w:ascii="Times New Roman" w:hAnsi="Times New Roman" w:cs="宋体"/>
          <w:color w:val="auto"/>
          <w:spacing w:val="-1"/>
          <w:w w:val="100"/>
          <w:kern w:val="2"/>
          <w:sz w:val="22"/>
          <w:szCs w:val="22"/>
          <w:highlight w:val="none"/>
          <w:lang w:val="en-US" w:eastAsia="zh-CN" w:bidi="ar-SA"/>
        </w:rPr>
        <w:t>6</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2</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12</w:t>
      </w:r>
      <w:r>
        <w:rPr>
          <w:rFonts w:hint="default" w:ascii="宋体" w:hAnsi="宋体" w:eastAsia="宋体" w:cs="宋体"/>
          <w:color w:val="auto"/>
          <w:spacing w:val="-1"/>
          <w:w w:val="100"/>
          <w:kern w:val="2"/>
          <w:sz w:val="22"/>
          <w:szCs w:val="22"/>
          <w:highlight w:val="none"/>
          <w:lang w:val="en-US" w:eastAsia="zh-CN" w:bidi="ar-SA"/>
        </w:rPr>
        <w:t>乙方对甲方选择的与本项目相关的其它单位应提供专业的技术支持。</w:t>
      </w:r>
    </w:p>
    <w:p>
      <w:pPr>
        <w:pStyle w:val="90"/>
        <w:numPr>
          <w:ilvl w:val="1"/>
          <w:numId w:val="0"/>
        </w:numPr>
        <w:tabs>
          <w:tab w:val="left" w:pos="1459"/>
          <w:tab w:val="left" w:pos="1460"/>
        </w:tabs>
        <w:spacing w:before="145" w:line="364" w:lineRule="auto"/>
        <w:ind w:right="865" w:rightChars="0" w:firstLine="436" w:firstLineChars="200"/>
        <w:rPr>
          <w:rFonts w:hint="default" w:ascii="宋体" w:hAnsi="宋体" w:eastAsia="宋体" w:cs="宋体"/>
          <w:color w:val="auto"/>
          <w:spacing w:val="-1"/>
          <w:w w:val="100"/>
          <w:kern w:val="2"/>
          <w:sz w:val="22"/>
          <w:szCs w:val="22"/>
          <w:highlight w:val="none"/>
          <w:lang w:val="en-US" w:eastAsia="zh-CN" w:bidi="ar-SA"/>
        </w:rPr>
      </w:pPr>
      <w:r>
        <w:rPr>
          <w:rFonts w:hint="eastAsia" w:ascii="Times New Roman" w:hAnsi="Times New Roman" w:cs="宋体"/>
          <w:color w:val="auto"/>
          <w:spacing w:val="-1"/>
          <w:w w:val="100"/>
          <w:kern w:val="2"/>
          <w:sz w:val="22"/>
          <w:szCs w:val="22"/>
          <w:highlight w:val="none"/>
          <w:lang w:val="en-US" w:eastAsia="zh-CN" w:bidi="ar-SA"/>
        </w:rPr>
        <w:t>6</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2</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13</w:t>
      </w:r>
      <w:r>
        <w:rPr>
          <w:rFonts w:hint="default" w:ascii="宋体" w:hAnsi="宋体" w:eastAsia="宋体" w:cs="宋体"/>
          <w:color w:val="auto"/>
          <w:spacing w:val="-1"/>
          <w:w w:val="100"/>
          <w:kern w:val="2"/>
          <w:sz w:val="22"/>
          <w:szCs w:val="22"/>
          <w:highlight w:val="none"/>
          <w:lang w:val="en-US" w:eastAsia="zh-CN" w:bidi="ar-SA"/>
        </w:rPr>
        <w:t>乙方在本合同项下提交的每一阶段设计成果均应以该阶段设计负责人和总设计负责人的签字版本为准。</w:t>
      </w:r>
    </w:p>
    <w:p>
      <w:pPr>
        <w:pStyle w:val="90"/>
        <w:numPr>
          <w:ilvl w:val="1"/>
          <w:numId w:val="0"/>
        </w:numPr>
        <w:tabs>
          <w:tab w:val="left" w:pos="1459"/>
          <w:tab w:val="left" w:pos="1460"/>
        </w:tabs>
        <w:spacing w:before="145" w:line="364" w:lineRule="auto"/>
        <w:ind w:right="865" w:rightChars="0" w:firstLine="436" w:firstLineChars="200"/>
        <w:rPr>
          <w:rFonts w:hint="default" w:ascii="宋体" w:hAnsi="宋体" w:eastAsia="宋体" w:cs="宋体"/>
          <w:color w:val="auto"/>
          <w:spacing w:val="-1"/>
          <w:w w:val="100"/>
          <w:kern w:val="2"/>
          <w:sz w:val="22"/>
          <w:szCs w:val="22"/>
          <w:highlight w:val="none"/>
          <w:lang w:val="en-US" w:eastAsia="zh-CN" w:bidi="ar-SA"/>
        </w:rPr>
      </w:pPr>
      <w:r>
        <w:rPr>
          <w:rFonts w:hint="eastAsia" w:ascii="Times New Roman" w:hAnsi="Times New Roman" w:cs="宋体"/>
          <w:color w:val="auto"/>
          <w:spacing w:val="-1"/>
          <w:w w:val="100"/>
          <w:kern w:val="2"/>
          <w:sz w:val="22"/>
          <w:szCs w:val="22"/>
          <w:highlight w:val="none"/>
          <w:lang w:val="en-US" w:eastAsia="zh-CN" w:bidi="ar-SA"/>
        </w:rPr>
        <w:t>6</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2</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14</w:t>
      </w:r>
      <w:r>
        <w:rPr>
          <w:rFonts w:hint="default" w:ascii="宋体" w:hAnsi="宋体" w:eastAsia="宋体" w:cs="宋体"/>
          <w:color w:val="auto"/>
          <w:spacing w:val="-1"/>
          <w:w w:val="100"/>
          <w:kern w:val="2"/>
          <w:sz w:val="22"/>
          <w:szCs w:val="22"/>
          <w:highlight w:val="none"/>
          <w:lang w:val="en-US" w:eastAsia="zh-CN" w:bidi="ar-SA"/>
        </w:rPr>
        <w:t xml:space="preserve">乙方指定代表人： </w:t>
      </w:r>
      <w:r>
        <w:rPr>
          <w:rFonts w:hint="default" w:ascii="宋体" w:hAnsi="宋体" w:eastAsia="宋体" w:cs="宋体"/>
          <w:color w:val="auto"/>
          <w:spacing w:val="-1"/>
          <w:w w:val="100"/>
          <w:kern w:val="2"/>
          <w:sz w:val="22"/>
          <w:szCs w:val="22"/>
          <w:highlight w:val="none"/>
          <w:lang w:val="en-US" w:eastAsia="zh-CN" w:bidi="ar-SA"/>
        </w:rPr>
        <w:tab/>
      </w:r>
      <w:r>
        <w:rPr>
          <w:rFonts w:hint="default" w:ascii="宋体" w:hAnsi="宋体" w:eastAsia="宋体" w:cs="宋体"/>
          <w:color w:val="auto"/>
          <w:spacing w:val="-1"/>
          <w:w w:val="100"/>
          <w:kern w:val="2"/>
          <w:sz w:val="22"/>
          <w:szCs w:val="22"/>
          <w:highlight w:val="none"/>
          <w:lang w:val="en-US" w:eastAsia="zh-CN" w:bidi="ar-SA"/>
        </w:rPr>
        <w:t>，负责与甲方联系并汇报设计进展及成果，并征求甲方意见及接受甲方文件。</w:t>
      </w:r>
    </w:p>
    <w:p>
      <w:pPr>
        <w:pStyle w:val="90"/>
        <w:numPr>
          <w:ilvl w:val="1"/>
          <w:numId w:val="0"/>
        </w:numPr>
        <w:tabs>
          <w:tab w:val="left" w:pos="1459"/>
          <w:tab w:val="left" w:pos="1460"/>
        </w:tabs>
        <w:spacing w:before="145" w:line="364" w:lineRule="auto"/>
        <w:ind w:right="865" w:rightChars="0" w:firstLine="436" w:firstLineChars="200"/>
        <w:rPr>
          <w:rFonts w:hint="default" w:ascii="宋体" w:hAnsi="宋体" w:eastAsia="宋体" w:cs="宋体"/>
          <w:color w:val="auto"/>
          <w:spacing w:val="-1"/>
          <w:w w:val="100"/>
          <w:kern w:val="2"/>
          <w:sz w:val="22"/>
          <w:szCs w:val="22"/>
          <w:highlight w:val="none"/>
          <w:lang w:val="en-US" w:eastAsia="zh-CN" w:bidi="ar-SA"/>
        </w:rPr>
      </w:pPr>
      <w:r>
        <w:rPr>
          <w:rFonts w:hint="default" w:ascii="宋体" w:hAnsi="宋体" w:eastAsia="宋体" w:cs="宋体"/>
          <w:color w:val="auto"/>
          <w:spacing w:val="-1"/>
          <w:w w:val="100"/>
          <w:kern w:val="2"/>
          <w:sz w:val="22"/>
          <w:szCs w:val="22"/>
          <w:highlight w:val="none"/>
          <w:lang w:val="en-US" w:eastAsia="zh-CN" w:bidi="ar-SA"/>
        </w:rPr>
        <w:t xml:space="preserve">代表人联系电话： </w:t>
      </w:r>
      <w:r>
        <w:rPr>
          <w:rFonts w:hint="default" w:ascii="宋体" w:hAnsi="宋体" w:eastAsia="宋体" w:cs="宋体"/>
          <w:color w:val="auto"/>
          <w:spacing w:val="-1"/>
          <w:w w:val="100"/>
          <w:kern w:val="2"/>
          <w:sz w:val="22"/>
          <w:szCs w:val="22"/>
          <w:highlight w:val="none"/>
          <w:lang w:val="en-US" w:eastAsia="zh-CN" w:bidi="ar-SA"/>
        </w:rPr>
        <w:tab/>
      </w:r>
      <w:r>
        <w:rPr>
          <w:rFonts w:hint="default" w:ascii="宋体" w:hAnsi="宋体" w:eastAsia="宋体" w:cs="宋体"/>
          <w:color w:val="auto"/>
          <w:spacing w:val="-1"/>
          <w:w w:val="100"/>
          <w:kern w:val="2"/>
          <w:sz w:val="22"/>
          <w:szCs w:val="22"/>
          <w:highlight w:val="none"/>
          <w:lang w:val="en-US" w:eastAsia="zh-CN" w:bidi="ar-SA"/>
        </w:rPr>
        <w:t xml:space="preserve">邮箱： </w:t>
      </w:r>
      <w:r>
        <w:rPr>
          <w:rFonts w:hint="default" w:ascii="宋体" w:hAnsi="宋体" w:eastAsia="宋体" w:cs="宋体"/>
          <w:color w:val="auto"/>
          <w:spacing w:val="-1"/>
          <w:w w:val="100"/>
          <w:kern w:val="2"/>
          <w:sz w:val="22"/>
          <w:szCs w:val="22"/>
          <w:highlight w:val="none"/>
          <w:lang w:val="en-US" w:eastAsia="zh-CN" w:bidi="ar-SA"/>
        </w:rPr>
        <w:tab/>
      </w:r>
      <w:r>
        <w:rPr>
          <w:rFonts w:hint="default" w:ascii="宋体" w:hAnsi="宋体" w:eastAsia="宋体" w:cs="宋体"/>
          <w:color w:val="auto"/>
          <w:spacing w:val="-1"/>
          <w:w w:val="100"/>
          <w:kern w:val="2"/>
          <w:sz w:val="22"/>
          <w:szCs w:val="22"/>
          <w:highlight w:val="none"/>
          <w:lang w:val="en-US" w:eastAsia="zh-CN" w:bidi="ar-SA"/>
        </w:rPr>
        <w:t>。</w:t>
      </w:r>
    </w:p>
    <w:p>
      <w:pPr>
        <w:pStyle w:val="90"/>
        <w:numPr>
          <w:ilvl w:val="1"/>
          <w:numId w:val="0"/>
        </w:numPr>
        <w:tabs>
          <w:tab w:val="left" w:pos="1459"/>
          <w:tab w:val="left" w:pos="1460"/>
        </w:tabs>
        <w:spacing w:before="145" w:line="364" w:lineRule="auto"/>
        <w:ind w:right="865" w:rightChars="0" w:firstLine="436" w:firstLineChars="200"/>
        <w:rPr>
          <w:rFonts w:hint="default" w:ascii="宋体" w:hAnsi="宋体" w:eastAsia="宋体" w:cs="宋体"/>
          <w:color w:val="auto"/>
          <w:spacing w:val="-1"/>
          <w:w w:val="100"/>
          <w:kern w:val="2"/>
          <w:sz w:val="22"/>
          <w:szCs w:val="22"/>
          <w:highlight w:val="none"/>
          <w:lang w:val="en-US" w:eastAsia="zh-CN" w:bidi="ar-SA"/>
        </w:rPr>
      </w:pPr>
      <w:r>
        <w:rPr>
          <w:rFonts w:hint="eastAsia" w:ascii="Times New Roman" w:hAnsi="Times New Roman" w:cs="宋体"/>
          <w:color w:val="auto"/>
          <w:spacing w:val="-1"/>
          <w:w w:val="100"/>
          <w:kern w:val="2"/>
          <w:sz w:val="22"/>
          <w:szCs w:val="22"/>
          <w:highlight w:val="none"/>
          <w:lang w:val="en-US" w:eastAsia="zh-CN" w:bidi="ar-SA"/>
        </w:rPr>
        <w:t>6</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2</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15</w:t>
      </w:r>
      <w:r>
        <w:rPr>
          <w:rFonts w:hint="default" w:ascii="宋体" w:hAnsi="宋体" w:eastAsia="宋体" w:cs="宋体"/>
          <w:color w:val="auto"/>
          <w:spacing w:val="-1"/>
          <w:w w:val="100"/>
          <w:kern w:val="2"/>
          <w:sz w:val="22"/>
          <w:szCs w:val="22"/>
          <w:highlight w:val="none"/>
          <w:lang w:val="en-US" w:eastAsia="zh-CN" w:bidi="ar-SA"/>
        </w:rPr>
        <w:t>乙方应自行评估是否需要到项目现场踩勘，因此发生的费用由乙方自行负担。</w:t>
      </w:r>
    </w:p>
    <w:p>
      <w:pPr>
        <w:tabs>
          <w:tab w:val="left" w:pos="1528"/>
        </w:tabs>
        <w:spacing w:before="146"/>
        <w:ind w:left="100"/>
        <w:rPr>
          <w:b/>
          <w:color w:val="auto"/>
          <w:sz w:val="21"/>
          <w:highlight w:val="none"/>
          <w:lang w:eastAsia="zh-CN"/>
        </w:rPr>
      </w:pPr>
      <w:r>
        <w:rPr>
          <w:b/>
          <w:color w:val="auto"/>
          <w:sz w:val="21"/>
          <w:highlight w:val="none"/>
          <w:lang w:eastAsia="zh-CN"/>
        </w:rPr>
        <w:t>第七条</w:t>
      </w:r>
      <w:r>
        <w:rPr>
          <w:b/>
          <w:color w:val="auto"/>
          <w:sz w:val="21"/>
          <w:highlight w:val="none"/>
          <w:lang w:eastAsia="zh-CN"/>
        </w:rPr>
        <w:tab/>
      </w:r>
      <w:bookmarkStart w:id="153" w:name="第七条合同价款及其构成"/>
      <w:bookmarkEnd w:id="153"/>
      <w:r>
        <w:rPr>
          <w:b/>
          <w:color w:val="auto"/>
          <w:sz w:val="21"/>
          <w:highlight w:val="none"/>
          <w:lang w:eastAsia="zh-CN"/>
        </w:rPr>
        <w:t>合同价款及其构成</w:t>
      </w:r>
    </w:p>
    <w:p>
      <w:pPr>
        <w:pStyle w:val="90"/>
        <w:numPr>
          <w:ilvl w:val="1"/>
          <w:numId w:val="0"/>
        </w:numPr>
        <w:tabs>
          <w:tab w:val="left" w:pos="1459"/>
          <w:tab w:val="left" w:pos="1460"/>
        </w:tabs>
        <w:spacing w:before="145" w:line="364" w:lineRule="auto"/>
        <w:ind w:right="865" w:rightChars="0" w:firstLine="436" w:firstLineChars="200"/>
        <w:rPr>
          <w:rFonts w:hint="default" w:ascii="宋体" w:hAnsi="宋体" w:eastAsia="宋体" w:cs="宋体"/>
          <w:color w:val="auto"/>
          <w:spacing w:val="-1"/>
          <w:w w:val="100"/>
          <w:kern w:val="2"/>
          <w:sz w:val="22"/>
          <w:szCs w:val="22"/>
          <w:highlight w:val="none"/>
          <w:lang w:val="en-US" w:eastAsia="zh-CN" w:bidi="ar-SA"/>
        </w:rPr>
      </w:pPr>
      <w:r>
        <w:rPr>
          <w:rFonts w:hint="eastAsia" w:ascii="Times New Roman" w:hAnsi="Times New Roman" w:cs="宋体"/>
          <w:color w:val="auto"/>
          <w:spacing w:val="-1"/>
          <w:w w:val="100"/>
          <w:kern w:val="2"/>
          <w:sz w:val="22"/>
          <w:szCs w:val="22"/>
          <w:highlight w:val="none"/>
          <w:lang w:val="en-US" w:eastAsia="zh-CN" w:bidi="ar-SA"/>
        </w:rPr>
        <w:t>7</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1</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1</w:t>
      </w:r>
      <w:r>
        <w:rPr>
          <w:rFonts w:hint="default" w:ascii="宋体" w:hAnsi="宋体" w:eastAsia="宋体" w:cs="宋体"/>
          <w:color w:val="auto"/>
          <w:spacing w:val="-1"/>
          <w:w w:val="100"/>
          <w:kern w:val="2"/>
          <w:sz w:val="22"/>
          <w:szCs w:val="22"/>
          <w:highlight w:val="none"/>
          <w:lang w:val="en-US" w:eastAsia="zh-CN" w:bidi="ar-SA"/>
        </w:rPr>
        <w:t>根据暂定建筑面积，本合同含增值税价设计费暂定为    。本合同适用【☑一般计税方法/□简易计税方法】，增值税税率为【 】%，不含增值税价暂定为【</w:t>
      </w:r>
      <w:r>
        <w:rPr>
          <w:rFonts w:hint="default" w:ascii="宋体" w:hAnsi="宋体" w:eastAsia="宋体" w:cs="宋体"/>
          <w:color w:val="auto"/>
          <w:spacing w:val="-1"/>
          <w:w w:val="100"/>
          <w:kern w:val="2"/>
          <w:sz w:val="22"/>
          <w:szCs w:val="22"/>
          <w:highlight w:val="none"/>
          <w:lang w:val="en-US" w:eastAsia="zh-CN" w:bidi="ar-SA"/>
        </w:rPr>
        <w:tab/>
      </w:r>
      <w:r>
        <w:rPr>
          <w:rFonts w:hint="default" w:ascii="宋体" w:hAnsi="宋体" w:eastAsia="宋体" w:cs="宋体"/>
          <w:color w:val="auto"/>
          <w:spacing w:val="-1"/>
          <w:w w:val="100"/>
          <w:kern w:val="2"/>
          <w:sz w:val="22"/>
          <w:szCs w:val="22"/>
          <w:highlight w:val="none"/>
          <w:lang w:val="en-US" w:eastAsia="zh-CN" w:bidi="ar-SA"/>
        </w:rPr>
        <w:t>】元，增值税金额【</w:t>
      </w:r>
      <w:r>
        <w:rPr>
          <w:rFonts w:hint="default" w:ascii="宋体" w:hAnsi="宋体" w:eastAsia="宋体" w:cs="宋体"/>
          <w:color w:val="auto"/>
          <w:spacing w:val="-1"/>
          <w:w w:val="100"/>
          <w:kern w:val="2"/>
          <w:sz w:val="22"/>
          <w:szCs w:val="22"/>
          <w:highlight w:val="none"/>
          <w:lang w:val="en-US" w:eastAsia="zh-CN" w:bidi="ar-SA"/>
        </w:rPr>
        <w:tab/>
      </w:r>
      <w:r>
        <w:rPr>
          <w:rFonts w:hint="default" w:ascii="宋体" w:hAnsi="宋体" w:eastAsia="宋体" w:cs="宋体"/>
          <w:color w:val="auto"/>
          <w:spacing w:val="-1"/>
          <w:w w:val="100"/>
          <w:kern w:val="2"/>
          <w:sz w:val="22"/>
          <w:szCs w:val="22"/>
          <w:highlight w:val="none"/>
          <w:lang w:val="en-US" w:eastAsia="zh-CN" w:bidi="ar-SA"/>
        </w:rPr>
        <w:t>】元。</w:t>
      </w:r>
    </w:p>
    <w:p>
      <w:pPr>
        <w:pStyle w:val="90"/>
        <w:numPr>
          <w:ilvl w:val="1"/>
          <w:numId w:val="0"/>
        </w:numPr>
        <w:tabs>
          <w:tab w:val="left" w:pos="1459"/>
          <w:tab w:val="left" w:pos="1460"/>
        </w:tabs>
        <w:spacing w:before="145" w:line="364" w:lineRule="auto"/>
        <w:ind w:right="865" w:rightChars="0" w:firstLine="436" w:firstLineChars="200"/>
        <w:rPr>
          <w:color w:val="auto"/>
          <w:highlight w:val="none"/>
        </w:rPr>
      </w:pPr>
      <w:r>
        <w:rPr>
          <w:rFonts w:hint="eastAsia" w:ascii="Times New Roman" w:hAnsi="Times New Roman" w:cs="宋体"/>
          <w:color w:val="auto"/>
          <w:spacing w:val="-1"/>
          <w:w w:val="100"/>
          <w:kern w:val="2"/>
          <w:sz w:val="22"/>
          <w:szCs w:val="22"/>
          <w:highlight w:val="none"/>
          <w:lang w:val="en-US" w:eastAsia="zh-CN" w:bidi="ar-SA"/>
        </w:rPr>
        <w:t>7</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1</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2</w:t>
      </w:r>
      <w:r>
        <w:rPr>
          <w:rFonts w:hint="default" w:ascii="宋体" w:hAnsi="宋体" w:eastAsia="宋体" w:cs="宋体"/>
          <w:color w:val="auto"/>
          <w:spacing w:val="-1"/>
          <w:w w:val="100"/>
          <w:kern w:val="2"/>
          <w:sz w:val="22"/>
          <w:szCs w:val="22"/>
          <w:highlight w:val="none"/>
          <w:lang w:val="en-US" w:eastAsia="zh-CN" w:bidi="ar-SA"/>
        </w:rPr>
        <w:t>具体设计费用见下表</w:t>
      </w:r>
    </w:p>
    <w:p>
      <w:pPr>
        <w:pStyle w:val="17"/>
        <w:spacing w:before="3"/>
        <w:ind w:left="0"/>
        <w:rPr>
          <w:color w:val="auto"/>
          <w:sz w:val="19"/>
          <w:highlight w:val="none"/>
        </w:rPr>
      </w:pPr>
    </w:p>
    <w:p>
      <w:pPr>
        <w:pStyle w:val="13"/>
        <w:spacing w:after="16"/>
        <w:ind w:left="418"/>
        <w:jc w:val="center"/>
        <w:rPr>
          <w:color w:val="auto"/>
          <w:highlight w:val="none"/>
        </w:rPr>
      </w:pPr>
      <w:r>
        <w:rPr>
          <w:color w:val="auto"/>
          <w:highlight w:val="none"/>
        </w:rPr>
        <w:t>总包设计收费标准</w:t>
      </w:r>
    </w:p>
    <w:tbl>
      <w:tblPr>
        <w:tblStyle w:val="104"/>
        <w:tblW w:w="0" w:type="auto"/>
        <w:tblInd w:w="7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7"/>
        <w:gridCol w:w="938"/>
        <w:gridCol w:w="1466"/>
        <w:gridCol w:w="1755"/>
        <w:gridCol w:w="2216"/>
        <w:gridCol w:w="16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0" w:hRule="atLeast"/>
        </w:trPr>
        <w:tc>
          <w:tcPr>
            <w:tcW w:w="3091" w:type="dxa"/>
            <w:gridSpan w:val="3"/>
          </w:tcPr>
          <w:p>
            <w:pPr>
              <w:pStyle w:val="65"/>
              <w:spacing w:before="9"/>
              <w:rPr>
                <w:b/>
                <w:color w:val="auto"/>
                <w:sz w:val="20"/>
                <w:highlight w:val="none"/>
              </w:rPr>
            </w:pPr>
          </w:p>
          <w:p>
            <w:pPr>
              <w:pStyle w:val="65"/>
              <w:spacing w:before="1"/>
              <w:ind w:left="1102" w:right="1098"/>
              <w:jc w:val="center"/>
              <w:rPr>
                <w:color w:val="auto"/>
                <w:sz w:val="21"/>
                <w:highlight w:val="none"/>
              </w:rPr>
            </w:pPr>
            <w:r>
              <w:rPr>
                <w:color w:val="auto"/>
                <w:sz w:val="21"/>
                <w:highlight w:val="none"/>
              </w:rPr>
              <w:t>设计内容</w:t>
            </w:r>
          </w:p>
        </w:tc>
        <w:tc>
          <w:tcPr>
            <w:tcW w:w="1755" w:type="dxa"/>
          </w:tcPr>
          <w:p>
            <w:pPr>
              <w:pStyle w:val="65"/>
              <w:spacing w:before="64"/>
              <w:ind w:left="224" w:right="221"/>
              <w:jc w:val="center"/>
              <w:rPr>
                <w:color w:val="auto"/>
                <w:sz w:val="21"/>
                <w:highlight w:val="none"/>
              </w:rPr>
            </w:pPr>
            <w:r>
              <w:rPr>
                <w:color w:val="auto"/>
                <w:sz w:val="21"/>
                <w:highlight w:val="none"/>
              </w:rPr>
              <w:t>暂定建筑规模</w:t>
            </w:r>
          </w:p>
          <w:p>
            <w:pPr>
              <w:pStyle w:val="65"/>
              <w:spacing w:before="132"/>
              <w:ind w:left="224" w:right="216"/>
              <w:jc w:val="center"/>
              <w:rPr>
                <w:color w:val="auto"/>
                <w:sz w:val="21"/>
                <w:highlight w:val="none"/>
              </w:rPr>
            </w:pPr>
            <w:r>
              <w:rPr>
                <w:color w:val="auto"/>
                <w:sz w:val="21"/>
                <w:highlight w:val="none"/>
              </w:rPr>
              <w:t>（㎡）</w:t>
            </w:r>
          </w:p>
        </w:tc>
        <w:tc>
          <w:tcPr>
            <w:tcW w:w="2216" w:type="dxa"/>
          </w:tcPr>
          <w:p>
            <w:pPr>
              <w:pStyle w:val="65"/>
              <w:spacing w:before="64"/>
              <w:ind w:left="686"/>
              <w:rPr>
                <w:color w:val="auto"/>
                <w:sz w:val="21"/>
                <w:highlight w:val="none"/>
              </w:rPr>
            </w:pPr>
            <w:r>
              <w:rPr>
                <w:color w:val="auto"/>
                <w:sz w:val="21"/>
                <w:highlight w:val="none"/>
              </w:rPr>
              <w:t>综合单价</w:t>
            </w:r>
          </w:p>
          <w:p>
            <w:pPr>
              <w:pStyle w:val="65"/>
              <w:spacing w:before="132"/>
              <w:ind w:left="633"/>
              <w:rPr>
                <w:color w:val="auto"/>
                <w:sz w:val="21"/>
                <w:highlight w:val="none"/>
              </w:rPr>
            </w:pPr>
            <w:r>
              <w:rPr>
                <w:color w:val="auto"/>
                <w:sz w:val="21"/>
                <w:highlight w:val="none"/>
              </w:rPr>
              <w:t>（元/㎡）</w:t>
            </w:r>
          </w:p>
        </w:tc>
        <w:tc>
          <w:tcPr>
            <w:tcW w:w="1668" w:type="dxa"/>
          </w:tcPr>
          <w:p>
            <w:pPr>
              <w:pStyle w:val="65"/>
              <w:spacing w:before="9"/>
              <w:rPr>
                <w:b/>
                <w:color w:val="auto"/>
                <w:sz w:val="20"/>
                <w:highlight w:val="none"/>
              </w:rPr>
            </w:pPr>
          </w:p>
          <w:p>
            <w:pPr>
              <w:pStyle w:val="65"/>
              <w:spacing w:before="1"/>
              <w:ind w:left="308"/>
              <w:rPr>
                <w:color w:val="auto"/>
                <w:sz w:val="21"/>
                <w:highlight w:val="none"/>
              </w:rPr>
            </w:pPr>
            <w:r>
              <w:rPr>
                <w:color w:val="auto"/>
                <w:sz w:val="21"/>
                <w:highlight w:val="none"/>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091" w:type="dxa"/>
            <w:gridSpan w:val="3"/>
          </w:tcPr>
          <w:p>
            <w:pPr>
              <w:pStyle w:val="65"/>
              <w:spacing w:before="65"/>
              <w:ind w:left="1102" w:right="1098"/>
              <w:jc w:val="center"/>
              <w:rPr>
                <w:color w:val="auto"/>
                <w:sz w:val="21"/>
                <w:highlight w:val="none"/>
              </w:rPr>
            </w:pPr>
            <w:r>
              <w:rPr>
                <w:color w:val="auto"/>
                <w:sz w:val="21"/>
                <w:highlight w:val="none"/>
              </w:rPr>
              <w:t>设计总包</w:t>
            </w:r>
          </w:p>
        </w:tc>
        <w:tc>
          <w:tcPr>
            <w:tcW w:w="1755" w:type="dxa"/>
          </w:tcPr>
          <w:p>
            <w:pPr>
              <w:pStyle w:val="65"/>
              <w:spacing w:before="65"/>
              <w:ind w:left="224" w:right="215"/>
              <w:jc w:val="center"/>
              <w:rPr>
                <w:color w:val="auto"/>
                <w:sz w:val="21"/>
                <w:highlight w:val="none"/>
              </w:rPr>
            </w:pPr>
          </w:p>
        </w:tc>
        <w:tc>
          <w:tcPr>
            <w:tcW w:w="2216" w:type="dxa"/>
          </w:tcPr>
          <w:p>
            <w:pPr>
              <w:pStyle w:val="65"/>
              <w:rPr>
                <w:rFonts w:ascii="Times New Roman"/>
                <w:color w:val="auto"/>
                <w:sz w:val="20"/>
                <w:highlight w:val="none"/>
              </w:rPr>
            </w:pPr>
          </w:p>
        </w:tc>
        <w:tc>
          <w:tcPr>
            <w:tcW w:w="1668" w:type="dxa"/>
          </w:tcPr>
          <w:p>
            <w:pPr>
              <w:pStyle w:val="6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687" w:type="dxa"/>
            <w:vMerge w:val="restart"/>
          </w:tcPr>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spacing w:before="165"/>
              <w:ind w:left="132"/>
              <w:rPr>
                <w:color w:val="auto"/>
                <w:sz w:val="21"/>
                <w:highlight w:val="none"/>
              </w:rPr>
            </w:pPr>
            <w:r>
              <w:rPr>
                <w:color w:val="auto"/>
                <w:sz w:val="21"/>
                <w:highlight w:val="none"/>
              </w:rPr>
              <w:t>其中</w:t>
            </w:r>
          </w:p>
        </w:tc>
        <w:tc>
          <w:tcPr>
            <w:tcW w:w="2404" w:type="dxa"/>
            <w:gridSpan w:val="2"/>
          </w:tcPr>
          <w:p>
            <w:pPr>
              <w:pStyle w:val="65"/>
              <w:spacing w:before="66"/>
              <w:ind w:left="130" w:right="122"/>
              <w:jc w:val="center"/>
              <w:rPr>
                <w:color w:val="auto"/>
                <w:sz w:val="21"/>
                <w:highlight w:val="none"/>
              </w:rPr>
            </w:pPr>
            <w:r>
              <w:rPr>
                <w:color w:val="auto"/>
                <w:sz w:val="21"/>
                <w:highlight w:val="none"/>
              </w:rPr>
              <w:t>建筑设计</w:t>
            </w:r>
          </w:p>
          <w:p>
            <w:pPr>
              <w:pStyle w:val="65"/>
              <w:spacing w:before="31"/>
              <w:ind w:left="130" w:right="124"/>
              <w:jc w:val="center"/>
              <w:rPr>
                <w:color w:val="auto"/>
                <w:sz w:val="21"/>
                <w:highlight w:val="none"/>
                <w:lang w:eastAsia="zh-CN"/>
              </w:rPr>
            </w:pPr>
            <w:r>
              <w:rPr>
                <w:color w:val="auto"/>
                <w:sz w:val="21"/>
                <w:highlight w:val="none"/>
                <w:lang w:eastAsia="zh-CN"/>
              </w:rPr>
              <w:t>（方案至施工图设计）</w:t>
            </w:r>
          </w:p>
        </w:tc>
        <w:tc>
          <w:tcPr>
            <w:tcW w:w="1755" w:type="dxa"/>
          </w:tcPr>
          <w:p>
            <w:pPr>
              <w:pStyle w:val="65"/>
              <w:ind w:left="224" w:right="215"/>
              <w:jc w:val="center"/>
              <w:rPr>
                <w:color w:val="auto"/>
                <w:sz w:val="21"/>
                <w:highlight w:val="none"/>
                <w:lang w:eastAsia="zh-CN"/>
              </w:rPr>
            </w:pPr>
          </w:p>
        </w:tc>
        <w:tc>
          <w:tcPr>
            <w:tcW w:w="2216" w:type="dxa"/>
          </w:tcPr>
          <w:p>
            <w:pPr>
              <w:pStyle w:val="65"/>
              <w:rPr>
                <w:rFonts w:ascii="Times New Roman"/>
                <w:color w:val="auto"/>
                <w:sz w:val="20"/>
                <w:highlight w:val="none"/>
                <w:lang w:eastAsia="zh-CN"/>
              </w:rPr>
            </w:pPr>
          </w:p>
        </w:tc>
        <w:tc>
          <w:tcPr>
            <w:tcW w:w="1668" w:type="dxa"/>
          </w:tcPr>
          <w:p>
            <w:pPr>
              <w:pStyle w:val="65"/>
              <w:rPr>
                <w:rFonts w:ascii="Times New Roman"/>
                <w:color w:val="auto"/>
                <w:sz w:val="2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87" w:type="dxa"/>
            <w:vMerge w:val="continue"/>
            <w:tcBorders>
              <w:top w:val="nil"/>
            </w:tcBorders>
          </w:tcPr>
          <w:p>
            <w:pPr>
              <w:rPr>
                <w:color w:val="auto"/>
                <w:sz w:val="2"/>
                <w:szCs w:val="2"/>
                <w:highlight w:val="none"/>
                <w:lang w:eastAsia="zh-CN"/>
              </w:rPr>
            </w:pPr>
          </w:p>
        </w:tc>
        <w:tc>
          <w:tcPr>
            <w:tcW w:w="938" w:type="dxa"/>
            <w:vMerge w:val="restart"/>
          </w:tcPr>
          <w:p>
            <w:pPr>
              <w:pStyle w:val="65"/>
              <w:spacing w:before="6"/>
              <w:rPr>
                <w:b/>
                <w:color w:val="auto"/>
                <w:sz w:val="21"/>
                <w:highlight w:val="none"/>
                <w:lang w:eastAsia="zh-CN"/>
              </w:rPr>
            </w:pPr>
          </w:p>
          <w:p>
            <w:pPr>
              <w:pStyle w:val="65"/>
              <w:spacing w:line="357" w:lineRule="auto"/>
              <w:ind w:left="259" w:right="143" w:hanging="106"/>
              <w:rPr>
                <w:color w:val="auto"/>
                <w:sz w:val="21"/>
                <w:highlight w:val="none"/>
              </w:rPr>
            </w:pPr>
            <w:r>
              <w:rPr>
                <w:color w:val="auto"/>
                <w:sz w:val="21"/>
                <w:highlight w:val="none"/>
              </w:rPr>
              <w:t>精装修设计</w:t>
            </w:r>
          </w:p>
        </w:tc>
        <w:tc>
          <w:tcPr>
            <w:tcW w:w="1466" w:type="dxa"/>
          </w:tcPr>
          <w:p>
            <w:pPr>
              <w:pStyle w:val="65"/>
              <w:spacing w:before="64"/>
              <w:ind w:left="291" w:right="283"/>
              <w:jc w:val="center"/>
              <w:rPr>
                <w:color w:val="auto"/>
                <w:sz w:val="21"/>
                <w:highlight w:val="none"/>
              </w:rPr>
            </w:pPr>
            <w:r>
              <w:rPr>
                <w:color w:val="auto"/>
                <w:sz w:val="21"/>
                <w:highlight w:val="none"/>
              </w:rPr>
              <w:t>售楼处</w:t>
            </w:r>
          </w:p>
        </w:tc>
        <w:tc>
          <w:tcPr>
            <w:tcW w:w="1755" w:type="dxa"/>
          </w:tcPr>
          <w:p>
            <w:pPr>
              <w:pStyle w:val="65"/>
              <w:spacing w:before="64"/>
              <w:ind w:left="224" w:right="217"/>
              <w:jc w:val="center"/>
              <w:rPr>
                <w:color w:val="auto"/>
                <w:sz w:val="21"/>
                <w:highlight w:val="none"/>
              </w:rPr>
            </w:pPr>
          </w:p>
        </w:tc>
        <w:tc>
          <w:tcPr>
            <w:tcW w:w="2216" w:type="dxa"/>
          </w:tcPr>
          <w:p>
            <w:pPr>
              <w:pStyle w:val="65"/>
              <w:rPr>
                <w:rFonts w:ascii="Times New Roman"/>
                <w:color w:val="auto"/>
                <w:sz w:val="20"/>
                <w:highlight w:val="none"/>
              </w:rPr>
            </w:pPr>
          </w:p>
        </w:tc>
        <w:tc>
          <w:tcPr>
            <w:tcW w:w="1668" w:type="dxa"/>
          </w:tcPr>
          <w:p>
            <w:pPr>
              <w:pStyle w:val="6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87" w:type="dxa"/>
            <w:vMerge w:val="continue"/>
            <w:tcBorders>
              <w:top w:val="nil"/>
            </w:tcBorders>
          </w:tcPr>
          <w:p>
            <w:pPr>
              <w:rPr>
                <w:color w:val="auto"/>
                <w:sz w:val="2"/>
                <w:szCs w:val="2"/>
                <w:highlight w:val="none"/>
              </w:rPr>
            </w:pPr>
          </w:p>
        </w:tc>
        <w:tc>
          <w:tcPr>
            <w:tcW w:w="938" w:type="dxa"/>
            <w:vMerge w:val="continue"/>
            <w:tcBorders>
              <w:top w:val="nil"/>
            </w:tcBorders>
          </w:tcPr>
          <w:p>
            <w:pPr>
              <w:rPr>
                <w:color w:val="auto"/>
                <w:sz w:val="2"/>
                <w:szCs w:val="2"/>
                <w:highlight w:val="none"/>
              </w:rPr>
            </w:pPr>
          </w:p>
        </w:tc>
        <w:tc>
          <w:tcPr>
            <w:tcW w:w="1466" w:type="dxa"/>
          </w:tcPr>
          <w:p>
            <w:pPr>
              <w:pStyle w:val="65"/>
              <w:spacing w:before="64"/>
              <w:ind w:left="291" w:right="283"/>
              <w:jc w:val="center"/>
              <w:rPr>
                <w:color w:val="auto"/>
                <w:sz w:val="21"/>
                <w:highlight w:val="none"/>
              </w:rPr>
            </w:pPr>
            <w:r>
              <w:rPr>
                <w:color w:val="auto"/>
                <w:sz w:val="21"/>
                <w:highlight w:val="none"/>
              </w:rPr>
              <w:t>样板房</w:t>
            </w:r>
          </w:p>
        </w:tc>
        <w:tc>
          <w:tcPr>
            <w:tcW w:w="1755" w:type="dxa"/>
          </w:tcPr>
          <w:p>
            <w:pPr>
              <w:pStyle w:val="65"/>
              <w:spacing w:before="64"/>
              <w:ind w:left="224" w:right="212"/>
              <w:jc w:val="center"/>
              <w:rPr>
                <w:color w:val="auto"/>
                <w:sz w:val="21"/>
                <w:highlight w:val="none"/>
              </w:rPr>
            </w:pPr>
          </w:p>
        </w:tc>
        <w:tc>
          <w:tcPr>
            <w:tcW w:w="2216" w:type="dxa"/>
          </w:tcPr>
          <w:p>
            <w:pPr>
              <w:pStyle w:val="65"/>
              <w:rPr>
                <w:rFonts w:ascii="Times New Roman"/>
                <w:color w:val="auto"/>
                <w:sz w:val="20"/>
                <w:highlight w:val="none"/>
              </w:rPr>
            </w:pPr>
          </w:p>
        </w:tc>
        <w:tc>
          <w:tcPr>
            <w:tcW w:w="1668" w:type="dxa"/>
          </w:tcPr>
          <w:p>
            <w:pPr>
              <w:pStyle w:val="6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687" w:type="dxa"/>
            <w:vMerge w:val="continue"/>
            <w:tcBorders>
              <w:top w:val="nil"/>
            </w:tcBorders>
          </w:tcPr>
          <w:p>
            <w:pPr>
              <w:rPr>
                <w:color w:val="auto"/>
                <w:sz w:val="2"/>
                <w:szCs w:val="2"/>
                <w:highlight w:val="none"/>
              </w:rPr>
            </w:pPr>
          </w:p>
        </w:tc>
        <w:tc>
          <w:tcPr>
            <w:tcW w:w="938" w:type="dxa"/>
            <w:vMerge w:val="continue"/>
            <w:tcBorders>
              <w:top w:val="nil"/>
            </w:tcBorders>
          </w:tcPr>
          <w:p>
            <w:pPr>
              <w:rPr>
                <w:color w:val="auto"/>
                <w:sz w:val="2"/>
                <w:szCs w:val="2"/>
                <w:highlight w:val="none"/>
              </w:rPr>
            </w:pPr>
          </w:p>
        </w:tc>
        <w:tc>
          <w:tcPr>
            <w:tcW w:w="1466" w:type="dxa"/>
          </w:tcPr>
          <w:p>
            <w:pPr>
              <w:pStyle w:val="65"/>
              <w:spacing w:before="65"/>
              <w:ind w:left="291" w:right="285"/>
              <w:jc w:val="center"/>
              <w:rPr>
                <w:color w:val="auto"/>
                <w:sz w:val="21"/>
                <w:highlight w:val="none"/>
              </w:rPr>
            </w:pPr>
            <w:r>
              <w:rPr>
                <w:color w:val="auto"/>
                <w:sz w:val="21"/>
                <w:highlight w:val="none"/>
              </w:rPr>
              <w:t>其他公区</w:t>
            </w:r>
          </w:p>
        </w:tc>
        <w:tc>
          <w:tcPr>
            <w:tcW w:w="1755" w:type="dxa"/>
          </w:tcPr>
          <w:p>
            <w:pPr>
              <w:pStyle w:val="65"/>
              <w:spacing w:before="65"/>
              <w:ind w:left="224" w:right="217"/>
              <w:jc w:val="center"/>
              <w:rPr>
                <w:color w:val="auto"/>
                <w:sz w:val="21"/>
                <w:highlight w:val="none"/>
              </w:rPr>
            </w:pPr>
          </w:p>
        </w:tc>
        <w:tc>
          <w:tcPr>
            <w:tcW w:w="2216" w:type="dxa"/>
          </w:tcPr>
          <w:p>
            <w:pPr>
              <w:pStyle w:val="65"/>
              <w:rPr>
                <w:rFonts w:ascii="Times New Roman"/>
                <w:color w:val="auto"/>
                <w:sz w:val="20"/>
                <w:highlight w:val="none"/>
              </w:rPr>
            </w:pPr>
          </w:p>
        </w:tc>
        <w:tc>
          <w:tcPr>
            <w:tcW w:w="1668" w:type="dxa"/>
          </w:tcPr>
          <w:p>
            <w:pPr>
              <w:pStyle w:val="6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87" w:type="dxa"/>
            <w:vMerge w:val="continue"/>
            <w:tcBorders>
              <w:top w:val="nil"/>
            </w:tcBorders>
          </w:tcPr>
          <w:p>
            <w:pPr>
              <w:rPr>
                <w:color w:val="auto"/>
                <w:sz w:val="2"/>
                <w:szCs w:val="2"/>
                <w:highlight w:val="none"/>
              </w:rPr>
            </w:pPr>
          </w:p>
        </w:tc>
        <w:tc>
          <w:tcPr>
            <w:tcW w:w="2404" w:type="dxa"/>
            <w:gridSpan w:val="2"/>
          </w:tcPr>
          <w:p>
            <w:pPr>
              <w:pStyle w:val="65"/>
              <w:spacing w:before="65"/>
              <w:ind w:left="650"/>
              <w:rPr>
                <w:color w:val="auto"/>
                <w:sz w:val="21"/>
                <w:highlight w:val="none"/>
              </w:rPr>
            </w:pPr>
            <w:r>
              <w:rPr>
                <w:rFonts w:hint="eastAsia" w:ascii="Times New Roman" w:hAnsi="Times New Roman"/>
                <w:color w:val="auto"/>
                <w:sz w:val="21"/>
                <w:highlight w:val="none"/>
                <w:lang w:eastAsia="zh-CN"/>
              </w:rPr>
              <w:t>PC</w:t>
            </w:r>
            <w:r>
              <w:rPr>
                <w:color w:val="auto"/>
                <w:sz w:val="21"/>
                <w:highlight w:val="none"/>
              </w:rPr>
              <w:t xml:space="preserve"> 深化设计</w:t>
            </w:r>
          </w:p>
        </w:tc>
        <w:tc>
          <w:tcPr>
            <w:tcW w:w="1755" w:type="dxa"/>
          </w:tcPr>
          <w:p>
            <w:pPr>
              <w:pStyle w:val="65"/>
              <w:spacing w:before="65"/>
              <w:ind w:left="224" w:right="215"/>
              <w:jc w:val="center"/>
              <w:rPr>
                <w:color w:val="auto"/>
                <w:sz w:val="21"/>
                <w:highlight w:val="none"/>
              </w:rPr>
            </w:pPr>
          </w:p>
        </w:tc>
        <w:tc>
          <w:tcPr>
            <w:tcW w:w="2216" w:type="dxa"/>
          </w:tcPr>
          <w:p>
            <w:pPr>
              <w:pStyle w:val="65"/>
              <w:rPr>
                <w:rFonts w:ascii="Times New Roman"/>
                <w:color w:val="auto"/>
                <w:sz w:val="20"/>
                <w:highlight w:val="none"/>
              </w:rPr>
            </w:pPr>
          </w:p>
        </w:tc>
        <w:tc>
          <w:tcPr>
            <w:tcW w:w="1668" w:type="dxa"/>
          </w:tcPr>
          <w:p>
            <w:pPr>
              <w:pStyle w:val="6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87" w:type="dxa"/>
            <w:vMerge w:val="continue"/>
            <w:tcBorders>
              <w:top w:val="nil"/>
            </w:tcBorders>
          </w:tcPr>
          <w:p>
            <w:pPr>
              <w:rPr>
                <w:color w:val="auto"/>
                <w:sz w:val="2"/>
                <w:szCs w:val="2"/>
                <w:highlight w:val="none"/>
              </w:rPr>
            </w:pPr>
          </w:p>
        </w:tc>
        <w:tc>
          <w:tcPr>
            <w:tcW w:w="2404" w:type="dxa"/>
            <w:gridSpan w:val="2"/>
          </w:tcPr>
          <w:p>
            <w:pPr>
              <w:pStyle w:val="65"/>
              <w:spacing w:before="65"/>
              <w:ind w:left="782"/>
              <w:rPr>
                <w:color w:val="auto"/>
                <w:sz w:val="21"/>
                <w:highlight w:val="none"/>
              </w:rPr>
            </w:pPr>
            <w:r>
              <w:rPr>
                <w:color w:val="auto"/>
                <w:sz w:val="21"/>
                <w:highlight w:val="none"/>
              </w:rPr>
              <w:t>景观设计</w:t>
            </w:r>
          </w:p>
        </w:tc>
        <w:tc>
          <w:tcPr>
            <w:tcW w:w="1755" w:type="dxa"/>
          </w:tcPr>
          <w:p>
            <w:pPr>
              <w:pStyle w:val="65"/>
              <w:spacing w:before="65"/>
              <w:ind w:left="7"/>
              <w:jc w:val="center"/>
              <w:rPr>
                <w:color w:val="auto"/>
                <w:sz w:val="21"/>
                <w:highlight w:val="none"/>
              </w:rPr>
            </w:pPr>
          </w:p>
        </w:tc>
        <w:tc>
          <w:tcPr>
            <w:tcW w:w="2216" w:type="dxa"/>
          </w:tcPr>
          <w:p>
            <w:pPr>
              <w:pStyle w:val="65"/>
              <w:rPr>
                <w:rFonts w:ascii="Times New Roman"/>
                <w:color w:val="auto"/>
                <w:sz w:val="20"/>
                <w:highlight w:val="none"/>
              </w:rPr>
            </w:pPr>
          </w:p>
        </w:tc>
        <w:tc>
          <w:tcPr>
            <w:tcW w:w="1668" w:type="dxa"/>
          </w:tcPr>
          <w:p>
            <w:pPr>
              <w:pStyle w:val="6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87" w:type="dxa"/>
            <w:vMerge w:val="continue"/>
            <w:tcBorders>
              <w:top w:val="nil"/>
            </w:tcBorders>
          </w:tcPr>
          <w:p>
            <w:pPr>
              <w:rPr>
                <w:color w:val="auto"/>
                <w:sz w:val="2"/>
                <w:szCs w:val="2"/>
                <w:highlight w:val="none"/>
              </w:rPr>
            </w:pPr>
          </w:p>
        </w:tc>
        <w:tc>
          <w:tcPr>
            <w:tcW w:w="2404" w:type="dxa"/>
            <w:gridSpan w:val="2"/>
          </w:tcPr>
          <w:p>
            <w:pPr>
              <w:pStyle w:val="65"/>
              <w:spacing w:before="66"/>
              <w:ind w:left="571"/>
              <w:rPr>
                <w:color w:val="auto"/>
                <w:sz w:val="21"/>
                <w:highlight w:val="none"/>
              </w:rPr>
            </w:pPr>
            <w:r>
              <w:rPr>
                <w:color w:val="auto"/>
                <w:sz w:val="21"/>
                <w:highlight w:val="none"/>
              </w:rPr>
              <w:t>其他专项设计</w:t>
            </w:r>
          </w:p>
        </w:tc>
        <w:tc>
          <w:tcPr>
            <w:tcW w:w="1755" w:type="dxa"/>
          </w:tcPr>
          <w:p>
            <w:pPr>
              <w:pStyle w:val="65"/>
              <w:spacing w:before="66"/>
              <w:ind w:left="7"/>
              <w:jc w:val="center"/>
              <w:rPr>
                <w:color w:val="auto"/>
                <w:sz w:val="21"/>
                <w:highlight w:val="none"/>
              </w:rPr>
            </w:pPr>
            <w:r>
              <w:rPr>
                <w:color w:val="auto"/>
                <w:w w:val="99"/>
                <w:sz w:val="21"/>
                <w:highlight w:val="none"/>
              </w:rPr>
              <w:t>/</w:t>
            </w:r>
          </w:p>
        </w:tc>
        <w:tc>
          <w:tcPr>
            <w:tcW w:w="2216" w:type="dxa"/>
          </w:tcPr>
          <w:p>
            <w:pPr>
              <w:pStyle w:val="65"/>
              <w:rPr>
                <w:rFonts w:ascii="Times New Roman"/>
                <w:color w:val="auto"/>
                <w:sz w:val="20"/>
                <w:highlight w:val="none"/>
              </w:rPr>
            </w:pPr>
          </w:p>
        </w:tc>
        <w:tc>
          <w:tcPr>
            <w:tcW w:w="1668" w:type="dxa"/>
          </w:tcPr>
          <w:p>
            <w:pPr>
              <w:pStyle w:val="6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9" w:hRule="atLeast"/>
        </w:trPr>
        <w:tc>
          <w:tcPr>
            <w:tcW w:w="8730" w:type="dxa"/>
            <w:gridSpan w:val="6"/>
          </w:tcPr>
          <w:p>
            <w:pPr>
              <w:pStyle w:val="65"/>
              <w:spacing w:before="109"/>
              <w:ind w:left="108"/>
              <w:rPr>
                <w:color w:val="auto"/>
                <w:sz w:val="21"/>
                <w:highlight w:val="none"/>
              </w:rPr>
            </w:pPr>
            <w:r>
              <w:rPr>
                <w:color w:val="auto"/>
                <w:sz w:val="21"/>
                <w:highlight w:val="none"/>
              </w:rPr>
              <w:t>说明：</w:t>
            </w:r>
          </w:p>
          <w:p>
            <w:pPr>
              <w:pStyle w:val="65"/>
              <w:numPr>
                <w:ilvl w:val="0"/>
                <w:numId w:val="0"/>
              </w:numPr>
              <w:tabs>
                <w:tab w:val="left" w:pos="633"/>
                <w:tab w:val="left" w:pos="3991"/>
              </w:tabs>
              <w:spacing w:before="132"/>
              <w:ind w:left="632" w:leftChars="0" w:hanging="525" w:firstLineChars="0"/>
              <w:rPr>
                <w:color w:val="auto"/>
                <w:sz w:val="21"/>
                <w:highlight w:val="none"/>
                <w:lang w:eastAsia="zh-CN"/>
              </w:rPr>
            </w:pPr>
            <w:r>
              <w:rPr>
                <w:rFonts w:hint="default" w:ascii="宋体" w:hAnsi="宋体" w:eastAsia="宋体" w:cs="宋体"/>
                <w:color w:val="auto"/>
                <w:spacing w:val="-1"/>
                <w:w w:val="99"/>
                <w:kern w:val="0"/>
                <w:sz w:val="19"/>
                <w:szCs w:val="19"/>
                <w:highlight w:val="none"/>
                <w:lang w:val="en-US" w:eastAsia="zh-CN" w:bidi="ar-SA"/>
              </w:rPr>
              <w:t>（1）</w:t>
            </w:r>
            <w:r>
              <w:rPr>
                <w:color w:val="auto"/>
                <w:sz w:val="21"/>
                <w:highlight w:val="none"/>
                <w:lang w:eastAsia="zh-CN"/>
              </w:rPr>
              <w:t>本项目设计范围为</w:t>
            </w:r>
            <w:r>
              <w:rPr>
                <w:color w:val="auto"/>
                <w:sz w:val="21"/>
                <w:highlight w:val="none"/>
                <w:u w:val="single"/>
                <w:lang w:eastAsia="zh-CN"/>
              </w:rPr>
              <w:t xml:space="preserve"> </w:t>
            </w:r>
            <w:r>
              <w:rPr>
                <w:color w:val="auto"/>
                <w:sz w:val="21"/>
                <w:highlight w:val="none"/>
                <w:u w:val="single"/>
                <w:lang w:eastAsia="zh-CN"/>
              </w:rPr>
              <w:tab/>
            </w:r>
            <w:r>
              <w:rPr>
                <w:color w:val="auto"/>
                <w:sz w:val="21"/>
                <w:highlight w:val="none"/>
                <w:lang w:eastAsia="zh-CN"/>
              </w:rPr>
              <w:t>项目设计总包及基于相关专利的咨询和技术服务。</w:t>
            </w:r>
          </w:p>
          <w:p>
            <w:pPr>
              <w:pStyle w:val="65"/>
              <w:numPr>
                <w:ilvl w:val="0"/>
                <w:numId w:val="0"/>
              </w:numPr>
              <w:tabs>
                <w:tab w:val="left" w:pos="633"/>
              </w:tabs>
              <w:spacing w:before="132" w:line="357" w:lineRule="auto"/>
              <w:ind w:left="108" w:leftChars="0" w:right="104" w:rightChars="0" w:firstLine="0" w:firstLineChars="0"/>
              <w:rPr>
                <w:color w:val="auto"/>
                <w:sz w:val="21"/>
                <w:highlight w:val="none"/>
                <w:lang w:eastAsia="zh-CN"/>
              </w:rPr>
            </w:pPr>
            <w:r>
              <w:rPr>
                <w:rFonts w:hint="default" w:ascii="宋体" w:hAnsi="宋体" w:eastAsia="宋体" w:cs="宋体"/>
                <w:color w:val="auto"/>
                <w:spacing w:val="-1"/>
                <w:w w:val="99"/>
                <w:kern w:val="0"/>
                <w:sz w:val="19"/>
                <w:szCs w:val="19"/>
                <w:highlight w:val="none"/>
                <w:lang w:val="en-US" w:eastAsia="zh-CN" w:bidi="ar-SA"/>
              </w:rPr>
              <w:t>（2）</w:t>
            </w:r>
            <w:r>
              <w:rPr>
                <w:color w:val="auto"/>
                <w:w w:val="95"/>
                <w:sz w:val="21"/>
                <w:highlight w:val="none"/>
                <w:lang w:eastAsia="zh-CN"/>
              </w:rPr>
              <w:t>专项设计包括：精装修设计、景观设计、幕墙门窗深化设计、人防设计、基坑围护、</w:t>
            </w:r>
            <w:r>
              <w:rPr>
                <w:rFonts w:hint="eastAsia" w:ascii="Times New Roman" w:hAnsi="Times New Roman"/>
                <w:color w:val="auto"/>
                <w:w w:val="95"/>
                <w:sz w:val="21"/>
                <w:highlight w:val="none"/>
                <w:lang w:eastAsia="zh-CN"/>
              </w:rPr>
              <w:t>PC</w:t>
            </w:r>
            <w:r>
              <w:rPr>
                <w:color w:val="auto"/>
                <w:w w:val="95"/>
                <w:sz w:val="21"/>
                <w:highlight w:val="none"/>
                <w:lang w:eastAsia="zh-CN"/>
              </w:rPr>
              <w:t xml:space="preserve">  </w:t>
            </w:r>
            <w:r>
              <w:rPr>
                <w:color w:val="auto"/>
                <w:sz w:val="21"/>
                <w:highlight w:val="none"/>
                <w:lang w:eastAsia="zh-CN"/>
              </w:rPr>
              <w:t>深化设计、钢结构设计（如有）、抗震支架及抗震设计审查（如有）、弱电智能化设计、室外管线及综合设计、</w:t>
            </w:r>
            <w:r>
              <w:rPr>
                <w:rFonts w:hint="eastAsia" w:ascii="Times New Roman" w:hAnsi="Times New Roman"/>
                <w:color w:val="auto"/>
                <w:sz w:val="21"/>
                <w:highlight w:val="none"/>
                <w:lang w:eastAsia="zh-CN"/>
              </w:rPr>
              <w:t>BIM</w:t>
            </w:r>
            <w:r>
              <w:rPr>
                <w:color w:val="auto"/>
                <w:spacing w:val="-8"/>
                <w:sz w:val="21"/>
                <w:highlight w:val="none"/>
                <w:lang w:eastAsia="zh-CN"/>
              </w:rPr>
              <w:t xml:space="preserve"> 设计、设计概算、泛光照明设计、标识标牌设计</w:t>
            </w:r>
            <w:r>
              <w:rPr>
                <w:color w:val="auto"/>
                <w:sz w:val="21"/>
                <w:highlight w:val="none"/>
                <w:lang w:eastAsia="zh-CN"/>
              </w:rPr>
              <w:t>（含地库划线）、海绵城市设计、绿色建筑设计及环评、交评</w:t>
            </w:r>
            <w:r>
              <w:rPr>
                <w:rFonts w:hint="eastAsia"/>
                <w:color w:val="auto"/>
                <w:sz w:val="21"/>
                <w:highlight w:val="none"/>
                <w:lang w:eastAsia="zh-CN"/>
              </w:rPr>
              <w:t>、能评、日照分析报告等</w:t>
            </w:r>
            <w:r>
              <w:rPr>
                <w:color w:val="auto"/>
                <w:sz w:val="21"/>
                <w:highlight w:val="none"/>
                <w:lang w:eastAsia="zh-CN"/>
              </w:rPr>
              <w:t>。</w:t>
            </w:r>
          </w:p>
          <w:p>
            <w:pPr>
              <w:pStyle w:val="65"/>
              <w:numPr>
                <w:ilvl w:val="0"/>
                <w:numId w:val="0"/>
              </w:numPr>
              <w:tabs>
                <w:tab w:val="left" w:pos="633"/>
              </w:tabs>
              <w:spacing w:line="357" w:lineRule="auto"/>
              <w:ind w:left="108" w:leftChars="0" w:right="106" w:rightChars="0" w:firstLine="0" w:firstLineChars="0"/>
              <w:rPr>
                <w:color w:val="auto"/>
                <w:sz w:val="21"/>
                <w:highlight w:val="none"/>
                <w:lang w:eastAsia="zh-CN"/>
              </w:rPr>
            </w:pPr>
            <w:r>
              <w:rPr>
                <w:rFonts w:hint="default" w:ascii="宋体" w:hAnsi="宋体" w:eastAsia="宋体" w:cs="宋体"/>
                <w:color w:val="auto"/>
                <w:spacing w:val="-1"/>
                <w:w w:val="99"/>
                <w:kern w:val="0"/>
                <w:sz w:val="19"/>
                <w:szCs w:val="19"/>
                <w:highlight w:val="none"/>
                <w:lang w:val="en-US" w:eastAsia="zh-CN" w:bidi="ar-SA"/>
              </w:rPr>
              <w:t>（3）</w:t>
            </w:r>
            <w:r>
              <w:rPr>
                <w:color w:val="auto"/>
                <w:w w:val="95"/>
                <w:sz w:val="21"/>
                <w:highlight w:val="none"/>
                <w:lang w:eastAsia="zh-CN"/>
              </w:rPr>
              <w:t xml:space="preserve">专项设计不包含：勘察设计、项目能源规划、公用变电站、换热站、红线外道路设计、  </w:t>
            </w:r>
            <w:r>
              <w:rPr>
                <w:color w:val="auto"/>
                <w:sz w:val="21"/>
                <w:highlight w:val="none"/>
                <w:lang w:eastAsia="zh-CN"/>
              </w:rPr>
              <w:t>施工图预算、竣工图编制等，以及当地行业主管部门有特殊要求的设计内容</w:t>
            </w:r>
            <w:r>
              <w:rPr>
                <w:rFonts w:hint="eastAsia"/>
                <w:color w:val="auto"/>
                <w:sz w:val="21"/>
                <w:highlight w:val="none"/>
                <w:lang w:eastAsia="zh-CN"/>
              </w:rPr>
              <w:t>（如自来水、电力、</w:t>
            </w:r>
            <w:bookmarkStart w:id="216" w:name="_GoBack"/>
            <w:bookmarkEnd w:id="216"/>
            <w:r>
              <w:rPr>
                <w:rFonts w:hint="eastAsia"/>
                <w:color w:val="auto"/>
                <w:sz w:val="21"/>
                <w:highlight w:val="none"/>
                <w:lang w:eastAsia="zh-CN"/>
              </w:rPr>
              <w:t>燃气、通讯、数字电视配线等）</w:t>
            </w:r>
            <w:r>
              <w:rPr>
                <w:color w:val="auto"/>
                <w:sz w:val="21"/>
                <w:highlight w:val="none"/>
                <w:lang w:eastAsia="zh-CN"/>
              </w:rPr>
              <w:t>。除（</w:t>
            </w:r>
            <w:r>
              <w:rPr>
                <w:rFonts w:hint="eastAsia" w:ascii="Times New Roman" w:hAnsi="Times New Roman"/>
                <w:color w:val="auto"/>
                <w:sz w:val="21"/>
                <w:highlight w:val="none"/>
                <w:lang w:eastAsia="zh-CN"/>
              </w:rPr>
              <w:t>3</w:t>
            </w:r>
            <w:r>
              <w:rPr>
                <w:color w:val="auto"/>
                <w:sz w:val="21"/>
                <w:highlight w:val="none"/>
                <w:lang w:eastAsia="zh-CN"/>
              </w:rPr>
              <w:t>）专项设计的工作不含在本合同的服务范围内 外，其余专项设计均包含在本合同服务范围内。</w:t>
            </w:r>
          </w:p>
          <w:p>
            <w:pPr>
              <w:pStyle w:val="65"/>
              <w:numPr>
                <w:ilvl w:val="0"/>
                <w:numId w:val="0"/>
              </w:numPr>
              <w:tabs>
                <w:tab w:val="left" w:pos="633"/>
              </w:tabs>
              <w:spacing w:line="357" w:lineRule="auto"/>
              <w:ind w:left="108" w:leftChars="0" w:right="106" w:rightChars="0" w:firstLine="0" w:firstLineChars="0"/>
              <w:rPr>
                <w:color w:val="auto"/>
                <w:sz w:val="21"/>
                <w:highlight w:val="none"/>
              </w:rPr>
            </w:pPr>
            <w:r>
              <w:rPr>
                <w:rFonts w:hint="default" w:ascii="宋体" w:hAnsi="宋体" w:eastAsia="宋体" w:cs="宋体"/>
                <w:color w:val="auto"/>
                <w:spacing w:val="-1"/>
                <w:w w:val="99"/>
                <w:kern w:val="0"/>
                <w:sz w:val="19"/>
                <w:szCs w:val="19"/>
                <w:highlight w:val="none"/>
                <w:lang w:val="en-US" w:eastAsia="zh-CN" w:bidi="ar-SA"/>
              </w:rPr>
              <w:t>（4）</w:t>
            </w:r>
            <w:r>
              <w:rPr>
                <w:color w:val="auto"/>
                <w:w w:val="95"/>
                <w:sz w:val="21"/>
                <w:highlight w:val="none"/>
                <w:lang w:eastAsia="zh-CN"/>
              </w:rPr>
              <w:t>关于设计费的结算：本项目总包设计费为暂定，实际总包设计费用根据</w:t>
            </w:r>
            <w:r>
              <w:rPr>
                <w:rFonts w:hint="eastAsia"/>
                <w:color w:val="auto"/>
                <w:w w:val="95"/>
                <w:sz w:val="21"/>
                <w:highlight w:val="none"/>
                <w:lang w:eastAsia="zh-CN"/>
              </w:rPr>
              <w:t>规划许可证正本核准的</w:t>
            </w:r>
            <w:r>
              <w:rPr>
                <w:color w:val="auto"/>
                <w:sz w:val="21"/>
                <w:highlight w:val="none"/>
                <w:lang w:eastAsia="zh-CN"/>
              </w:rPr>
              <w:t>建筑面积（包含地上和地下建筑面积）及建筑设计综合单价结算建筑设计费总价；精装修设计、</w:t>
            </w:r>
            <w:r>
              <w:rPr>
                <w:rFonts w:hint="eastAsia" w:ascii="Times New Roman" w:hAnsi="Times New Roman"/>
                <w:color w:val="auto"/>
                <w:sz w:val="21"/>
                <w:highlight w:val="none"/>
                <w:lang w:eastAsia="zh-CN"/>
              </w:rPr>
              <w:t>PC</w:t>
            </w:r>
            <w:r>
              <w:rPr>
                <w:color w:val="auto"/>
                <w:spacing w:val="-8"/>
                <w:sz w:val="21"/>
                <w:highlight w:val="none"/>
                <w:lang w:eastAsia="zh-CN"/>
              </w:rPr>
              <w:t xml:space="preserve"> 深化设计根据实际设计面积据实结算；景观及其他专项设计为包干价，不再按实结</w:t>
            </w:r>
            <w:r>
              <w:rPr>
                <w:color w:val="auto"/>
                <w:sz w:val="21"/>
                <w:highlight w:val="none"/>
              </w:rPr>
              <w:t>算。</w:t>
            </w:r>
          </w:p>
        </w:tc>
      </w:tr>
    </w:tbl>
    <w:p>
      <w:pPr>
        <w:pStyle w:val="90"/>
        <w:numPr>
          <w:ilvl w:val="1"/>
          <w:numId w:val="0"/>
        </w:numPr>
        <w:tabs>
          <w:tab w:val="left" w:pos="1460"/>
        </w:tabs>
        <w:spacing w:before="101" w:line="340" w:lineRule="auto"/>
        <w:ind w:right="887" w:rightChars="0" w:firstLine="436" w:firstLineChars="200"/>
        <w:jc w:val="both"/>
        <w:rPr>
          <w:color w:val="auto"/>
          <w:highlight w:val="none"/>
          <w:lang w:eastAsia="zh-CN"/>
        </w:rPr>
      </w:pPr>
      <w:r>
        <w:rPr>
          <w:rFonts w:hint="eastAsia" w:ascii="Times New Roman" w:hAnsi="Times New Roman" w:cs="宋体"/>
          <w:color w:val="auto"/>
          <w:spacing w:val="-1"/>
          <w:w w:val="100"/>
          <w:kern w:val="2"/>
          <w:sz w:val="22"/>
          <w:szCs w:val="22"/>
          <w:highlight w:val="none"/>
          <w:lang w:val="en-US" w:eastAsia="zh-CN" w:bidi="ar-SA"/>
        </w:rPr>
        <w:t>7</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1</w:t>
      </w:r>
      <w:r>
        <w:rPr>
          <w:color w:val="auto"/>
          <w:spacing w:val="-3"/>
          <w:highlight w:val="none"/>
          <w:lang w:eastAsia="zh-CN"/>
        </w:rPr>
        <w:t>除本合同另有约定外，甲方无需再向乙方支付任何其他费用，甲方支付的本合同价款已经包括乙方在项目设计至审批通过整个过程以及施工配合等为履行本合同过程中所发生的以下各项费用：</w:t>
      </w:r>
    </w:p>
    <w:p>
      <w:pPr>
        <w:pStyle w:val="90"/>
        <w:numPr>
          <w:ilvl w:val="0"/>
          <w:numId w:val="0"/>
        </w:numPr>
        <w:tabs>
          <w:tab w:val="left" w:pos="1529"/>
        </w:tabs>
        <w:spacing w:line="281" w:lineRule="exact"/>
        <w:ind w:firstLine="428" w:firstLineChars="200"/>
        <w:jc w:val="both"/>
        <w:rPr>
          <w:color w:val="auto"/>
          <w:highlight w:val="none"/>
        </w:rPr>
      </w:pPr>
      <w:r>
        <w:rPr>
          <w:rFonts w:hint="default" w:ascii="宋体" w:hAnsi="宋体" w:eastAsia="宋体" w:cs="宋体"/>
          <w:color w:val="auto"/>
          <w:spacing w:val="-3"/>
          <w:w w:val="100"/>
          <w:kern w:val="2"/>
          <w:sz w:val="22"/>
          <w:szCs w:val="22"/>
          <w:highlight w:val="none"/>
          <w:lang w:val="en-US" w:eastAsia="zh-CN" w:bidi="ar-SA"/>
        </w:rPr>
        <w:t>（</w:t>
      </w:r>
      <w:r>
        <w:rPr>
          <w:rFonts w:hint="eastAsia" w:ascii="Times New Roman" w:hAnsi="Times New Roman" w:cs="宋体"/>
          <w:color w:val="auto"/>
          <w:spacing w:val="-3"/>
          <w:w w:val="100"/>
          <w:kern w:val="2"/>
          <w:sz w:val="22"/>
          <w:szCs w:val="22"/>
          <w:highlight w:val="none"/>
          <w:lang w:val="en-US" w:eastAsia="zh-CN" w:bidi="ar-SA"/>
        </w:rPr>
        <w:t>1</w:t>
      </w:r>
      <w:r>
        <w:rPr>
          <w:rFonts w:hint="default" w:ascii="宋体" w:hAnsi="宋体" w:eastAsia="宋体" w:cs="宋体"/>
          <w:color w:val="auto"/>
          <w:spacing w:val="-3"/>
          <w:w w:val="100"/>
          <w:kern w:val="2"/>
          <w:sz w:val="22"/>
          <w:szCs w:val="22"/>
          <w:highlight w:val="none"/>
          <w:lang w:val="en-US" w:eastAsia="zh-CN" w:bidi="ar-SA"/>
        </w:rPr>
        <w:t>）</w:t>
      </w:r>
      <w:r>
        <w:rPr>
          <w:color w:val="auto"/>
          <w:spacing w:val="-3"/>
          <w:highlight w:val="none"/>
        </w:rPr>
        <w:t>乙方的设计报酬；</w:t>
      </w:r>
    </w:p>
    <w:p>
      <w:pPr>
        <w:pStyle w:val="90"/>
        <w:numPr>
          <w:ilvl w:val="0"/>
          <w:numId w:val="0"/>
        </w:numPr>
        <w:tabs>
          <w:tab w:val="left" w:pos="1529"/>
        </w:tabs>
        <w:spacing w:before="119"/>
        <w:ind w:firstLine="214" w:firstLineChars="100"/>
        <w:jc w:val="both"/>
        <w:rPr>
          <w:color w:val="auto"/>
          <w:highlight w:val="none"/>
          <w:lang w:eastAsia="zh-CN"/>
        </w:rPr>
      </w:pPr>
      <w:r>
        <w:rPr>
          <w:rFonts w:hint="default" w:ascii="宋体" w:hAnsi="宋体" w:eastAsia="宋体" w:cs="宋体"/>
          <w:color w:val="auto"/>
          <w:spacing w:val="-3"/>
          <w:w w:val="100"/>
          <w:kern w:val="2"/>
          <w:sz w:val="22"/>
          <w:szCs w:val="22"/>
          <w:highlight w:val="none"/>
          <w:lang w:val="en-US" w:eastAsia="zh-CN" w:bidi="ar-SA"/>
        </w:rPr>
        <w:t>（</w:t>
      </w:r>
      <w:r>
        <w:rPr>
          <w:rFonts w:hint="eastAsia" w:ascii="Times New Roman" w:hAnsi="Times New Roman" w:cs="宋体"/>
          <w:color w:val="auto"/>
          <w:spacing w:val="-3"/>
          <w:w w:val="100"/>
          <w:kern w:val="2"/>
          <w:sz w:val="22"/>
          <w:szCs w:val="22"/>
          <w:highlight w:val="none"/>
          <w:lang w:val="en-US" w:eastAsia="zh-CN" w:bidi="ar-SA"/>
        </w:rPr>
        <w:t>2</w:t>
      </w:r>
      <w:r>
        <w:rPr>
          <w:rFonts w:hint="default" w:ascii="宋体" w:hAnsi="宋体" w:eastAsia="宋体" w:cs="宋体"/>
          <w:color w:val="auto"/>
          <w:spacing w:val="-3"/>
          <w:w w:val="100"/>
          <w:kern w:val="2"/>
          <w:sz w:val="22"/>
          <w:szCs w:val="22"/>
          <w:highlight w:val="none"/>
          <w:lang w:val="en-US" w:eastAsia="zh-CN" w:bidi="ar-SA"/>
        </w:rPr>
        <w:t>）</w:t>
      </w:r>
      <w:r>
        <w:rPr>
          <w:color w:val="auto"/>
          <w:spacing w:val="-3"/>
          <w:highlight w:val="none"/>
          <w:lang w:eastAsia="zh-CN"/>
        </w:rPr>
        <w:t>在本项目设计过程中，乙方为履行其职责，参加项目各项会议、现场踩勘发生的</w:t>
      </w:r>
      <w:r>
        <w:rPr>
          <w:color w:val="auto"/>
          <w:highlight w:val="none"/>
          <w:lang w:eastAsia="zh-CN"/>
        </w:rPr>
        <w:t>人工费、交通费、差旅费等全部费用，以及提供招标采购技术支持等的全部费用；</w:t>
      </w:r>
    </w:p>
    <w:p>
      <w:pPr>
        <w:pStyle w:val="90"/>
        <w:numPr>
          <w:ilvl w:val="1"/>
          <w:numId w:val="0"/>
        </w:numPr>
        <w:tabs>
          <w:tab w:val="left" w:pos="1460"/>
        </w:tabs>
        <w:spacing w:before="101" w:line="340" w:lineRule="auto"/>
        <w:ind w:right="887" w:rightChars="0" w:firstLine="436" w:firstLineChars="200"/>
        <w:jc w:val="both"/>
        <w:rPr>
          <w:rFonts w:hint="default" w:ascii="宋体" w:hAnsi="宋体" w:eastAsia="宋体" w:cs="宋体"/>
          <w:color w:val="auto"/>
          <w:spacing w:val="-1"/>
          <w:w w:val="100"/>
          <w:kern w:val="2"/>
          <w:sz w:val="22"/>
          <w:szCs w:val="22"/>
          <w:highlight w:val="none"/>
          <w:lang w:val="en-US" w:eastAsia="zh-CN" w:bidi="ar-SA"/>
        </w:rPr>
      </w:pP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3</w:t>
      </w:r>
      <w:r>
        <w:rPr>
          <w:rFonts w:hint="default" w:ascii="宋体" w:hAnsi="宋体" w:eastAsia="宋体" w:cs="宋体"/>
          <w:color w:val="auto"/>
          <w:spacing w:val="-1"/>
          <w:w w:val="100"/>
          <w:kern w:val="2"/>
          <w:sz w:val="22"/>
          <w:szCs w:val="22"/>
          <w:highlight w:val="none"/>
          <w:lang w:val="en-US" w:eastAsia="zh-CN" w:bidi="ar-SA"/>
        </w:rPr>
        <w:t>）乙方在履行本合同中应向国家税务部门缴纳的全部相关税费；</w:t>
      </w:r>
    </w:p>
    <w:p>
      <w:pPr>
        <w:pStyle w:val="90"/>
        <w:numPr>
          <w:ilvl w:val="1"/>
          <w:numId w:val="0"/>
        </w:numPr>
        <w:tabs>
          <w:tab w:val="left" w:pos="1460"/>
        </w:tabs>
        <w:spacing w:before="101" w:line="340" w:lineRule="auto"/>
        <w:ind w:right="887" w:rightChars="0" w:firstLine="436" w:firstLineChars="200"/>
        <w:jc w:val="both"/>
        <w:rPr>
          <w:rFonts w:hint="default" w:ascii="宋体" w:hAnsi="宋体" w:eastAsia="宋体" w:cs="宋体"/>
          <w:color w:val="auto"/>
          <w:spacing w:val="-1"/>
          <w:w w:val="100"/>
          <w:kern w:val="2"/>
          <w:sz w:val="22"/>
          <w:szCs w:val="22"/>
          <w:highlight w:val="none"/>
          <w:lang w:val="en-US" w:eastAsia="zh-CN" w:bidi="ar-SA"/>
        </w:rPr>
      </w:pP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4</w:t>
      </w:r>
      <w:r>
        <w:rPr>
          <w:rFonts w:hint="default" w:ascii="宋体" w:hAnsi="宋体" w:eastAsia="宋体" w:cs="宋体"/>
          <w:color w:val="auto"/>
          <w:spacing w:val="-1"/>
          <w:w w:val="100"/>
          <w:kern w:val="2"/>
          <w:sz w:val="22"/>
          <w:szCs w:val="22"/>
          <w:highlight w:val="none"/>
          <w:lang w:val="en-US" w:eastAsia="zh-CN" w:bidi="ar-SA"/>
        </w:rPr>
        <w:t>）本合同约定的项目设计各阶段设计文件的纸张费、印刷费和晒图费等，具体份数详见附件三；</w:t>
      </w:r>
    </w:p>
    <w:p>
      <w:pPr>
        <w:pStyle w:val="90"/>
        <w:numPr>
          <w:ilvl w:val="1"/>
          <w:numId w:val="0"/>
        </w:numPr>
        <w:tabs>
          <w:tab w:val="left" w:pos="1460"/>
        </w:tabs>
        <w:spacing w:before="101" w:line="340" w:lineRule="auto"/>
        <w:ind w:right="887" w:rightChars="0" w:firstLine="436" w:firstLineChars="200"/>
        <w:jc w:val="both"/>
        <w:rPr>
          <w:rFonts w:hint="default" w:ascii="宋体" w:hAnsi="宋体" w:eastAsia="宋体" w:cs="宋体"/>
          <w:color w:val="auto"/>
          <w:spacing w:val="-1"/>
          <w:w w:val="100"/>
          <w:kern w:val="2"/>
          <w:sz w:val="22"/>
          <w:szCs w:val="22"/>
          <w:highlight w:val="none"/>
          <w:lang w:val="en-US" w:eastAsia="zh-CN" w:bidi="ar-SA"/>
        </w:rPr>
      </w:pP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5</w:t>
      </w:r>
      <w:r>
        <w:rPr>
          <w:rFonts w:hint="default" w:ascii="宋体" w:hAnsi="宋体" w:eastAsia="宋体" w:cs="宋体"/>
          <w:color w:val="auto"/>
          <w:spacing w:val="-1"/>
          <w:w w:val="100"/>
          <w:kern w:val="2"/>
          <w:sz w:val="22"/>
          <w:szCs w:val="22"/>
          <w:highlight w:val="none"/>
          <w:lang w:val="en-US" w:eastAsia="zh-CN" w:bidi="ar-SA"/>
        </w:rPr>
        <w:t>）有关影印、购买文件、资料、记录的费用及各种通讯费用等；</w:t>
      </w:r>
    </w:p>
    <w:p>
      <w:pPr>
        <w:pStyle w:val="90"/>
        <w:numPr>
          <w:ilvl w:val="1"/>
          <w:numId w:val="0"/>
        </w:numPr>
        <w:tabs>
          <w:tab w:val="left" w:pos="1460"/>
        </w:tabs>
        <w:spacing w:before="101" w:line="340" w:lineRule="auto"/>
        <w:ind w:right="887" w:rightChars="0" w:firstLine="436" w:firstLineChars="200"/>
        <w:jc w:val="both"/>
        <w:rPr>
          <w:rFonts w:hint="default" w:ascii="宋体" w:hAnsi="宋体" w:eastAsia="宋体" w:cs="宋体"/>
          <w:color w:val="auto"/>
          <w:spacing w:val="-1"/>
          <w:w w:val="100"/>
          <w:kern w:val="2"/>
          <w:sz w:val="22"/>
          <w:szCs w:val="22"/>
          <w:highlight w:val="none"/>
          <w:lang w:val="en-US" w:eastAsia="zh-CN" w:bidi="ar-SA"/>
        </w:rPr>
      </w:pP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6</w:t>
      </w:r>
      <w:r>
        <w:rPr>
          <w:rFonts w:hint="default" w:ascii="宋体" w:hAnsi="宋体" w:eastAsia="宋体" w:cs="宋体"/>
          <w:color w:val="auto"/>
          <w:spacing w:val="-1"/>
          <w:w w:val="100"/>
          <w:kern w:val="2"/>
          <w:sz w:val="22"/>
          <w:szCs w:val="22"/>
          <w:highlight w:val="none"/>
          <w:lang w:val="en-US" w:eastAsia="zh-CN" w:bidi="ar-SA"/>
        </w:rPr>
        <w:t>）乙方和其他协作单位设计配合、协调报批和咨询等全部工作的费用；</w:t>
      </w:r>
    </w:p>
    <w:p>
      <w:pPr>
        <w:pStyle w:val="90"/>
        <w:numPr>
          <w:ilvl w:val="1"/>
          <w:numId w:val="0"/>
        </w:numPr>
        <w:tabs>
          <w:tab w:val="left" w:pos="1460"/>
        </w:tabs>
        <w:spacing w:before="101" w:line="340" w:lineRule="auto"/>
        <w:ind w:right="887" w:rightChars="0" w:firstLine="436" w:firstLineChars="200"/>
        <w:jc w:val="both"/>
        <w:rPr>
          <w:rFonts w:hint="default" w:ascii="宋体" w:hAnsi="宋体" w:eastAsia="宋体" w:cs="宋体"/>
          <w:color w:val="auto"/>
          <w:spacing w:val="-1"/>
          <w:w w:val="100"/>
          <w:kern w:val="2"/>
          <w:sz w:val="22"/>
          <w:szCs w:val="22"/>
          <w:highlight w:val="none"/>
          <w:lang w:val="en-US" w:eastAsia="zh-CN" w:bidi="ar-SA"/>
        </w:rPr>
      </w:pP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7</w:t>
      </w:r>
      <w:r>
        <w:rPr>
          <w:rFonts w:hint="default" w:ascii="宋体" w:hAnsi="宋体" w:eastAsia="宋体" w:cs="宋体"/>
          <w:color w:val="auto"/>
          <w:spacing w:val="-1"/>
          <w:w w:val="100"/>
          <w:kern w:val="2"/>
          <w:sz w:val="22"/>
          <w:szCs w:val="22"/>
          <w:highlight w:val="none"/>
          <w:lang w:val="en-US" w:eastAsia="zh-CN" w:bidi="ar-SA"/>
        </w:rPr>
        <w:t>）相关保险费用；</w:t>
      </w:r>
    </w:p>
    <w:p>
      <w:pPr>
        <w:pStyle w:val="90"/>
        <w:numPr>
          <w:ilvl w:val="1"/>
          <w:numId w:val="0"/>
        </w:numPr>
        <w:tabs>
          <w:tab w:val="left" w:pos="1460"/>
        </w:tabs>
        <w:spacing w:before="101" w:line="340" w:lineRule="auto"/>
        <w:ind w:right="887" w:rightChars="0" w:firstLine="436" w:firstLineChars="200"/>
        <w:jc w:val="both"/>
        <w:rPr>
          <w:rFonts w:hint="default" w:ascii="宋体" w:hAnsi="宋体" w:eastAsia="宋体" w:cs="宋体"/>
          <w:color w:val="auto"/>
          <w:spacing w:val="-1"/>
          <w:w w:val="100"/>
          <w:kern w:val="2"/>
          <w:sz w:val="22"/>
          <w:szCs w:val="22"/>
          <w:highlight w:val="none"/>
          <w:lang w:val="en-US" w:eastAsia="zh-CN" w:bidi="ar-SA"/>
        </w:rPr>
      </w:pP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8</w:t>
      </w:r>
      <w:r>
        <w:rPr>
          <w:rFonts w:hint="default" w:ascii="宋体" w:hAnsi="宋体" w:eastAsia="宋体" w:cs="宋体"/>
          <w:color w:val="auto"/>
          <w:spacing w:val="-1"/>
          <w:w w:val="100"/>
          <w:kern w:val="2"/>
          <w:sz w:val="22"/>
          <w:szCs w:val="22"/>
          <w:highlight w:val="none"/>
          <w:lang w:val="en-US" w:eastAsia="zh-CN" w:bidi="ar-SA"/>
        </w:rPr>
        <w:t>）在未签订本合同前，乙方为甲方所做的各项设计工作的设计费用及其他费用；</w:t>
      </w:r>
    </w:p>
    <w:p>
      <w:pPr>
        <w:pStyle w:val="90"/>
        <w:numPr>
          <w:ilvl w:val="1"/>
          <w:numId w:val="0"/>
        </w:numPr>
        <w:tabs>
          <w:tab w:val="left" w:pos="1460"/>
        </w:tabs>
        <w:spacing w:before="101" w:line="340" w:lineRule="auto"/>
        <w:ind w:right="887" w:rightChars="0" w:firstLine="436" w:firstLineChars="200"/>
        <w:jc w:val="both"/>
        <w:rPr>
          <w:rFonts w:hint="default" w:ascii="宋体" w:hAnsi="宋体" w:eastAsia="宋体" w:cs="宋体"/>
          <w:color w:val="auto"/>
          <w:spacing w:val="-1"/>
          <w:w w:val="100"/>
          <w:kern w:val="2"/>
          <w:sz w:val="22"/>
          <w:szCs w:val="22"/>
          <w:highlight w:val="none"/>
          <w:lang w:val="en-US" w:eastAsia="zh-CN" w:bidi="ar-SA"/>
        </w:rPr>
      </w:pP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9</w:t>
      </w:r>
      <w:r>
        <w:rPr>
          <w:rFonts w:hint="default" w:ascii="宋体" w:hAnsi="宋体" w:eastAsia="宋体" w:cs="宋体"/>
          <w:color w:val="auto"/>
          <w:spacing w:val="-1"/>
          <w:w w:val="100"/>
          <w:kern w:val="2"/>
          <w:sz w:val="22"/>
          <w:szCs w:val="22"/>
          <w:highlight w:val="none"/>
          <w:lang w:val="en-US" w:eastAsia="zh-CN" w:bidi="ar-SA"/>
        </w:rPr>
        <w:t>）因政府有关职能部门提出审批意见后设计人据此对设计成果所进行的修改、补充和完善所发生的费用（有重大修改另行商议）；</w:t>
      </w:r>
    </w:p>
    <w:p>
      <w:pPr>
        <w:pStyle w:val="90"/>
        <w:numPr>
          <w:ilvl w:val="1"/>
          <w:numId w:val="0"/>
        </w:numPr>
        <w:tabs>
          <w:tab w:val="left" w:pos="1460"/>
        </w:tabs>
        <w:spacing w:before="101" w:line="340" w:lineRule="auto"/>
        <w:ind w:right="887" w:rightChars="0" w:firstLine="436" w:firstLineChars="200"/>
        <w:jc w:val="both"/>
        <w:rPr>
          <w:rFonts w:hint="default" w:ascii="宋体" w:hAnsi="宋体" w:eastAsia="宋体" w:cs="宋体"/>
          <w:color w:val="auto"/>
          <w:spacing w:val="-1"/>
          <w:w w:val="100"/>
          <w:kern w:val="2"/>
          <w:sz w:val="22"/>
          <w:szCs w:val="22"/>
          <w:highlight w:val="none"/>
          <w:lang w:val="en-US" w:eastAsia="zh-CN" w:bidi="ar-SA"/>
        </w:rPr>
      </w:pP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10</w:t>
      </w:r>
      <w:r>
        <w:rPr>
          <w:rFonts w:hint="default" w:ascii="宋体" w:hAnsi="宋体" w:eastAsia="宋体" w:cs="宋体"/>
          <w:color w:val="auto"/>
          <w:spacing w:val="-1"/>
          <w:w w:val="100"/>
          <w:kern w:val="2"/>
          <w:sz w:val="22"/>
          <w:szCs w:val="22"/>
          <w:highlight w:val="none"/>
          <w:lang w:val="en-US" w:eastAsia="zh-CN" w:bidi="ar-SA"/>
        </w:rPr>
        <w:t>）乙方为履行合同职责而发生的其它费用。</w:t>
      </w:r>
    </w:p>
    <w:p>
      <w:pPr>
        <w:pStyle w:val="90"/>
        <w:numPr>
          <w:ilvl w:val="1"/>
          <w:numId w:val="0"/>
        </w:numPr>
        <w:tabs>
          <w:tab w:val="left" w:pos="1460"/>
        </w:tabs>
        <w:spacing w:before="101" w:line="340" w:lineRule="auto"/>
        <w:ind w:right="887" w:rightChars="0" w:firstLine="436" w:firstLineChars="200"/>
        <w:jc w:val="both"/>
        <w:rPr>
          <w:rFonts w:hint="default" w:ascii="宋体" w:hAnsi="宋体" w:eastAsia="宋体" w:cs="宋体"/>
          <w:color w:val="auto"/>
          <w:spacing w:val="-1"/>
          <w:w w:val="100"/>
          <w:kern w:val="2"/>
          <w:sz w:val="22"/>
          <w:szCs w:val="22"/>
          <w:highlight w:val="none"/>
          <w:lang w:val="en-US" w:eastAsia="zh-CN" w:bidi="ar-SA"/>
        </w:rPr>
      </w:pP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11</w:t>
      </w:r>
      <w:r>
        <w:rPr>
          <w:rFonts w:hint="default" w:ascii="宋体" w:hAnsi="宋体" w:eastAsia="宋体" w:cs="宋体"/>
          <w:color w:val="auto"/>
          <w:spacing w:val="-1"/>
          <w:w w:val="100"/>
          <w:kern w:val="2"/>
          <w:sz w:val="22"/>
          <w:szCs w:val="22"/>
          <w:highlight w:val="none"/>
          <w:lang w:val="en-US" w:eastAsia="zh-CN" w:bidi="ar-SA"/>
        </w:rPr>
        <w:t>）本合同价款不包括政府部门方案评审费、施工图图审费、消防审查费等政府审查产生的专家费及评审费等相关费用。</w:t>
      </w:r>
    </w:p>
    <w:p>
      <w:pPr>
        <w:pStyle w:val="90"/>
        <w:numPr>
          <w:ilvl w:val="1"/>
          <w:numId w:val="0"/>
        </w:numPr>
        <w:tabs>
          <w:tab w:val="left" w:pos="1460"/>
        </w:tabs>
        <w:spacing w:before="101" w:line="340" w:lineRule="auto"/>
        <w:ind w:right="887" w:rightChars="0" w:firstLine="436" w:firstLineChars="200"/>
        <w:jc w:val="both"/>
        <w:rPr>
          <w:rFonts w:hint="default" w:ascii="宋体" w:hAnsi="宋体" w:eastAsia="宋体" w:cs="宋体"/>
          <w:color w:val="auto"/>
          <w:spacing w:val="-1"/>
          <w:w w:val="100"/>
          <w:kern w:val="2"/>
          <w:sz w:val="22"/>
          <w:szCs w:val="22"/>
          <w:highlight w:val="none"/>
          <w:lang w:val="en-US" w:eastAsia="zh-CN" w:bidi="ar-SA"/>
        </w:rPr>
      </w:pPr>
      <w:r>
        <w:rPr>
          <w:rFonts w:hint="eastAsia" w:ascii="Times New Roman" w:hAnsi="Times New Roman" w:cs="宋体"/>
          <w:color w:val="auto"/>
          <w:spacing w:val="-1"/>
          <w:w w:val="100"/>
          <w:kern w:val="2"/>
          <w:sz w:val="22"/>
          <w:szCs w:val="22"/>
          <w:highlight w:val="none"/>
          <w:lang w:val="en-US" w:eastAsia="zh-CN" w:bidi="ar-SA"/>
        </w:rPr>
        <w:t>7</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2</w:t>
      </w:r>
      <w:r>
        <w:rPr>
          <w:rFonts w:hint="default" w:ascii="宋体" w:hAnsi="宋体" w:eastAsia="宋体" w:cs="宋体"/>
          <w:color w:val="auto"/>
          <w:spacing w:val="-1"/>
          <w:w w:val="100"/>
          <w:kern w:val="2"/>
          <w:sz w:val="22"/>
          <w:szCs w:val="22"/>
          <w:highlight w:val="none"/>
          <w:lang w:val="en-US" w:eastAsia="zh-CN" w:bidi="ar-SA"/>
        </w:rPr>
        <w:t>乙方如无相应专项资质的，可将该专项设计内容分包给有相应资质的单位进行设计，但必须符合甲方关于设计分包的相关规定和要求，分包产生的费用包含在设计总包费用中，不再另行支付。分包单位最终出图成果需由总包单位确认后方可出图。</w:t>
      </w:r>
    </w:p>
    <w:p>
      <w:pPr>
        <w:pStyle w:val="90"/>
        <w:numPr>
          <w:ilvl w:val="1"/>
          <w:numId w:val="0"/>
        </w:numPr>
        <w:tabs>
          <w:tab w:val="left" w:pos="1460"/>
        </w:tabs>
        <w:spacing w:before="101" w:line="340" w:lineRule="auto"/>
        <w:ind w:right="887" w:rightChars="0" w:firstLine="436" w:firstLineChars="200"/>
        <w:jc w:val="both"/>
        <w:rPr>
          <w:rFonts w:hint="default" w:ascii="宋体" w:hAnsi="宋体" w:eastAsia="宋体" w:cs="宋体"/>
          <w:color w:val="auto"/>
          <w:spacing w:val="-1"/>
          <w:w w:val="100"/>
          <w:kern w:val="2"/>
          <w:sz w:val="22"/>
          <w:szCs w:val="22"/>
          <w:highlight w:val="none"/>
          <w:lang w:val="en-US" w:eastAsia="zh-CN" w:bidi="ar-SA"/>
        </w:rPr>
      </w:pPr>
      <w:r>
        <w:rPr>
          <w:rFonts w:hint="eastAsia" w:ascii="Times New Roman" w:hAnsi="Times New Roman" w:cs="宋体"/>
          <w:color w:val="auto"/>
          <w:spacing w:val="-1"/>
          <w:w w:val="100"/>
          <w:kern w:val="2"/>
          <w:sz w:val="22"/>
          <w:szCs w:val="22"/>
          <w:highlight w:val="none"/>
          <w:lang w:val="en-US" w:eastAsia="zh-CN" w:bidi="ar-SA"/>
        </w:rPr>
        <w:t>7</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3</w:t>
      </w:r>
      <w:r>
        <w:rPr>
          <w:rFonts w:hint="default" w:ascii="宋体" w:hAnsi="宋体" w:eastAsia="宋体" w:cs="宋体"/>
          <w:color w:val="auto"/>
          <w:spacing w:val="-1"/>
          <w:w w:val="100"/>
          <w:kern w:val="2"/>
          <w:sz w:val="22"/>
          <w:szCs w:val="22"/>
          <w:highlight w:val="none"/>
          <w:lang w:val="en-US" w:eastAsia="zh-CN" w:bidi="ar-SA"/>
        </w:rPr>
        <w:t>在本合同履行过程中，若甲方要求乙方承担的设计服务超过了本合同约定的设计内容，乙方有权向甲方收取额外设计费。</w:t>
      </w:r>
    </w:p>
    <w:p>
      <w:pPr>
        <w:spacing w:before="6"/>
        <w:ind w:left="820"/>
        <w:jc w:val="both"/>
        <w:rPr>
          <w:b/>
          <w:color w:val="auto"/>
          <w:sz w:val="21"/>
          <w:highlight w:val="none"/>
        </w:rPr>
      </w:pPr>
      <w:r>
        <w:rPr>
          <w:b/>
          <w:color w:val="auto"/>
          <w:sz w:val="21"/>
          <w:highlight w:val="none"/>
        </w:rPr>
        <w:t>第八条 设计费的支付</w:t>
      </w:r>
    </w:p>
    <w:p>
      <w:pPr>
        <w:pStyle w:val="90"/>
        <w:numPr>
          <w:ilvl w:val="1"/>
          <w:numId w:val="0"/>
        </w:numPr>
        <w:tabs>
          <w:tab w:val="left" w:pos="1460"/>
        </w:tabs>
        <w:spacing w:before="101" w:line="340" w:lineRule="auto"/>
        <w:ind w:right="887" w:rightChars="0" w:firstLine="436" w:firstLineChars="200"/>
        <w:jc w:val="both"/>
        <w:rPr>
          <w:rFonts w:hint="default" w:ascii="宋体" w:hAnsi="宋体" w:eastAsia="宋体" w:cs="宋体"/>
          <w:color w:val="auto"/>
          <w:spacing w:val="-1"/>
          <w:w w:val="100"/>
          <w:kern w:val="2"/>
          <w:sz w:val="22"/>
          <w:szCs w:val="22"/>
          <w:highlight w:val="none"/>
          <w:lang w:val="en-US" w:eastAsia="zh-CN" w:bidi="ar-SA"/>
        </w:rPr>
      </w:pPr>
      <w:r>
        <w:rPr>
          <w:rFonts w:hint="eastAsia" w:ascii="Times New Roman" w:hAnsi="Times New Roman" w:cs="宋体"/>
          <w:color w:val="auto"/>
          <w:spacing w:val="-1"/>
          <w:w w:val="100"/>
          <w:kern w:val="2"/>
          <w:sz w:val="22"/>
          <w:szCs w:val="22"/>
          <w:highlight w:val="none"/>
          <w:lang w:val="en-US" w:eastAsia="zh-CN" w:bidi="ar-SA"/>
        </w:rPr>
        <w:t>8</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1</w:t>
      </w:r>
      <w:r>
        <w:rPr>
          <w:rFonts w:hint="default" w:ascii="宋体" w:hAnsi="宋体" w:eastAsia="宋体" w:cs="宋体"/>
          <w:color w:val="auto"/>
          <w:spacing w:val="-1"/>
          <w:w w:val="100"/>
          <w:kern w:val="2"/>
          <w:sz w:val="22"/>
          <w:szCs w:val="22"/>
          <w:highlight w:val="none"/>
          <w:lang w:val="en-US" w:eastAsia="zh-CN" w:bidi="ar-SA"/>
        </w:rPr>
        <w:t>设计费支付的时间详见附件</w:t>
      </w:r>
      <w:r>
        <w:rPr>
          <w:rFonts w:hint="eastAsia" w:ascii="宋体" w:hAnsi="宋体" w:cs="宋体"/>
          <w:color w:val="auto"/>
          <w:spacing w:val="-1"/>
          <w:w w:val="100"/>
          <w:kern w:val="2"/>
          <w:sz w:val="22"/>
          <w:szCs w:val="22"/>
          <w:highlight w:val="none"/>
          <w:lang w:val="en-US" w:eastAsia="zh-CN" w:bidi="ar-SA"/>
        </w:rPr>
        <w:t>六</w:t>
      </w:r>
      <w:r>
        <w:rPr>
          <w:rFonts w:hint="default" w:ascii="宋体" w:hAnsi="宋体" w:eastAsia="宋体" w:cs="宋体"/>
          <w:color w:val="auto"/>
          <w:spacing w:val="-1"/>
          <w:w w:val="100"/>
          <w:kern w:val="2"/>
          <w:sz w:val="22"/>
          <w:szCs w:val="22"/>
          <w:highlight w:val="none"/>
          <w:lang w:val="en-US" w:eastAsia="zh-CN" w:bidi="ar-SA"/>
        </w:rPr>
        <w:t>，但同时应满足本合同约定的其他付款条件。</w:t>
      </w:r>
    </w:p>
    <w:p>
      <w:pPr>
        <w:pStyle w:val="90"/>
        <w:numPr>
          <w:ilvl w:val="1"/>
          <w:numId w:val="0"/>
        </w:numPr>
        <w:tabs>
          <w:tab w:val="left" w:pos="1460"/>
        </w:tabs>
        <w:spacing w:before="101" w:line="340" w:lineRule="auto"/>
        <w:ind w:right="887" w:rightChars="0" w:firstLine="436" w:firstLineChars="200"/>
        <w:jc w:val="both"/>
        <w:rPr>
          <w:rFonts w:hint="default" w:ascii="宋体" w:hAnsi="宋体" w:eastAsia="宋体" w:cs="宋体"/>
          <w:color w:val="auto"/>
          <w:spacing w:val="-1"/>
          <w:w w:val="100"/>
          <w:kern w:val="2"/>
          <w:sz w:val="22"/>
          <w:szCs w:val="22"/>
          <w:highlight w:val="none"/>
          <w:lang w:val="en-US" w:eastAsia="zh-CN" w:bidi="ar-SA"/>
        </w:rPr>
      </w:pPr>
      <w:r>
        <w:rPr>
          <w:rFonts w:hint="eastAsia" w:ascii="Times New Roman" w:hAnsi="Times New Roman" w:cs="宋体"/>
          <w:color w:val="auto"/>
          <w:spacing w:val="-1"/>
          <w:w w:val="100"/>
          <w:kern w:val="2"/>
          <w:sz w:val="22"/>
          <w:szCs w:val="22"/>
          <w:highlight w:val="none"/>
          <w:lang w:val="en-US" w:eastAsia="zh-CN" w:bidi="ar-SA"/>
        </w:rPr>
        <w:t>8</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2</w:t>
      </w:r>
      <w:r>
        <w:rPr>
          <w:rFonts w:hint="default" w:ascii="宋体" w:hAnsi="宋体" w:eastAsia="宋体" w:cs="宋体"/>
          <w:color w:val="auto"/>
          <w:spacing w:val="-1"/>
          <w:w w:val="100"/>
          <w:kern w:val="2"/>
          <w:sz w:val="22"/>
          <w:szCs w:val="22"/>
          <w:highlight w:val="none"/>
          <w:lang w:val="en-US" w:eastAsia="zh-CN" w:bidi="ar-SA"/>
        </w:rPr>
        <w:t>各阶段文件/设计图纸需经甲方书面确认符合要求后方可作为办理费用支付及结算的依据。如双方选择按分类单价包干计价的，则各设计阶段设计费用根据该阶段设计的  实际设计面积及单价核算支付；分期完成的设计费根据分期设计的实际设计面积及单  价核算支付。</w:t>
      </w:r>
    </w:p>
    <w:p>
      <w:pPr>
        <w:pStyle w:val="90"/>
        <w:numPr>
          <w:ilvl w:val="1"/>
          <w:numId w:val="0"/>
        </w:numPr>
        <w:tabs>
          <w:tab w:val="left" w:pos="1460"/>
        </w:tabs>
        <w:spacing w:before="101" w:line="340" w:lineRule="auto"/>
        <w:ind w:right="887" w:rightChars="0" w:firstLine="436" w:firstLineChars="200"/>
        <w:jc w:val="both"/>
        <w:rPr>
          <w:rFonts w:hint="default" w:ascii="宋体" w:hAnsi="宋体" w:eastAsia="宋体" w:cs="宋体"/>
          <w:color w:val="auto"/>
          <w:spacing w:val="-1"/>
          <w:w w:val="100"/>
          <w:kern w:val="2"/>
          <w:sz w:val="22"/>
          <w:szCs w:val="22"/>
          <w:highlight w:val="none"/>
          <w:lang w:val="en-US" w:eastAsia="zh-CN" w:bidi="ar-SA"/>
        </w:rPr>
      </w:pPr>
      <w:r>
        <w:rPr>
          <w:rFonts w:hint="eastAsia" w:ascii="Times New Roman" w:hAnsi="Times New Roman" w:cs="宋体"/>
          <w:color w:val="auto"/>
          <w:spacing w:val="-1"/>
          <w:w w:val="100"/>
          <w:kern w:val="2"/>
          <w:sz w:val="22"/>
          <w:szCs w:val="22"/>
          <w:highlight w:val="none"/>
          <w:lang w:val="en-US" w:eastAsia="zh-CN" w:bidi="ar-SA"/>
        </w:rPr>
        <w:t>8</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3</w:t>
      </w:r>
      <w:r>
        <w:rPr>
          <w:rFonts w:hint="default" w:ascii="宋体" w:hAnsi="宋体" w:eastAsia="宋体" w:cs="宋体"/>
          <w:color w:val="auto"/>
          <w:spacing w:val="-1"/>
          <w:w w:val="100"/>
          <w:kern w:val="2"/>
          <w:sz w:val="22"/>
          <w:szCs w:val="22"/>
          <w:highlight w:val="none"/>
          <w:lang w:val="en-US" w:eastAsia="zh-CN" w:bidi="ar-SA"/>
        </w:rPr>
        <w:t>甲方应在收到乙方阶段性工作成果后两周内给予书面认可或提出带有详细理由的拒收  意见（以加盖甲方公章且发送至本合同中约定的乙方联系人邮箱为准）。甲方若未能  在上述时间内提出书面拒收意见则被视为认可乙方的工作成果。乙方提交的设计成果  未经甲方认可的，甲方有权拒绝支付该阶段的设计费。</w:t>
      </w:r>
    </w:p>
    <w:p>
      <w:pPr>
        <w:pStyle w:val="90"/>
        <w:numPr>
          <w:ilvl w:val="1"/>
          <w:numId w:val="0"/>
        </w:numPr>
        <w:tabs>
          <w:tab w:val="left" w:pos="1460"/>
        </w:tabs>
        <w:spacing w:before="101" w:line="340" w:lineRule="auto"/>
        <w:ind w:right="887" w:rightChars="0" w:firstLine="436" w:firstLineChars="200"/>
        <w:jc w:val="both"/>
        <w:rPr>
          <w:rFonts w:hint="default" w:ascii="宋体" w:hAnsi="宋体" w:eastAsia="宋体" w:cs="宋体"/>
          <w:color w:val="auto"/>
          <w:spacing w:val="-1"/>
          <w:w w:val="100"/>
          <w:kern w:val="2"/>
          <w:sz w:val="22"/>
          <w:szCs w:val="22"/>
          <w:highlight w:val="none"/>
          <w:lang w:val="en-US" w:eastAsia="zh-CN" w:bidi="ar-SA"/>
        </w:rPr>
      </w:pPr>
      <w:r>
        <w:rPr>
          <w:rFonts w:hint="eastAsia" w:ascii="Times New Roman" w:hAnsi="Times New Roman" w:cs="宋体"/>
          <w:color w:val="auto"/>
          <w:spacing w:val="-1"/>
          <w:w w:val="100"/>
          <w:kern w:val="2"/>
          <w:sz w:val="22"/>
          <w:szCs w:val="22"/>
          <w:highlight w:val="none"/>
          <w:lang w:val="en-US" w:eastAsia="zh-CN" w:bidi="ar-SA"/>
        </w:rPr>
        <w:t>8</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4</w:t>
      </w:r>
      <w:r>
        <w:rPr>
          <w:rFonts w:hint="default" w:ascii="宋体" w:hAnsi="宋体" w:eastAsia="宋体" w:cs="宋体"/>
          <w:color w:val="auto"/>
          <w:spacing w:val="-1"/>
          <w:w w:val="100"/>
          <w:kern w:val="2"/>
          <w:sz w:val="22"/>
          <w:szCs w:val="22"/>
          <w:highlight w:val="none"/>
          <w:lang w:val="en-US" w:eastAsia="zh-CN" w:bidi="ar-SA"/>
        </w:rPr>
        <w:t xml:space="preserve">甲方付款前 </w:t>
      </w:r>
      <w:r>
        <w:rPr>
          <w:rFonts w:hint="eastAsia" w:ascii="Times New Roman" w:hAnsi="Times New Roman" w:cs="宋体"/>
          <w:color w:val="auto"/>
          <w:spacing w:val="-1"/>
          <w:w w:val="100"/>
          <w:kern w:val="2"/>
          <w:sz w:val="22"/>
          <w:szCs w:val="22"/>
          <w:highlight w:val="none"/>
          <w:lang w:val="en-US" w:eastAsia="zh-CN" w:bidi="ar-SA"/>
        </w:rPr>
        <w:t>7</w:t>
      </w:r>
      <w:r>
        <w:rPr>
          <w:rFonts w:hint="default" w:ascii="宋体" w:hAnsi="宋体" w:eastAsia="宋体" w:cs="宋体"/>
          <w:color w:val="auto"/>
          <w:spacing w:val="-1"/>
          <w:w w:val="100"/>
          <w:kern w:val="2"/>
          <w:sz w:val="22"/>
          <w:szCs w:val="22"/>
          <w:highlight w:val="none"/>
          <w:lang w:val="en-US" w:eastAsia="zh-CN" w:bidi="ar-SA"/>
        </w:rPr>
        <w:t xml:space="preserve"> 个工作日，乙方应提供相应金额的合法有效的增值税专用发票及请款资料，经审核无误后，甲方在约定的时间内依约支付款项。如乙方逾期提供符合约定之  发票及请款资料的，甲方有权顺延付款且不承担违约责任。</w:t>
      </w:r>
    </w:p>
    <w:p>
      <w:pPr>
        <w:pStyle w:val="90"/>
        <w:numPr>
          <w:ilvl w:val="1"/>
          <w:numId w:val="0"/>
        </w:numPr>
        <w:tabs>
          <w:tab w:val="left" w:pos="1460"/>
        </w:tabs>
        <w:spacing w:before="101" w:line="340" w:lineRule="auto"/>
        <w:ind w:right="887" w:rightChars="0" w:firstLine="436" w:firstLineChars="200"/>
        <w:jc w:val="both"/>
        <w:rPr>
          <w:rFonts w:hint="default" w:ascii="宋体" w:hAnsi="宋体" w:eastAsia="宋体" w:cs="宋体"/>
          <w:color w:val="auto"/>
          <w:spacing w:val="-1"/>
          <w:w w:val="100"/>
          <w:kern w:val="2"/>
          <w:sz w:val="22"/>
          <w:szCs w:val="22"/>
          <w:highlight w:val="none"/>
          <w:lang w:val="en-US" w:eastAsia="zh-CN" w:bidi="ar-SA"/>
        </w:rPr>
      </w:pPr>
      <w:r>
        <w:rPr>
          <w:rFonts w:hint="eastAsia" w:ascii="Times New Roman" w:hAnsi="Times New Roman" w:cs="宋体"/>
          <w:color w:val="auto"/>
          <w:spacing w:val="-1"/>
          <w:w w:val="100"/>
          <w:kern w:val="2"/>
          <w:sz w:val="22"/>
          <w:szCs w:val="22"/>
          <w:highlight w:val="none"/>
          <w:lang w:val="en-US" w:eastAsia="zh-CN" w:bidi="ar-SA"/>
        </w:rPr>
        <w:t>8</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5</w:t>
      </w:r>
      <w:r>
        <w:rPr>
          <w:rFonts w:hint="default" w:ascii="宋体" w:hAnsi="宋体" w:eastAsia="宋体" w:cs="宋体"/>
          <w:color w:val="auto"/>
          <w:spacing w:val="-1"/>
          <w:w w:val="100"/>
          <w:kern w:val="2"/>
          <w:sz w:val="22"/>
          <w:szCs w:val="22"/>
          <w:highlight w:val="none"/>
          <w:lang w:val="en-US" w:eastAsia="zh-CN" w:bidi="ar-SA"/>
        </w:rPr>
        <w:t>因乙方不及时提供、交付发票或提供的发票不符合规定而造成甲方无法及时认证、抵  扣的，或因乙方开具的发票不规范、不合法或涉嫌虚开发票引起税务问题的，乙方需依法向甲方重新开具发票，并承担赔偿责任。甲方增值税发票开票信息为：</w:t>
      </w:r>
    </w:p>
    <w:tbl>
      <w:tblPr>
        <w:tblStyle w:val="104"/>
        <w:tblW w:w="0" w:type="auto"/>
        <w:tblInd w:w="12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28"/>
        <w:gridCol w:w="49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828" w:type="dxa"/>
          </w:tcPr>
          <w:p>
            <w:pPr>
              <w:pStyle w:val="90"/>
              <w:numPr>
                <w:ilvl w:val="1"/>
                <w:numId w:val="0"/>
              </w:numPr>
              <w:tabs>
                <w:tab w:val="left" w:pos="1460"/>
              </w:tabs>
              <w:spacing w:before="101" w:line="340" w:lineRule="auto"/>
              <w:ind w:right="887" w:rightChars="0" w:firstLine="436" w:firstLineChars="200"/>
              <w:jc w:val="both"/>
              <w:rPr>
                <w:rFonts w:hint="default" w:ascii="宋体" w:hAnsi="宋体" w:eastAsia="宋体" w:cs="宋体"/>
                <w:color w:val="auto"/>
                <w:spacing w:val="-1"/>
                <w:w w:val="100"/>
                <w:kern w:val="2"/>
                <w:sz w:val="22"/>
                <w:szCs w:val="22"/>
                <w:highlight w:val="none"/>
                <w:lang w:val="en-US" w:eastAsia="zh-CN" w:bidi="ar-SA"/>
              </w:rPr>
            </w:pPr>
            <w:r>
              <w:rPr>
                <w:rFonts w:hint="default" w:ascii="宋体" w:hAnsi="宋体" w:eastAsia="宋体" w:cs="宋体"/>
                <w:color w:val="auto"/>
                <w:spacing w:val="-1"/>
                <w:w w:val="100"/>
                <w:kern w:val="2"/>
                <w:sz w:val="22"/>
                <w:szCs w:val="22"/>
                <w:highlight w:val="none"/>
                <w:lang w:val="en-US" w:eastAsia="zh-CN" w:bidi="ar-SA"/>
              </w:rPr>
              <w:t>公司名称</w:t>
            </w:r>
          </w:p>
        </w:tc>
        <w:tc>
          <w:tcPr>
            <w:tcW w:w="4995" w:type="dxa"/>
          </w:tcPr>
          <w:p>
            <w:pPr>
              <w:pStyle w:val="90"/>
              <w:numPr>
                <w:ilvl w:val="1"/>
                <w:numId w:val="0"/>
              </w:numPr>
              <w:tabs>
                <w:tab w:val="left" w:pos="1460"/>
              </w:tabs>
              <w:spacing w:before="101" w:line="340" w:lineRule="auto"/>
              <w:ind w:right="887" w:rightChars="0" w:firstLine="436" w:firstLineChars="200"/>
              <w:jc w:val="both"/>
              <w:rPr>
                <w:rFonts w:hint="default" w:ascii="宋体" w:hAnsi="宋体" w:eastAsia="宋体" w:cs="宋体"/>
                <w:color w:val="auto"/>
                <w:spacing w:val="-1"/>
                <w:w w:val="100"/>
                <w:kern w:val="2"/>
                <w:sz w:val="22"/>
                <w:szCs w:val="2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828" w:type="dxa"/>
          </w:tcPr>
          <w:p>
            <w:pPr>
              <w:pStyle w:val="90"/>
              <w:numPr>
                <w:ilvl w:val="1"/>
                <w:numId w:val="0"/>
              </w:numPr>
              <w:tabs>
                <w:tab w:val="left" w:pos="1460"/>
              </w:tabs>
              <w:spacing w:before="101" w:line="340" w:lineRule="auto"/>
              <w:ind w:right="887" w:rightChars="0" w:firstLine="436" w:firstLineChars="200"/>
              <w:jc w:val="both"/>
              <w:rPr>
                <w:rFonts w:hint="default" w:ascii="宋体" w:hAnsi="宋体" w:eastAsia="宋体" w:cs="宋体"/>
                <w:color w:val="auto"/>
                <w:spacing w:val="-1"/>
                <w:w w:val="100"/>
                <w:kern w:val="2"/>
                <w:sz w:val="22"/>
                <w:szCs w:val="22"/>
                <w:highlight w:val="none"/>
                <w:lang w:val="en-US" w:eastAsia="zh-CN" w:bidi="ar-SA"/>
              </w:rPr>
            </w:pPr>
            <w:r>
              <w:rPr>
                <w:rFonts w:hint="default" w:ascii="宋体" w:hAnsi="宋体" w:eastAsia="宋体" w:cs="宋体"/>
                <w:color w:val="auto"/>
                <w:spacing w:val="-1"/>
                <w:w w:val="100"/>
                <w:kern w:val="2"/>
                <w:sz w:val="22"/>
                <w:szCs w:val="22"/>
                <w:highlight w:val="none"/>
                <w:lang w:val="en-US" w:eastAsia="zh-CN" w:bidi="ar-SA"/>
              </w:rPr>
              <w:t>纳税人识别号</w:t>
            </w:r>
          </w:p>
        </w:tc>
        <w:tc>
          <w:tcPr>
            <w:tcW w:w="4995" w:type="dxa"/>
          </w:tcPr>
          <w:p>
            <w:pPr>
              <w:pStyle w:val="90"/>
              <w:numPr>
                <w:ilvl w:val="1"/>
                <w:numId w:val="0"/>
              </w:numPr>
              <w:tabs>
                <w:tab w:val="left" w:pos="1460"/>
              </w:tabs>
              <w:spacing w:before="101" w:line="340" w:lineRule="auto"/>
              <w:ind w:right="887" w:rightChars="0" w:firstLine="436" w:firstLineChars="200"/>
              <w:jc w:val="both"/>
              <w:rPr>
                <w:rFonts w:hint="default" w:ascii="宋体" w:hAnsi="宋体" w:eastAsia="宋体" w:cs="宋体"/>
                <w:color w:val="auto"/>
                <w:spacing w:val="-1"/>
                <w:w w:val="100"/>
                <w:kern w:val="2"/>
                <w:sz w:val="22"/>
                <w:szCs w:val="2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828" w:type="dxa"/>
          </w:tcPr>
          <w:p>
            <w:pPr>
              <w:pStyle w:val="90"/>
              <w:numPr>
                <w:ilvl w:val="1"/>
                <w:numId w:val="0"/>
              </w:numPr>
              <w:tabs>
                <w:tab w:val="left" w:pos="1460"/>
              </w:tabs>
              <w:spacing w:before="101" w:line="340" w:lineRule="auto"/>
              <w:ind w:right="887" w:rightChars="0" w:firstLine="436" w:firstLineChars="200"/>
              <w:jc w:val="both"/>
              <w:rPr>
                <w:rFonts w:hint="default" w:ascii="宋体" w:hAnsi="宋体" w:eastAsia="宋体" w:cs="宋体"/>
                <w:color w:val="auto"/>
                <w:spacing w:val="-1"/>
                <w:w w:val="100"/>
                <w:kern w:val="2"/>
                <w:sz w:val="22"/>
                <w:szCs w:val="22"/>
                <w:highlight w:val="none"/>
                <w:lang w:val="en-US" w:eastAsia="zh-CN" w:bidi="ar-SA"/>
              </w:rPr>
            </w:pPr>
            <w:r>
              <w:rPr>
                <w:rFonts w:hint="default" w:ascii="宋体" w:hAnsi="宋体" w:eastAsia="宋体" w:cs="宋体"/>
                <w:color w:val="auto"/>
                <w:spacing w:val="-1"/>
                <w:w w:val="100"/>
                <w:kern w:val="2"/>
                <w:sz w:val="22"/>
                <w:szCs w:val="22"/>
                <w:highlight w:val="none"/>
                <w:lang w:val="en-US" w:eastAsia="zh-CN" w:bidi="ar-SA"/>
              </w:rPr>
              <w:t>联系电话、地址</w:t>
            </w:r>
          </w:p>
        </w:tc>
        <w:tc>
          <w:tcPr>
            <w:tcW w:w="4995" w:type="dxa"/>
          </w:tcPr>
          <w:p>
            <w:pPr>
              <w:pStyle w:val="90"/>
              <w:numPr>
                <w:ilvl w:val="1"/>
                <w:numId w:val="0"/>
              </w:numPr>
              <w:tabs>
                <w:tab w:val="left" w:pos="1460"/>
              </w:tabs>
              <w:spacing w:before="101" w:line="340" w:lineRule="auto"/>
              <w:ind w:right="887" w:rightChars="0" w:firstLine="436" w:firstLineChars="200"/>
              <w:jc w:val="both"/>
              <w:rPr>
                <w:rFonts w:hint="default" w:ascii="宋体" w:hAnsi="宋体" w:eastAsia="宋体" w:cs="宋体"/>
                <w:color w:val="auto"/>
                <w:spacing w:val="-1"/>
                <w:w w:val="100"/>
                <w:kern w:val="2"/>
                <w:sz w:val="22"/>
                <w:szCs w:val="2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828" w:type="dxa"/>
          </w:tcPr>
          <w:p>
            <w:pPr>
              <w:pStyle w:val="90"/>
              <w:numPr>
                <w:ilvl w:val="1"/>
                <w:numId w:val="0"/>
              </w:numPr>
              <w:tabs>
                <w:tab w:val="left" w:pos="1460"/>
              </w:tabs>
              <w:spacing w:before="101" w:line="340" w:lineRule="auto"/>
              <w:ind w:right="887" w:rightChars="0" w:firstLine="436" w:firstLineChars="200"/>
              <w:jc w:val="both"/>
              <w:rPr>
                <w:rFonts w:hint="default" w:ascii="宋体" w:hAnsi="宋体" w:eastAsia="宋体" w:cs="宋体"/>
                <w:color w:val="auto"/>
                <w:spacing w:val="-1"/>
                <w:w w:val="100"/>
                <w:kern w:val="2"/>
                <w:sz w:val="22"/>
                <w:szCs w:val="22"/>
                <w:highlight w:val="none"/>
                <w:lang w:val="en-US" w:eastAsia="zh-CN" w:bidi="ar-SA"/>
              </w:rPr>
            </w:pPr>
            <w:r>
              <w:rPr>
                <w:rFonts w:hint="default" w:ascii="宋体" w:hAnsi="宋体" w:eastAsia="宋体" w:cs="宋体"/>
                <w:color w:val="auto"/>
                <w:spacing w:val="-1"/>
                <w:w w:val="100"/>
                <w:kern w:val="2"/>
                <w:sz w:val="22"/>
                <w:szCs w:val="22"/>
                <w:highlight w:val="none"/>
                <w:lang w:val="en-US" w:eastAsia="zh-CN" w:bidi="ar-SA"/>
              </w:rPr>
              <w:t>开户行、账号</w:t>
            </w:r>
          </w:p>
        </w:tc>
        <w:tc>
          <w:tcPr>
            <w:tcW w:w="4995" w:type="dxa"/>
          </w:tcPr>
          <w:p>
            <w:pPr>
              <w:pStyle w:val="90"/>
              <w:numPr>
                <w:ilvl w:val="1"/>
                <w:numId w:val="0"/>
              </w:numPr>
              <w:tabs>
                <w:tab w:val="left" w:pos="1460"/>
              </w:tabs>
              <w:spacing w:before="101" w:line="340" w:lineRule="auto"/>
              <w:ind w:right="887" w:rightChars="0" w:firstLine="436" w:firstLineChars="200"/>
              <w:jc w:val="both"/>
              <w:rPr>
                <w:rFonts w:hint="default" w:ascii="宋体" w:hAnsi="宋体" w:eastAsia="宋体" w:cs="宋体"/>
                <w:color w:val="auto"/>
                <w:spacing w:val="-1"/>
                <w:w w:val="100"/>
                <w:kern w:val="2"/>
                <w:sz w:val="22"/>
                <w:szCs w:val="22"/>
                <w:highlight w:val="none"/>
                <w:lang w:val="en-US" w:eastAsia="zh-CN" w:bidi="ar-SA"/>
              </w:rPr>
            </w:pPr>
          </w:p>
        </w:tc>
      </w:tr>
    </w:tbl>
    <w:p>
      <w:pPr>
        <w:pStyle w:val="90"/>
        <w:numPr>
          <w:ilvl w:val="1"/>
          <w:numId w:val="0"/>
        </w:numPr>
        <w:tabs>
          <w:tab w:val="left" w:pos="1460"/>
        </w:tabs>
        <w:spacing w:before="101" w:line="340" w:lineRule="auto"/>
        <w:ind w:right="887" w:rightChars="0" w:firstLine="436" w:firstLineChars="200"/>
        <w:jc w:val="both"/>
        <w:rPr>
          <w:rFonts w:hint="default" w:ascii="宋体" w:hAnsi="宋体" w:eastAsia="宋体" w:cs="宋体"/>
          <w:color w:val="auto"/>
          <w:spacing w:val="-1"/>
          <w:w w:val="100"/>
          <w:kern w:val="2"/>
          <w:sz w:val="22"/>
          <w:szCs w:val="22"/>
          <w:highlight w:val="none"/>
          <w:lang w:val="en-US" w:eastAsia="zh-CN" w:bidi="ar-SA"/>
        </w:rPr>
      </w:pPr>
      <w:r>
        <w:rPr>
          <w:rFonts w:hint="eastAsia" w:ascii="Times New Roman" w:hAnsi="Times New Roman" w:cs="宋体"/>
          <w:color w:val="auto"/>
          <w:spacing w:val="-1"/>
          <w:w w:val="100"/>
          <w:kern w:val="2"/>
          <w:sz w:val="22"/>
          <w:szCs w:val="22"/>
          <w:highlight w:val="none"/>
          <w:lang w:val="en-US" w:eastAsia="zh-CN" w:bidi="ar-SA"/>
        </w:rPr>
        <w:t>8</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6</w:t>
      </w:r>
      <w:r>
        <w:rPr>
          <w:rFonts w:hint="default" w:ascii="宋体" w:hAnsi="宋体" w:eastAsia="宋体" w:cs="宋体"/>
          <w:color w:val="auto"/>
          <w:spacing w:val="-1"/>
          <w:w w:val="100"/>
          <w:kern w:val="2"/>
          <w:sz w:val="22"/>
          <w:szCs w:val="22"/>
          <w:highlight w:val="none"/>
          <w:lang w:val="en-US" w:eastAsia="zh-CN" w:bidi="ar-SA"/>
        </w:rPr>
        <w:t>付款日如遇非工作日（含周末及国家法定节假日等）可顺延至该非工作日后第一个工  作日。</w:t>
      </w:r>
    </w:p>
    <w:p>
      <w:pPr>
        <w:pStyle w:val="90"/>
        <w:numPr>
          <w:ilvl w:val="1"/>
          <w:numId w:val="0"/>
        </w:numPr>
        <w:tabs>
          <w:tab w:val="left" w:pos="1460"/>
        </w:tabs>
        <w:spacing w:before="101" w:line="340" w:lineRule="auto"/>
        <w:ind w:right="887" w:rightChars="0" w:firstLine="436" w:firstLineChars="200"/>
        <w:jc w:val="both"/>
        <w:rPr>
          <w:rFonts w:hint="default" w:ascii="宋体" w:hAnsi="宋体" w:eastAsia="宋体" w:cs="宋体"/>
          <w:color w:val="auto"/>
          <w:spacing w:val="-1"/>
          <w:w w:val="100"/>
          <w:kern w:val="2"/>
          <w:sz w:val="22"/>
          <w:szCs w:val="22"/>
          <w:highlight w:val="none"/>
          <w:lang w:val="en-US" w:eastAsia="zh-CN" w:bidi="ar-SA"/>
        </w:rPr>
      </w:pPr>
      <w:r>
        <w:rPr>
          <w:rFonts w:hint="eastAsia" w:ascii="Times New Roman" w:hAnsi="Times New Roman" w:cs="宋体"/>
          <w:color w:val="auto"/>
          <w:spacing w:val="-1"/>
          <w:w w:val="100"/>
          <w:kern w:val="2"/>
          <w:sz w:val="22"/>
          <w:szCs w:val="22"/>
          <w:highlight w:val="none"/>
          <w:lang w:val="en-US" w:eastAsia="zh-CN" w:bidi="ar-SA"/>
        </w:rPr>
        <w:t>8</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7</w:t>
      </w:r>
      <w:r>
        <w:rPr>
          <w:rFonts w:hint="default" w:ascii="宋体" w:hAnsi="宋体" w:eastAsia="宋体" w:cs="宋体"/>
          <w:color w:val="auto"/>
          <w:spacing w:val="-1"/>
          <w:w w:val="100"/>
          <w:kern w:val="2"/>
          <w:sz w:val="22"/>
          <w:szCs w:val="22"/>
          <w:highlight w:val="none"/>
          <w:lang w:val="en-US" w:eastAsia="zh-CN" w:bidi="ar-SA"/>
        </w:rPr>
        <w:t>乙方应承担的违约金、赔偿金及其他费用等，甲方有权根据乙方行为发生的具体时间，  在当期应支付的设计费中直接扣除。如乙方收到甲方定金后擅自提出解除合同的，应 当双倍返还甲方定金，若甲方的实际损失高于约定违约金的，甲方有权就高出部分的 损失向乙方索赔。如甲方在支付定金后擅自解除合同的，乙方有权没收定金。</w:t>
      </w:r>
    </w:p>
    <w:p>
      <w:pPr>
        <w:pStyle w:val="90"/>
        <w:numPr>
          <w:ilvl w:val="1"/>
          <w:numId w:val="0"/>
        </w:numPr>
        <w:tabs>
          <w:tab w:val="left" w:pos="1460"/>
        </w:tabs>
        <w:spacing w:before="101" w:line="340" w:lineRule="auto"/>
        <w:ind w:right="887" w:rightChars="0" w:firstLine="436" w:firstLineChars="200"/>
        <w:jc w:val="both"/>
        <w:rPr>
          <w:rFonts w:hint="default" w:ascii="宋体" w:hAnsi="宋体" w:eastAsia="宋体" w:cs="宋体"/>
          <w:color w:val="auto"/>
          <w:spacing w:val="-1"/>
          <w:w w:val="100"/>
          <w:kern w:val="2"/>
          <w:sz w:val="22"/>
          <w:szCs w:val="22"/>
          <w:highlight w:val="none"/>
          <w:lang w:val="en-US" w:eastAsia="zh-CN" w:bidi="ar-SA"/>
        </w:rPr>
      </w:pPr>
      <w:r>
        <w:rPr>
          <w:rFonts w:hint="eastAsia" w:ascii="Times New Roman" w:hAnsi="Times New Roman" w:cs="宋体"/>
          <w:color w:val="auto"/>
          <w:spacing w:val="-1"/>
          <w:w w:val="100"/>
          <w:kern w:val="2"/>
          <w:sz w:val="22"/>
          <w:szCs w:val="22"/>
          <w:highlight w:val="none"/>
          <w:lang w:val="en-US" w:eastAsia="zh-CN" w:bidi="ar-SA"/>
        </w:rPr>
        <w:t>8</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8</w:t>
      </w:r>
      <w:r>
        <w:rPr>
          <w:rFonts w:hint="default" w:ascii="宋体" w:hAnsi="宋体" w:eastAsia="宋体" w:cs="宋体"/>
          <w:color w:val="auto"/>
          <w:spacing w:val="-1"/>
          <w:w w:val="100"/>
          <w:kern w:val="2"/>
          <w:sz w:val="22"/>
          <w:szCs w:val="22"/>
          <w:highlight w:val="none"/>
          <w:lang w:val="en-US" w:eastAsia="zh-CN" w:bidi="ar-SA"/>
        </w:rPr>
        <w:t>除本合同另有约定外，因本合同而发生的有关税费由甲乙双方各自依法承担。</w:t>
      </w:r>
    </w:p>
    <w:p>
      <w:pPr>
        <w:pStyle w:val="90"/>
        <w:numPr>
          <w:ilvl w:val="1"/>
          <w:numId w:val="0"/>
        </w:numPr>
        <w:tabs>
          <w:tab w:val="left" w:pos="1460"/>
        </w:tabs>
        <w:spacing w:before="101" w:line="340" w:lineRule="auto"/>
        <w:ind w:right="887" w:rightChars="0" w:firstLine="436" w:firstLineChars="200"/>
        <w:jc w:val="both"/>
        <w:rPr>
          <w:rFonts w:hint="default" w:ascii="宋体" w:hAnsi="宋体" w:eastAsia="宋体" w:cs="宋体"/>
          <w:color w:val="auto"/>
          <w:spacing w:val="-1"/>
          <w:w w:val="100"/>
          <w:kern w:val="2"/>
          <w:sz w:val="22"/>
          <w:szCs w:val="22"/>
          <w:highlight w:val="none"/>
          <w:lang w:val="en-US" w:eastAsia="zh-CN" w:bidi="ar-SA"/>
        </w:rPr>
      </w:pPr>
      <w:r>
        <w:rPr>
          <w:rFonts w:hint="eastAsia" w:ascii="Times New Roman" w:hAnsi="Times New Roman" w:cs="宋体"/>
          <w:color w:val="auto"/>
          <w:spacing w:val="-1"/>
          <w:w w:val="100"/>
          <w:kern w:val="2"/>
          <w:sz w:val="22"/>
          <w:szCs w:val="22"/>
          <w:highlight w:val="none"/>
          <w:lang w:val="en-US" w:eastAsia="zh-CN" w:bidi="ar-SA"/>
        </w:rPr>
        <w:t>8</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9</w:t>
      </w:r>
      <w:r>
        <w:rPr>
          <w:rFonts w:hint="default" w:ascii="宋体" w:hAnsi="宋体" w:eastAsia="宋体" w:cs="宋体"/>
          <w:color w:val="auto"/>
          <w:spacing w:val="-1"/>
          <w:w w:val="100"/>
          <w:kern w:val="2"/>
          <w:sz w:val="22"/>
          <w:szCs w:val="22"/>
          <w:highlight w:val="none"/>
          <w:lang w:val="en-US" w:eastAsia="zh-CN" w:bidi="ar-SA"/>
        </w:rPr>
        <w:t>乙方未付清本合同项下的违约金、赔偿金及其他应承担的各项费用前，甲方有权拒绝  付款并顺延相应付款时间。</w:t>
      </w:r>
    </w:p>
    <w:p>
      <w:pPr>
        <w:spacing w:before="3"/>
        <w:rPr>
          <w:b/>
          <w:color w:val="auto"/>
          <w:sz w:val="21"/>
          <w:highlight w:val="none"/>
          <w:lang w:eastAsia="zh-CN"/>
        </w:rPr>
      </w:pPr>
      <w:r>
        <w:rPr>
          <w:b/>
          <w:color w:val="auto"/>
          <w:sz w:val="21"/>
          <w:highlight w:val="none"/>
          <w:lang w:eastAsia="zh-CN"/>
        </w:rPr>
        <w:t>第九条 设计的修改和变更</w:t>
      </w:r>
    </w:p>
    <w:p>
      <w:pPr>
        <w:pStyle w:val="90"/>
        <w:numPr>
          <w:ilvl w:val="1"/>
          <w:numId w:val="0"/>
        </w:numPr>
        <w:tabs>
          <w:tab w:val="left" w:pos="1460"/>
        </w:tabs>
        <w:spacing w:before="101" w:line="340" w:lineRule="auto"/>
        <w:ind w:right="887" w:rightChars="0" w:firstLine="436" w:firstLineChars="200"/>
        <w:jc w:val="both"/>
        <w:rPr>
          <w:rFonts w:hint="default" w:ascii="宋体" w:hAnsi="宋体" w:eastAsia="宋体" w:cs="宋体"/>
          <w:color w:val="auto"/>
          <w:spacing w:val="-1"/>
          <w:w w:val="100"/>
          <w:kern w:val="2"/>
          <w:sz w:val="22"/>
          <w:szCs w:val="22"/>
          <w:highlight w:val="none"/>
          <w:lang w:val="en-US" w:eastAsia="zh-CN" w:bidi="ar-SA"/>
        </w:rPr>
      </w:pPr>
      <w:r>
        <w:rPr>
          <w:rFonts w:hint="eastAsia" w:ascii="Times New Roman" w:hAnsi="Times New Roman" w:cs="宋体"/>
          <w:color w:val="auto"/>
          <w:spacing w:val="-1"/>
          <w:w w:val="100"/>
          <w:kern w:val="2"/>
          <w:sz w:val="22"/>
          <w:szCs w:val="22"/>
          <w:highlight w:val="none"/>
          <w:lang w:val="en-US" w:eastAsia="zh-CN" w:bidi="ar-SA"/>
        </w:rPr>
        <w:t>9</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1</w:t>
      </w:r>
      <w:r>
        <w:rPr>
          <w:rFonts w:hint="default" w:ascii="宋体" w:hAnsi="宋体" w:eastAsia="宋体" w:cs="宋体"/>
          <w:color w:val="auto"/>
          <w:spacing w:val="-1"/>
          <w:w w:val="100"/>
          <w:kern w:val="2"/>
          <w:sz w:val="22"/>
          <w:szCs w:val="22"/>
          <w:highlight w:val="none"/>
          <w:lang w:val="en-US" w:eastAsia="zh-CN" w:bidi="ar-SA"/>
        </w:rPr>
        <w:t>乙方提交的本项目设计文件中，如存在乙方原因造成的任何设计缺陷，乙方应立即无  条件进行修改，并在甲方要求的合理工作时间内完成并重新提交，但不得影响设计计  划和项目工期。</w:t>
      </w:r>
    </w:p>
    <w:p>
      <w:pPr>
        <w:pStyle w:val="90"/>
        <w:numPr>
          <w:ilvl w:val="1"/>
          <w:numId w:val="0"/>
        </w:numPr>
        <w:tabs>
          <w:tab w:val="left" w:pos="1460"/>
        </w:tabs>
        <w:spacing w:before="101" w:line="340" w:lineRule="auto"/>
        <w:ind w:right="887" w:rightChars="0" w:firstLine="436" w:firstLineChars="200"/>
        <w:jc w:val="both"/>
        <w:rPr>
          <w:rFonts w:hint="default" w:ascii="宋体" w:hAnsi="宋体" w:eastAsia="宋体" w:cs="宋体"/>
          <w:color w:val="auto"/>
          <w:spacing w:val="-1"/>
          <w:w w:val="100"/>
          <w:kern w:val="2"/>
          <w:sz w:val="22"/>
          <w:szCs w:val="22"/>
          <w:highlight w:val="none"/>
          <w:lang w:val="en-US" w:eastAsia="zh-CN" w:bidi="ar-SA"/>
        </w:rPr>
      </w:pPr>
      <w:r>
        <w:rPr>
          <w:rFonts w:hint="eastAsia" w:ascii="Times New Roman" w:hAnsi="Times New Roman" w:cs="宋体"/>
          <w:color w:val="auto"/>
          <w:spacing w:val="-1"/>
          <w:w w:val="100"/>
          <w:kern w:val="2"/>
          <w:sz w:val="22"/>
          <w:szCs w:val="22"/>
          <w:highlight w:val="none"/>
          <w:lang w:val="en-US" w:eastAsia="zh-CN" w:bidi="ar-SA"/>
        </w:rPr>
        <w:t>9</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2</w:t>
      </w:r>
      <w:r>
        <w:rPr>
          <w:rFonts w:hint="default" w:ascii="宋体" w:hAnsi="宋体" w:eastAsia="宋体" w:cs="宋体"/>
          <w:color w:val="auto"/>
          <w:spacing w:val="-1"/>
          <w:w w:val="100"/>
          <w:kern w:val="2"/>
          <w:sz w:val="22"/>
          <w:szCs w:val="22"/>
          <w:highlight w:val="none"/>
          <w:lang w:val="en-US" w:eastAsia="zh-CN" w:bidi="ar-SA"/>
        </w:rPr>
        <w:t>甲方变更委托设计项目、规模、条件，或所提交资料作合理修改，甲方需出具书面文  件，乙方应予配合，若需要增加设计费的，则经双方在修改设计前协商明确并另行签  订补充协议。</w:t>
      </w:r>
    </w:p>
    <w:p>
      <w:pPr>
        <w:pStyle w:val="90"/>
        <w:numPr>
          <w:ilvl w:val="1"/>
          <w:numId w:val="0"/>
        </w:numPr>
        <w:tabs>
          <w:tab w:val="left" w:pos="1460"/>
        </w:tabs>
        <w:spacing w:before="101" w:line="340" w:lineRule="auto"/>
        <w:ind w:right="887" w:rightChars="0" w:firstLine="436" w:firstLineChars="200"/>
        <w:jc w:val="both"/>
        <w:rPr>
          <w:rFonts w:hint="default" w:ascii="宋体" w:hAnsi="宋体" w:eastAsia="宋体" w:cs="宋体"/>
          <w:color w:val="auto"/>
          <w:spacing w:val="-1"/>
          <w:w w:val="100"/>
          <w:kern w:val="2"/>
          <w:sz w:val="22"/>
          <w:szCs w:val="22"/>
          <w:highlight w:val="none"/>
          <w:lang w:val="en-US" w:eastAsia="zh-CN" w:bidi="ar-SA"/>
        </w:rPr>
      </w:pPr>
      <w:r>
        <w:rPr>
          <w:rFonts w:hint="eastAsia" w:ascii="Times New Roman" w:hAnsi="Times New Roman" w:cs="宋体"/>
          <w:color w:val="auto"/>
          <w:spacing w:val="-1"/>
          <w:w w:val="100"/>
          <w:kern w:val="2"/>
          <w:sz w:val="22"/>
          <w:szCs w:val="22"/>
          <w:highlight w:val="none"/>
          <w:lang w:val="en-US" w:eastAsia="zh-CN" w:bidi="ar-SA"/>
        </w:rPr>
        <w:t>9</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3</w:t>
      </w:r>
      <w:r>
        <w:rPr>
          <w:rFonts w:hint="default" w:ascii="宋体" w:hAnsi="宋体" w:eastAsia="宋体" w:cs="宋体"/>
          <w:color w:val="auto"/>
          <w:spacing w:val="-1"/>
          <w:w w:val="100"/>
          <w:kern w:val="2"/>
          <w:sz w:val="22"/>
          <w:szCs w:val="22"/>
          <w:highlight w:val="none"/>
          <w:lang w:val="en-US" w:eastAsia="zh-CN" w:bidi="ar-SA"/>
        </w:rPr>
        <w:t>如项目设计各相应阶段获得甲方书面确认或政府相关审批部门的批准（如需）后，甲  方要求乙方作项目各相应阶段设计方面（含对后期阶段的设计依据）的相关变更，乙  方在不违反有关技术规范的前提下，应采取积极的修改措施，并在甲方要求的合理时  间内完成相关工作，满足甲方的要求，需要增加设计费的，则经双方协商后另行签订  补充协议。</w:t>
      </w:r>
    </w:p>
    <w:p>
      <w:pPr>
        <w:spacing w:line="264" w:lineRule="exact"/>
        <w:jc w:val="both"/>
        <w:rPr>
          <w:b/>
          <w:color w:val="auto"/>
          <w:sz w:val="21"/>
          <w:highlight w:val="none"/>
          <w:lang w:eastAsia="zh-CN"/>
        </w:rPr>
      </w:pPr>
      <w:r>
        <w:rPr>
          <w:b/>
          <w:color w:val="auto"/>
          <w:sz w:val="21"/>
          <w:highlight w:val="none"/>
          <w:lang w:eastAsia="zh-CN"/>
        </w:rPr>
        <w:t>第十条 成本控制与设计概算</w:t>
      </w:r>
    </w:p>
    <w:p>
      <w:pPr>
        <w:pStyle w:val="90"/>
        <w:numPr>
          <w:ilvl w:val="1"/>
          <w:numId w:val="0"/>
        </w:numPr>
        <w:tabs>
          <w:tab w:val="left" w:pos="1460"/>
        </w:tabs>
        <w:spacing w:before="101" w:line="340" w:lineRule="auto"/>
        <w:ind w:right="887" w:rightChars="0" w:firstLine="436" w:firstLineChars="200"/>
        <w:jc w:val="both"/>
        <w:rPr>
          <w:rFonts w:hint="default" w:ascii="宋体" w:hAnsi="宋体" w:eastAsia="宋体" w:cs="宋体"/>
          <w:color w:val="auto"/>
          <w:spacing w:val="-1"/>
          <w:w w:val="100"/>
          <w:kern w:val="2"/>
          <w:sz w:val="22"/>
          <w:szCs w:val="22"/>
          <w:highlight w:val="none"/>
          <w:lang w:val="en-US" w:eastAsia="zh-CN" w:bidi="ar-SA"/>
        </w:rPr>
      </w:pPr>
      <w:r>
        <w:rPr>
          <w:rFonts w:hint="eastAsia" w:ascii="Times New Roman" w:hAnsi="Times New Roman" w:cs="宋体"/>
          <w:color w:val="auto"/>
          <w:spacing w:val="-1"/>
          <w:w w:val="100"/>
          <w:kern w:val="2"/>
          <w:sz w:val="22"/>
          <w:szCs w:val="22"/>
          <w:highlight w:val="none"/>
          <w:lang w:val="en-US" w:eastAsia="zh-CN" w:bidi="ar-SA"/>
        </w:rPr>
        <w:t>10</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1</w:t>
      </w:r>
      <w:r>
        <w:rPr>
          <w:rFonts w:hint="default" w:ascii="宋体" w:hAnsi="宋体" w:eastAsia="宋体" w:cs="宋体"/>
          <w:color w:val="auto"/>
          <w:spacing w:val="-1"/>
          <w:w w:val="100"/>
          <w:kern w:val="2"/>
          <w:sz w:val="22"/>
          <w:szCs w:val="22"/>
          <w:highlight w:val="none"/>
          <w:lang w:val="en-US" w:eastAsia="zh-CN" w:bidi="ar-SA"/>
        </w:rPr>
        <w:t>本项目的具体建设设计标准及设计限额指标由业主方与项目</w:t>
      </w:r>
      <w:r>
        <w:rPr>
          <w:rFonts w:hint="eastAsia" w:ascii="宋体" w:hAnsi="宋体" w:eastAsia="宋体" w:cs="宋体"/>
          <w:color w:val="auto"/>
          <w:spacing w:val="-1"/>
          <w:w w:val="100"/>
          <w:kern w:val="2"/>
          <w:sz w:val="22"/>
          <w:szCs w:val="22"/>
          <w:highlight w:val="none"/>
          <w:lang w:val="en-US" w:eastAsia="zh-CN" w:bidi="ar-SA"/>
        </w:rPr>
        <w:t>开发管理服务</w:t>
      </w:r>
      <w:r>
        <w:rPr>
          <w:rFonts w:hint="default" w:ascii="宋体" w:hAnsi="宋体" w:eastAsia="宋体" w:cs="宋体"/>
          <w:color w:val="auto"/>
          <w:spacing w:val="-1"/>
          <w:w w:val="100"/>
          <w:kern w:val="2"/>
          <w:sz w:val="22"/>
          <w:szCs w:val="22"/>
          <w:highlight w:val="none"/>
          <w:lang w:val="en-US" w:eastAsia="zh-CN" w:bidi="ar-SA"/>
        </w:rPr>
        <w:t>单位明确后， 以书面形式提供给乙方。</w:t>
      </w:r>
    </w:p>
    <w:p>
      <w:pPr>
        <w:pStyle w:val="90"/>
        <w:numPr>
          <w:ilvl w:val="1"/>
          <w:numId w:val="0"/>
        </w:numPr>
        <w:tabs>
          <w:tab w:val="left" w:pos="1460"/>
        </w:tabs>
        <w:spacing w:before="101" w:line="340" w:lineRule="auto"/>
        <w:ind w:right="887" w:rightChars="0" w:firstLine="436" w:firstLineChars="200"/>
        <w:jc w:val="both"/>
        <w:rPr>
          <w:rFonts w:hint="default" w:ascii="宋体" w:hAnsi="宋体" w:eastAsia="宋体" w:cs="宋体"/>
          <w:color w:val="auto"/>
          <w:spacing w:val="-1"/>
          <w:w w:val="100"/>
          <w:kern w:val="2"/>
          <w:sz w:val="22"/>
          <w:szCs w:val="22"/>
          <w:highlight w:val="none"/>
          <w:lang w:val="en-US" w:eastAsia="zh-CN" w:bidi="ar-SA"/>
        </w:rPr>
      </w:pPr>
      <w:r>
        <w:rPr>
          <w:rFonts w:hint="eastAsia" w:ascii="Times New Roman" w:hAnsi="Times New Roman" w:cs="宋体"/>
          <w:color w:val="auto"/>
          <w:spacing w:val="-1"/>
          <w:w w:val="100"/>
          <w:kern w:val="2"/>
          <w:sz w:val="22"/>
          <w:szCs w:val="22"/>
          <w:highlight w:val="none"/>
          <w:lang w:val="en-US" w:eastAsia="zh-CN" w:bidi="ar-SA"/>
        </w:rPr>
        <w:t>10</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2</w:t>
      </w:r>
      <w:r>
        <w:rPr>
          <w:rFonts w:hint="default" w:ascii="宋体" w:hAnsi="宋体" w:eastAsia="宋体" w:cs="宋体"/>
          <w:color w:val="auto"/>
          <w:spacing w:val="-1"/>
          <w:w w:val="100"/>
          <w:kern w:val="2"/>
          <w:sz w:val="22"/>
          <w:szCs w:val="22"/>
          <w:highlight w:val="none"/>
          <w:lang w:val="en-US" w:eastAsia="zh-CN" w:bidi="ar-SA"/>
        </w:rPr>
        <w:t>在保证设计质量的前提下，乙方应按甲方提出的限额对应的设计标准进行设计， 严格控制地下车库单车位面积指标、钢筋用量、混凝土用量等设计指标不突破限额指标，同时乙方需保证设计限额与设计标准的匹配度。如有超出上述成本控制范围的，乙方须对图纸进行合理的修改和调整，直至在技术和经济上达到甲方要求的标准（因物价上涨等非乙方原因除外），但不得影响设计进度和工程工期。</w:t>
      </w:r>
    </w:p>
    <w:p>
      <w:pPr>
        <w:pStyle w:val="90"/>
        <w:numPr>
          <w:ilvl w:val="1"/>
          <w:numId w:val="0"/>
        </w:numPr>
        <w:tabs>
          <w:tab w:val="left" w:pos="1460"/>
        </w:tabs>
        <w:spacing w:before="101" w:line="340" w:lineRule="auto"/>
        <w:ind w:right="887" w:rightChars="0" w:firstLine="436" w:firstLineChars="200"/>
        <w:jc w:val="both"/>
        <w:rPr>
          <w:rFonts w:hint="default" w:ascii="宋体" w:hAnsi="宋体" w:eastAsia="宋体" w:cs="宋体"/>
          <w:color w:val="auto"/>
          <w:spacing w:val="-1"/>
          <w:w w:val="100"/>
          <w:kern w:val="2"/>
          <w:sz w:val="22"/>
          <w:szCs w:val="22"/>
          <w:highlight w:val="none"/>
          <w:lang w:val="en-US" w:eastAsia="zh-CN" w:bidi="ar-SA"/>
        </w:rPr>
      </w:pPr>
      <w:r>
        <w:rPr>
          <w:rFonts w:hint="eastAsia" w:ascii="Times New Roman" w:hAnsi="Times New Roman" w:cs="宋体"/>
          <w:color w:val="auto"/>
          <w:spacing w:val="-1"/>
          <w:w w:val="100"/>
          <w:kern w:val="2"/>
          <w:sz w:val="22"/>
          <w:szCs w:val="22"/>
          <w:highlight w:val="none"/>
          <w:lang w:val="en-US" w:eastAsia="zh-CN" w:bidi="ar-SA"/>
        </w:rPr>
        <w:t>10</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3</w:t>
      </w:r>
      <w:r>
        <w:rPr>
          <w:rFonts w:hint="default" w:ascii="宋体" w:hAnsi="宋体" w:eastAsia="宋体" w:cs="宋体"/>
          <w:color w:val="auto"/>
          <w:spacing w:val="-1"/>
          <w:w w:val="100"/>
          <w:kern w:val="2"/>
          <w:sz w:val="22"/>
          <w:szCs w:val="22"/>
          <w:highlight w:val="none"/>
          <w:lang w:val="en-US" w:eastAsia="zh-CN" w:bidi="ar-SA"/>
        </w:rPr>
        <w:t>乙方提供的设计文件应对各分项设计进行限额把控，并满足概算总额限制。乙方提交的项目设计文件经专业预算单位测算后成本总额超过概算限额时，乙方应在不影响建设工期的前提下无偿修改或补充，并重新出具符合合同规定和质量要求的项目设计文件。</w:t>
      </w:r>
    </w:p>
    <w:p>
      <w:pPr>
        <w:pStyle w:val="90"/>
        <w:numPr>
          <w:ilvl w:val="1"/>
          <w:numId w:val="0"/>
        </w:numPr>
        <w:tabs>
          <w:tab w:val="left" w:pos="1460"/>
        </w:tabs>
        <w:spacing w:before="101" w:line="340" w:lineRule="auto"/>
        <w:ind w:right="887" w:rightChars="0" w:firstLine="436" w:firstLineChars="200"/>
        <w:jc w:val="both"/>
        <w:rPr>
          <w:rFonts w:hint="default" w:ascii="宋体" w:hAnsi="宋体" w:eastAsia="宋体" w:cs="宋体"/>
          <w:color w:val="auto"/>
          <w:spacing w:val="-1"/>
          <w:w w:val="100"/>
          <w:kern w:val="2"/>
          <w:sz w:val="22"/>
          <w:szCs w:val="22"/>
          <w:highlight w:val="none"/>
          <w:lang w:val="en-US" w:eastAsia="zh-CN" w:bidi="ar-SA"/>
        </w:rPr>
      </w:pPr>
      <w:r>
        <w:rPr>
          <w:rFonts w:hint="eastAsia" w:ascii="Times New Roman" w:hAnsi="Times New Roman" w:cs="宋体"/>
          <w:color w:val="auto"/>
          <w:spacing w:val="-1"/>
          <w:w w:val="100"/>
          <w:kern w:val="2"/>
          <w:sz w:val="22"/>
          <w:szCs w:val="22"/>
          <w:highlight w:val="none"/>
          <w:lang w:val="en-US" w:eastAsia="zh-CN" w:bidi="ar-SA"/>
        </w:rPr>
        <w:t>10</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4</w:t>
      </w:r>
      <w:r>
        <w:rPr>
          <w:rFonts w:hint="default" w:ascii="宋体" w:hAnsi="宋体" w:eastAsia="宋体" w:cs="宋体"/>
          <w:color w:val="auto"/>
          <w:spacing w:val="-1"/>
          <w:w w:val="100"/>
          <w:kern w:val="2"/>
          <w:sz w:val="22"/>
          <w:szCs w:val="22"/>
          <w:highlight w:val="none"/>
          <w:lang w:val="en-US" w:eastAsia="zh-CN" w:bidi="ar-SA"/>
        </w:rPr>
        <w:t>因乙方设计超额造成甲方实际经济损失的，损失金额由乙方承担赔偿责任，赔偿金额以设计费总额为限。</w:t>
      </w:r>
    </w:p>
    <w:p>
      <w:pPr>
        <w:pStyle w:val="90"/>
        <w:numPr>
          <w:ilvl w:val="1"/>
          <w:numId w:val="0"/>
        </w:numPr>
        <w:tabs>
          <w:tab w:val="left" w:pos="1460"/>
        </w:tabs>
        <w:spacing w:before="101" w:line="340" w:lineRule="auto"/>
        <w:ind w:right="887" w:rightChars="0" w:firstLine="436" w:firstLineChars="200"/>
        <w:jc w:val="both"/>
        <w:rPr>
          <w:rFonts w:hint="default" w:ascii="宋体" w:hAnsi="宋体" w:eastAsia="宋体" w:cs="宋体"/>
          <w:color w:val="auto"/>
          <w:spacing w:val="-1"/>
          <w:w w:val="100"/>
          <w:kern w:val="2"/>
          <w:sz w:val="22"/>
          <w:szCs w:val="22"/>
          <w:highlight w:val="none"/>
          <w:lang w:val="en-US" w:eastAsia="zh-CN" w:bidi="ar-SA"/>
        </w:rPr>
      </w:pPr>
      <w:r>
        <w:rPr>
          <w:rFonts w:hint="eastAsia" w:ascii="Times New Roman" w:hAnsi="Times New Roman" w:cs="宋体"/>
          <w:color w:val="auto"/>
          <w:spacing w:val="-1"/>
          <w:w w:val="100"/>
          <w:kern w:val="2"/>
          <w:sz w:val="22"/>
          <w:szCs w:val="22"/>
          <w:highlight w:val="none"/>
          <w:lang w:val="en-US" w:eastAsia="zh-CN" w:bidi="ar-SA"/>
        </w:rPr>
        <w:t>10</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5</w:t>
      </w:r>
      <w:r>
        <w:rPr>
          <w:rFonts w:hint="default" w:ascii="宋体" w:hAnsi="宋体" w:eastAsia="宋体" w:cs="宋体"/>
          <w:color w:val="auto"/>
          <w:spacing w:val="-1"/>
          <w:w w:val="100"/>
          <w:kern w:val="2"/>
          <w:sz w:val="22"/>
          <w:szCs w:val="22"/>
          <w:highlight w:val="none"/>
          <w:lang w:val="en-US" w:eastAsia="zh-CN" w:bidi="ar-SA"/>
        </w:rPr>
        <w:t>根据项目需要，甲乙双方可协商决定，是否另行委托结构优化咨询公司，咨询公司按照国家现行规范对乙方的计算模型、施工图进行复核、优化，乙方需提供相应便利，相关优化费用由乙方承担。乙方若对结构咨询公司的复核、优化结果有异议，应与甲方一起对设计计算有关的原始数据、重要参数、计算书进行研究复核，找出问题原因。</w:t>
      </w:r>
    </w:p>
    <w:p>
      <w:pPr>
        <w:spacing w:before="6"/>
        <w:ind w:firstLine="211" w:firstLineChars="100"/>
        <w:jc w:val="both"/>
        <w:rPr>
          <w:b/>
          <w:color w:val="auto"/>
          <w:sz w:val="21"/>
          <w:highlight w:val="none"/>
          <w:lang w:eastAsia="zh-CN"/>
        </w:rPr>
      </w:pPr>
      <w:r>
        <w:rPr>
          <w:b/>
          <w:color w:val="auto"/>
          <w:sz w:val="21"/>
          <w:highlight w:val="none"/>
          <w:lang w:eastAsia="zh-CN"/>
        </w:rPr>
        <w:t>第十一条 设计缺陷及责任保险</w:t>
      </w:r>
    </w:p>
    <w:p>
      <w:pPr>
        <w:pStyle w:val="90"/>
        <w:numPr>
          <w:ilvl w:val="1"/>
          <w:numId w:val="0"/>
        </w:numPr>
        <w:tabs>
          <w:tab w:val="left" w:pos="1460"/>
        </w:tabs>
        <w:spacing w:before="101" w:line="340" w:lineRule="auto"/>
        <w:ind w:right="887" w:rightChars="0" w:firstLine="436" w:firstLineChars="200"/>
        <w:jc w:val="both"/>
        <w:rPr>
          <w:rFonts w:hint="default" w:ascii="宋体" w:hAnsi="宋体" w:eastAsia="宋体" w:cs="宋体"/>
          <w:color w:val="auto"/>
          <w:spacing w:val="-1"/>
          <w:w w:val="100"/>
          <w:kern w:val="2"/>
          <w:sz w:val="22"/>
          <w:szCs w:val="22"/>
          <w:highlight w:val="none"/>
          <w:lang w:val="en-US" w:eastAsia="zh-CN" w:bidi="ar-SA"/>
        </w:rPr>
      </w:pPr>
      <w:r>
        <w:rPr>
          <w:rFonts w:hint="eastAsia" w:ascii="Times New Roman" w:hAnsi="Times New Roman" w:cs="宋体"/>
          <w:color w:val="auto"/>
          <w:spacing w:val="-1"/>
          <w:w w:val="100"/>
          <w:kern w:val="2"/>
          <w:sz w:val="22"/>
          <w:szCs w:val="22"/>
          <w:highlight w:val="none"/>
          <w:lang w:val="en-US" w:eastAsia="zh-CN" w:bidi="ar-SA"/>
        </w:rPr>
        <w:t>11</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1</w:t>
      </w:r>
      <w:r>
        <w:rPr>
          <w:rFonts w:hint="default" w:ascii="宋体" w:hAnsi="宋体" w:eastAsia="宋体" w:cs="宋体"/>
          <w:color w:val="auto"/>
          <w:spacing w:val="-1"/>
          <w:w w:val="100"/>
          <w:kern w:val="2"/>
          <w:sz w:val="22"/>
          <w:szCs w:val="22"/>
          <w:highlight w:val="none"/>
          <w:lang w:val="en-US" w:eastAsia="zh-CN" w:bidi="ar-SA"/>
        </w:rPr>
        <w:t>乙方根据本合同须负责修改（无论自费与否）本项目设计文件中存在的一切缺陷或其他缺点。如果存在重大缺陷，则由甲方和乙方根据具体情况另行协商完成， 但不得影响设计计划。双方协商达不成一致意见的，甲方有权解除合同，甲方根据乙方实际已完成且经甲方确认的工作量支付设计费。</w:t>
      </w:r>
    </w:p>
    <w:p>
      <w:pPr>
        <w:pStyle w:val="90"/>
        <w:numPr>
          <w:ilvl w:val="1"/>
          <w:numId w:val="0"/>
        </w:numPr>
        <w:tabs>
          <w:tab w:val="left" w:pos="1460"/>
        </w:tabs>
        <w:spacing w:before="101" w:line="340" w:lineRule="auto"/>
        <w:ind w:right="887" w:rightChars="0" w:firstLine="436" w:firstLineChars="200"/>
        <w:jc w:val="both"/>
        <w:rPr>
          <w:rFonts w:hint="default" w:ascii="宋体" w:hAnsi="宋体" w:eastAsia="宋体" w:cs="宋体"/>
          <w:color w:val="auto"/>
          <w:spacing w:val="-1"/>
          <w:w w:val="100"/>
          <w:kern w:val="2"/>
          <w:sz w:val="22"/>
          <w:szCs w:val="22"/>
          <w:highlight w:val="none"/>
          <w:lang w:val="en-US" w:eastAsia="zh-CN" w:bidi="ar-SA"/>
        </w:rPr>
      </w:pPr>
      <w:r>
        <w:rPr>
          <w:rFonts w:hint="eastAsia" w:ascii="Times New Roman" w:hAnsi="Times New Roman" w:cs="宋体"/>
          <w:color w:val="auto"/>
          <w:spacing w:val="-1"/>
          <w:w w:val="100"/>
          <w:kern w:val="2"/>
          <w:sz w:val="22"/>
          <w:szCs w:val="22"/>
          <w:highlight w:val="none"/>
          <w:lang w:val="en-US" w:eastAsia="zh-CN" w:bidi="ar-SA"/>
        </w:rPr>
        <w:t>11</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2</w:t>
      </w:r>
      <w:r>
        <w:rPr>
          <w:rFonts w:hint="default" w:ascii="宋体" w:hAnsi="宋体" w:eastAsia="宋体" w:cs="宋体"/>
          <w:color w:val="auto"/>
          <w:spacing w:val="-1"/>
          <w:w w:val="100"/>
          <w:kern w:val="2"/>
          <w:sz w:val="22"/>
          <w:szCs w:val="22"/>
          <w:highlight w:val="none"/>
          <w:lang w:val="en-US" w:eastAsia="zh-CN" w:bidi="ar-SA"/>
        </w:rPr>
        <w:t>乙方应按国家有关规定购买设计行业责任保险，并报甲方备案，同时乙方对设计 成果负瑕疵担保责任，无偿负责对设计文件中出现的遗漏或错误进行修改或补充。若由于乙方设计错误及其他因不及时、不完全、不适当履行合同义务而造成工程 逾期，工程在施工或使用中出现质量问题时，除按照国家有关法律、法规处理外， 乙方承诺无偿负责采取补救措施。由此给甲方带来损失的，乙方应赔偿甲方损失， 赔偿金额以设计费总额为限。</w:t>
      </w:r>
    </w:p>
    <w:p>
      <w:pPr>
        <w:tabs>
          <w:tab w:val="left" w:pos="2260"/>
        </w:tabs>
        <w:spacing w:before="8"/>
        <w:rPr>
          <w:b/>
          <w:color w:val="auto"/>
          <w:sz w:val="21"/>
          <w:highlight w:val="none"/>
          <w:lang w:eastAsia="zh-CN"/>
        </w:rPr>
      </w:pPr>
      <w:r>
        <w:rPr>
          <w:b/>
          <w:color w:val="auto"/>
          <w:sz w:val="21"/>
          <w:highlight w:val="none"/>
          <w:lang w:eastAsia="zh-CN"/>
        </w:rPr>
        <w:t>第十二条</w:t>
      </w:r>
      <w:bookmarkStart w:id="154" w:name="第十二条知识产权与保密"/>
      <w:bookmarkEnd w:id="154"/>
      <w:r>
        <w:rPr>
          <w:rFonts w:hint="eastAsia"/>
          <w:b/>
          <w:color w:val="auto"/>
          <w:sz w:val="21"/>
          <w:highlight w:val="none"/>
          <w:lang w:val="en-US" w:eastAsia="zh-CN"/>
        </w:rPr>
        <w:t xml:space="preserve">  </w:t>
      </w:r>
      <w:r>
        <w:rPr>
          <w:b/>
          <w:color w:val="auto"/>
          <w:sz w:val="21"/>
          <w:highlight w:val="none"/>
          <w:lang w:eastAsia="zh-CN"/>
        </w:rPr>
        <w:t>知识产权与保密</w:t>
      </w:r>
    </w:p>
    <w:p>
      <w:pPr>
        <w:pStyle w:val="90"/>
        <w:numPr>
          <w:ilvl w:val="1"/>
          <w:numId w:val="0"/>
        </w:numPr>
        <w:tabs>
          <w:tab w:val="left" w:pos="1460"/>
        </w:tabs>
        <w:spacing w:before="101" w:line="340" w:lineRule="auto"/>
        <w:ind w:right="887" w:rightChars="0" w:firstLine="436" w:firstLineChars="200"/>
        <w:jc w:val="both"/>
        <w:rPr>
          <w:rFonts w:hint="default" w:ascii="宋体" w:hAnsi="宋体" w:eastAsia="宋体" w:cs="宋体"/>
          <w:color w:val="auto"/>
          <w:spacing w:val="-1"/>
          <w:w w:val="100"/>
          <w:kern w:val="2"/>
          <w:sz w:val="22"/>
          <w:szCs w:val="22"/>
          <w:highlight w:val="none"/>
          <w:lang w:val="en-US" w:eastAsia="zh-CN" w:bidi="ar-SA"/>
        </w:rPr>
      </w:pPr>
      <w:r>
        <w:rPr>
          <w:rFonts w:hint="eastAsia" w:ascii="Times New Roman" w:hAnsi="Times New Roman" w:cs="宋体"/>
          <w:color w:val="auto"/>
          <w:spacing w:val="-1"/>
          <w:w w:val="100"/>
          <w:kern w:val="2"/>
          <w:sz w:val="22"/>
          <w:szCs w:val="22"/>
          <w:highlight w:val="none"/>
          <w:lang w:val="en-US" w:eastAsia="zh-CN" w:bidi="ar-SA"/>
        </w:rPr>
        <w:t>12</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1</w:t>
      </w:r>
      <w:r>
        <w:rPr>
          <w:rFonts w:hint="default" w:ascii="宋体" w:hAnsi="宋体" w:eastAsia="宋体" w:cs="宋体"/>
          <w:color w:val="auto"/>
          <w:spacing w:val="-1"/>
          <w:w w:val="100"/>
          <w:kern w:val="2"/>
          <w:sz w:val="22"/>
          <w:szCs w:val="22"/>
          <w:highlight w:val="none"/>
          <w:lang w:val="en-US" w:eastAsia="zh-CN" w:bidi="ar-SA"/>
        </w:rPr>
        <w:t>乙方在与甲方合作过程中所获得或知悉的关于甲方的信息，包括但不限于项目信 息、技术图纸、资料、数据、经营信息、人力资源、本合同所涉及的设计/研究  内容、设计/研究成果、与业务有关的客户信息等所有未公开信息为甲方的商业  秘密，乙方应予以严守。乙方仅能在与本项目设计相关的情况下使用甲方信息， 不得用于任何其他用途。乙方应对其知悉的甲方信息采取合理保密措施，并对甲 方信息载体进行妥善保管。未经甲方事先书面许可，乙方不得向任何第三方出示、披露、提供、扩散、转让甲方的上述信息。因乙方原因而导致甲方的上述信息泄 露，由乙方承担责任，并赔偿甲方全部实际损失。具体赔偿事宜由甲方、乙方、 设计责任保险方协商确定，赔偿金额以设计责任保险方赔付（理赔）的金额为限。本合同项下的保密义务的期限为永久性，不因本合同终止而失效。</w:t>
      </w:r>
    </w:p>
    <w:p>
      <w:pPr>
        <w:pStyle w:val="90"/>
        <w:numPr>
          <w:ilvl w:val="1"/>
          <w:numId w:val="0"/>
        </w:numPr>
        <w:tabs>
          <w:tab w:val="left" w:pos="1460"/>
        </w:tabs>
        <w:spacing w:before="101" w:line="340" w:lineRule="auto"/>
        <w:ind w:right="887" w:rightChars="0" w:firstLine="436" w:firstLineChars="200"/>
        <w:jc w:val="both"/>
        <w:rPr>
          <w:rFonts w:hint="default" w:ascii="宋体" w:hAnsi="宋体" w:eastAsia="宋体" w:cs="宋体"/>
          <w:color w:val="auto"/>
          <w:spacing w:val="-1"/>
          <w:w w:val="100"/>
          <w:kern w:val="2"/>
          <w:sz w:val="22"/>
          <w:szCs w:val="22"/>
          <w:highlight w:val="none"/>
          <w:lang w:val="en-US" w:eastAsia="zh-CN" w:bidi="ar-SA"/>
        </w:rPr>
      </w:pPr>
      <w:r>
        <w:rPr>
          <w:rFonts w:hint="eastAsia" w:ascii="Times New Roman" w:hAnsi="Times New Roman" w:cs="宋体"/>
          <w:color w:val="auto"/>
          <w:spacing w:val="-1"/>
          <w:w w:val="100"/>
          <w:kern w:val="2"/>
          <w:sz w:val="22"/>
          <w:szCs w:val="22"/>
          <w:highlight w:val="none"/>
          <w:lang w:val="en-US" w:eastAsia="zh-CN" w:bidi="ar-SA"/>
        </w:rPr>
        <w:t>12</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2</w:t>
      </w:r>
      <w:r>
        <w:rPr>
          <w:rFonts w:hint="default" w:ascii="宋体" w:hAnsi="宋体" w:eastAsia="宋体" w:cs="宋体"/>
          <w:color w:val="auto"/>
          <w:spacing w:val="-1"/>
          <w:w w:val="100"/>
          <w:kern w:val="2"/>
          <w:sz w:val="22"/>
          <w:szCs w:val="22"/>
          <w:highlight w:val="none"/>
          <w:lang w:val="en-US" w:eastAsia="zh-CN" w:bidi="ar-SA"/>
        </w:rPr>
        <w:t>乙方应保证其向甲方提交的所有设计成果、图纸及文件（包括阶段性和最终性成果）及乙方为实现该成果所使用的必要方法不受第三方关于侵犯其合法权益（包</w:t>
      </w:r>
    </w:p>
    <w:p>
      <w:pPr>
        <w:pStyle w:val="90"/>
        <w:numPr>
          <w:ilvl w:val="1"/>
          <w:numId w:val="0"/>
        </w:numPr>
        <w:tabs>
          <w:tab w:val="left" w:pos="1460"/>
        </w:tabs>
        <w:spacing w:before="101" w:line="340" w:lineRule="auto"/>
        <w:ind w:right="887" w:rightChars="0" w:firstLine="436" w:firstLineChars="200"/>
        <w:jc w:val="both"/>
        <w:rPr>
          <w:rFonts w:hint="default" w:ascii="宋体" w:hAnsi="宋体" w:eastAsia="宋体" w:cs="宋体"/>
          <w:color w:val="auto"/>
          <w:spacing w:val="-1"/>
          <w:w w:val="100"/>
          <w:kern w:val="2"/>
          <w:sz w:val="22"/>
          <w:szCs w:val="22"/>
          <w:highlight w:val="none"/>
          <w:lang w:val="en-US" w:eastAsia="zh-CN" w:bidi="ar-SA"/>
        </w:rPr>
        <w:sectPr>
          <w:pgSz w:w="11849" w:h="16792"/>
          <w:pgMar w:top="1417" w:right="850" w:bottom="1417" w:left="850" w:header="850" w:footer="850" w:gutter="0"/>
          <w:pgBorders>
            <w:top w:val="none" w:sz="0" w:space="0"/>
            <w:left w:val="none" w:sz="0" w:space="0"/>
            <w:bottom w:val="none" w:sz="0" w:space="0"/>
            <w:right w:val="none" w:sz="0" w:space="0"/>
          </w:pgBorders>
          <w:pgNumType w:fmt="decimal"/>
          <w:cols w:space="0" w:num="1"/>
          <w:rtlGutter w:val="0"/>
          <w:docGrid w:linePitch="0" w:charSpace="0"/>
        </w:sectPr>
      </w:pPr>
    </w:p>
    <w:p>
      <w:pPr>
        <w:pStyle w:val="90"/>
        <w:numPr>
          <w:ilvl w:val="1"/>
          <w:numId w:val="0"/>
        </w:numPr>
        <w:tabs>
          <w:tab w:val="left" w:pos="1460"/>
        </w:tabs>
        <w:spacing w:before="101" w:line="340" w:lineRule="auto"/>
        <w:ind w:right="887" w:rightChars="0" w:firstLine="436" w:firstLineChars="200"/>
        <w:jc w:val="both"/>
        <w:rPr>
          <w:rFonts w:hint="default" w:ascii="宋体" w:hAnsi="宋体" w:eastAsia="宋体" w:cs="宋体"/>
          <w:color w:val="auto"/>
          <w:spacing w:val="-1"/>
          <w:w w:val="100"/>
          <w:kern w:val="2"/>
          <w:sz w:val="22"/>
          <w:szCs w:val="22"/>
          <w:highlight w:val="none"/>
          <w:lang w:val="en-US" w:eastAsia="zh-CN" w:bidi="ar-SA"/>
        </w:rPr>
      </w:pPr>
      <w:r>
        <w:rPr>
          <w:rFonts w:hint="default" w:ascii="宋体" w:hAnsi="宋体" w:eastAsia="宋体" w:cs="宋体"/>
          <w:color w:val="auto"/>
          <w:spacing w:val="-1"/>
          <w:w w:val="100"/>
          <w:kern w:val="2"/>
          <w:sz w:val="22"/>
          <w:szCs w:val="22"/>
          <w:highlight w:val="none"/>
          <w:lang w:val="en-US" w:eastAsia="zh-CN" w:bidi="ar-SA"/>
        </w:rPr>
        <w:t>括但不限于专利权、商标权、著作权、工业设计权、不正当竞争等）的指控，否则，若因此产生任何纠纷、争议的，由乙方承担所有与此相关的责任，甲方若因此而遭受的损失均由乙方赔偿。若因此导致乙方交付给甲方的设计成果、图纸及文件等被查封、扣押、被禁止使用或者被采取其它行政、司法措施等行为导致甲方无法使用项目成果的，或者甲方被作为诉讼/仲裁/行政程序的当事人的，乙方应赔偿甲方的全部损失并承担甲方因此而支付的律师费、公证费、差旅费等所有费用。同时，甲方有权选择解除合同或不解除合同要求乙方在限定时间内提交符合本合同要求的替代设计成果。</w:t>
      </w:r>
    </w:p>
    <w:p>
      <w:pPr>
        <w:pStyle w:val="90"/>
        <w:numPr>
          <w:ilvl w:val="1"/>
          <w:numId w:val="0"/>
        </w:numPr>
        <w:tabs>
          <w:tab w:val="left" w:pos="1460"/>
        </w:tabs>
        <w:spacing w:before="101" w:line="340" w:lineRule="auto"/>
        <w:ind w:right="887" w:rightChars="0" w:firstLine="436" w:firstLineChars="200"/>
        <w:jc w:val="both"/>
        <w:rPr>
          <w:rFonts w:hint="default" w:ascii="宋体" w:hAnsi="宋体" w:eastAsia="宋体" w:cs="宋体"/>
          <w:color w:val="auto"/>
          <w:spacing w:val="-1"/>
          <w:w w:val="100"/>
          <w:kern w:val="2"/>
          <w:sz w:val="22"/>
          <w:szCs w:val="22"/>
          <w:highlight w:val="none"/>
          <w:lang w:val="en-US" w:eastAsia="zh-CN" w:bidi="ar-SA"/>
        </w:rPr>
      </w:pPr>
      <w:r>
        <w:rPr>
          <w:rFonts w:hint="eastAsia" w:ascii="Times New Roman" w:hAnsi="Times New Roman" w:cs="宋体"/>
          <w:color w:val="auto"/>
          <w:spacing w:val="-1"/>
          <w:w w:val="100"/>
          <w:kern w:val="2"/>
          <w:sz w:val="22"/>
          <w:szCs w:val="22"/>
          <w:highlight w:val="none"/>
          <w:lang w:val="en-US" w:eastAsia="zh-CN" w:bidi="ar-SA"/>
        </w:rPr>
        <w:t>12</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3</w:t>
      </w:r>
      <w:r>
        <w:rPr>
          <w:rFonts w:hint="default" w:ascii="宋体" w:hAnsi="宋体" w:eastAsia="宋体" w:cs="宋体"/>
          <w:color w:val="auto"/>
          <w:spacing w:val="-1"/>
          <w:w w:val="100"/>
          <w:kern w:val="2"/>
          <w:sz w:val="22"/>
          <w:szCs w:val="22"/>
          <w:highlight w:val="none"/>
          <w:lang w:val="en-US" w:eastAsia="zh-CN" w:bidi="ar-SA"/>
        </w:rPr>
        <w:t>对于乙方为履行本合同向甲方提供的所有阶段性和最终设计成果，以及因履行本合同所产生的其他研究成果，在甲方支付了相应的设计费用后，双方同意其在本项目设计开发中所产生的一切知识产权等合法权益，包括但不限于著作权、申请专利权和专利权等权利属于双方共同所有。</w:t>
      </w:r>
    </w:p>
    <w:p>
      <w:pPr>
        <w:pStyle w:val="90"/>
        <w:numPr>
          <w:ilvl w:val="1"/>
          <w:numId w:val="0"/>
        </w:numPr>
        <w:tabs>
          <w:tab w:val="left" w:pos="1460"/>
        </w:tabs>
        <w:spacing w:before="101" w:line="340" w:lineRule="auto"/>
        <w:ind w:right="887" w:rightChars="0" w:firstLine="436" w:firstLineChars="200"/>
        <w:jc w:val="both"/>
        <w:rPr>
          <w:rFonts w:hint="default" w:ascii="宋体" w:hAnsi="宋体" w:eastAsia="宋体" w:cs="宋体"/>
          <w:color w:val="auto"/>
          <w:spacing w:val="-1"/>
          <w:w w:val="100"/>
          <w:kern w:val="2"/>
          <w:sz w:val="22"/>
          <w:szCs w:val="22"/>
          <w:highlight w:val="none"/>
          <w:lang w:val="en-US" w:eastAsia="zh-CN" w:bidi="ar-SA"/>
        </w:rPr>
      </w:pPr>
      <w:r>
        <w:rPr>
          <w:rFonts w:hint="eastAsia" w:ascii="Times New Roman" w:hAnsi="Times New Roman" w:cs="宋体"/>
          <w:color w:val="auto"/>
          <w:spacing w:val="-1"/>
          <w:w w:val="100"/>
          <w:kern w:val="2"/>
          <w:sz w:val="22"/>
          <w:szCs w:val="22"/>
          <w:highlight w:val="none"/>
          <w:lang w:val="en-US" w:eastAsia="zh-CN" w:bidi="ar-SA"/>
        </w:rPr>
        <w:t>12</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4</w:t>
      </w:r>
      <w:r>
        <w:rPr>
          <w:rFonts w:hint="default" w:ascii="宋体" w:hAnsi="宋体" w:eastAsia="宋体" w:cs="宋体"/>
          <w:color w:val="auto"/>
          <w:spacing w:val="-1"/>
          <w:w w:val="100"/>
          <w:kern w:val="2"/>
          <w:sz w:val="22"/>
          <w:szCs w:val="22"/>
          <w:highlight w:val="none"/>
          <w:lang w:val="en-US" w:eastAsia="zh-CN" w:bidi="ar-SA"/>
        </w:rPr>
        <w:t>在本合同因乙方的过错解除或终止后，甲方在支付完成相应设计费后，甲方有权自行或委托他人为任何方式之使用、修改和处分乙方提交的设计成果，但乙方对上述设计成果和研究成果中由甲方自行或委托他人修改的部分不承担责任。</w:t>
      </w:r>
    </w:p>
    <w:p>
      <w:pPr>
        <w:pStyle w:val="90"/>
        <w:numPr>
          <w:ilvl w:val="1"/>
          <w:numId w:val="0"/>
        </w:numPr>
        <w:tabs>
          <w:tab w:val="left" w:pos="1460"/>
        </w:tabs>
        <w:spacing w:before="101" w:line="340" w:lineRule="auto"/>
        <w:ind w:right="887" w:rightChars="0" w:firstLine="436" w:firstLineChars="200"/>
        <w:jc w:val="both"/>
        <w:rPr>
          <w:rFonts w:hint="default" w:ascii="宋体" w:hAnsi="宋体" w:eastAsia="宋体" w:cs="宋体"/>
          <w:color w:val="auto"/>
          <w:spacing w:val="-1"/>
          <w:w w:val="100"/>
          <w:kern w:val="2"/>
          <w:sz w:val="22"/>
          <w:szCs w:val="22"/>
          <w:highlight w:val="none"/>
          <w:lang w:val="en-US" w:eastAsia="zh-CN" w:bidi="ar-SA"/>
        </w:rPr>
      </w:pPr>
      <w:r>
        <w:rPr>
          <w:rFonts w:hint="eastAsia" w:ascii="Times New Roman" w:hAnsi="Times New Roman" w:cs="宋体"/>
          <w:color w:val="auto"/>
          <w:spacing w:val="-1"/>
          <w:w w:val="100"/>
          <w:kern w:val="2"/>
          <w:sz w:val="22"/>
          <w:szCs w:val="22"/>
          <w:highlight w:val="none"/>
          <w:lang w:val="en-US" w:eastAsia="zh-CN" w:bidi="ar-SA"/>
        </w:rPr>
        <w:t>12</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5</w:t>
      </w:r>
      <w:r>
        <w:rPr>
          <w:rFonts w:hint="default" w:ascii="宋体" w:hAnsi="宋体" w:eastAsia="宋体" w:cs="宋体"/>
          <w:color w:val="auto"/>
          <w:spacing w:val="-1"/>
          <w:w w:val="100"/>
          <w:kern w:val="2"/>
          <w:sz w:val="22"/>
          <w:szCs w:val="22"/>
          <w:highlight w:val="none"/>
          <w:lang w:val="en-US" w:eastAsia="zh-CN" w:bidi="ar-SA"/>
        </w:rPr>
        <w:t>甲方有权在宣传时，对乙方设计单位、设计师，以及其过往业绩进行宣传。</w:t>
      </w:r>
    </w:p>
    <w:p>
      <w:pPr>
        <w:pStyle w:val="90"/>
        <w:numPr>
          <w:ilvl w:val="1"/>
          <w:numId w:val="0"/>
        </w:numPr>
        <w:tabs>
          <w:tab w:val="left" w:pos="1460"/>
        </w:tabs>
        <w:spacing w:before="101" w:line="340" w:lineRule="auto"/>
        <w:ind w:right="887" w:rightChars="0" w:firstLine="436" w:firstLineChars="200"/>
        <w:jc w:val="both"/>
        <w:rPr>
          <w:rFonts w:hint="default" w:ascii="宋体" w:hAnsi="宋体" w:eastAsia="宋体" w:cs="宋体"/>
          <w:color w:val="auto"/>
          <w:spacing w:val="-1"/>
          <w:w w:val="100"/>
          <w:kern w:val="2"/>
          <w:sz w:val="22"/>
          <w:szCs w:val="22"/>
          <w:highlight w:val="none"/>
          <w:lang w:val="en-US" w:eastAsia="zh-CN" w:bidi="ar-SA"/>
        </w:rPr>
      </w:pPr>
      <w:r>
        <w:rPr>
          <w:rFonts w:hint="eastAsia" w:ascii="Times New Roman" w:hAnsi="Times New Roman" w:cs="宋体"/>
          <w:color w:val="auto"/>
          <w:spacing w:val="-1"/>
          <w:w w:val="100"/>
          <w:kern w:val="2"/>
          <w:sz w:val="22"/>
          <w:szCs w:val="22"/>
          <w:highlight w:val="none"/>
          <w:lang w:val="en-US" w:eastAsia="zh-CN" w:bidi="ar-SA"/>
        </w:rPr>
        <w:t>12</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6</w:t>
      </w:r>
      <w:r>
        <w:rPr>
          <w:rFonts w:hint="default" w:ascii="宋体" w:hAnsi="宋体" w:eastAsia="宋体" w:cs="宋体"/>
          <w:color w:val="auto"/>
          <w:spacing w:val="-1"/>
          <w:w w:val="100"/>
          <w:kern w:val="2"/>
          <w:sz w:val="22"/>
          <w:szCs w:val="22"/>
          <w:highlight w:val="none"/>
          <w:lang w:val="en-US" w:eastAsia="zh-CN" w:bidi="ar-SA"/>
        </w:rPr>
        <w:t>甲方不得在未经乙方同意的情况下，将本项目设计成果用于其他项目。否则，乙方有权向甲方收取相应费用或采取法律措施维护自身的合法权益。</w:t>
      </w:r>
    </w:p>
    <w:p>
      <w:pPr>
        <w:spacing w:before="8"/>
        <w:ind w:left="820"/>
        <w:jc w:val="both"/>
        <w:rPr>
          <w:b/>
          <w:color w:val="auto"/>
          <w:sz w:val="21"/>
          <w:highlight w:val="none"/>
          <w:lang w:eastAsia="zh-CN"/>
        </w:rPr>
      </w:pPr>
      <w:r>
        <w:rPr>
          <w:b/>
          <w:color w:val="auto"/>
          <w:sz w:val="21"/>
          <w:highlight w:val="none"/>
          <w:lang w:eastAsia="zh-CN"/>
        </w:rPr>
        <w:t>第十三条 不可抗力与情势变更</w:t>
      </w:r>
    </w:p>
    <w:p>
      <w:pPr>
        <w:pStyle w:val="90"/>
        <w:numPr>
          <w:ilvl w:val="1"/>
          <w:numId w:val="0"/>
        </w:numPr>
        <w:tabs>
          <w:tab w:val="left" w:pos="1460"/>
        </w:tabs>
        <w:spacing w:before="101" w:line="340" w:lineRule="auto"/>
        <w:ind w:right="887" w:rightChars="0" w:firstLine="436" w:firstLineChars="200"/>
        <w:jc w:val="both"/>
        <w:rPr>
          <w:rFonts w:hint="default" w:ascii="宋体" w:hAnsi="宋体" w:eastAsia="宋体" w:cs="宋体"/>
          <w:color w:val="auto"/>
          <w:spacing w:val="-1"/>
          <w:w w:val="100"/>
          <w:kern w:val="2"/>
          <w:sz w:val="22"/>
          <w:szCs w:val="22"/>
          <w:highlight w:val="none"/>
          <w:lang w:val="en-US" w:eastAsia="zh-CN" w:bidi="ar-SA"/>
        </w:rPr>
      </w:pPr>
      <w:r>
        <w:rPr>
          <w:rFonts w:hint="eastAsia" w:ascii="Times New Roman" w:hAnsi="Times New Roman" w:cs="宋体"/>
          <w:color w:val="auto"/>
          <w:spacing w:val="-1"/>
          <w:w w:val="100"/>
          <w:kern w:val="2"/>
          <w:sz w:val="22"/>
          <w:szCs w:val="22"/>
          <w:highlight w:val="none"/>
          <w:lang w:val="en-US" w:eastAsia="zh-CN" w:bidi="ar-SA"/>
        </w:rPr>
        <w:t>13</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1</w:t>
      </w:r>
      <w:r>
        <w:rPr>
          <w:rFonts w:hint="default" w:ascii="宋体" w:hAnsi="宋体" w:eastAsia="宋体" w:cs="宋体"/>
          <w:color w:val="auto"/>
          <w:spacing w:val="-1"/>
          <w:w w:val="100"/>
          <w:kern w:val="2"/>
          <w:sz w:val="22"/>
          <w:szCs w:val="22"/>
          <w:highlight w:val="none"/>
          <w:lang w:val="en-US" w:eastAsia="zh-CN" w:bidi="ar-SA"/>
        </w:rPr>
        <w:t>不可抗力系指在甲方或乙方合理控制行为外不能合理预见的、经努力不可避免并 不能克服的任何事件。例如罢工（乙方的员工离职或罢工的除外）、禁运、战争、自然灾害（如洪水或地震，不包括台风）或其他超出合同双方控制的事件等。</w:t>
      </w:r>
    </w:p>
    <w:p>
      <w:pPr>
        <w:pStyle w:val="90"/>
        <w:numPr>
          <w:ilvl w:val="1"/>
          <w:numId w:val="0"/>
        </w:numPr>
        <w:tabs>
          <w:tab w:val="left" w:pos="1460"/>
        </w:tabs>
        <w:spacing w:before="101" w:line="340" w:lineRule="auto"/>
        <w:ind w:right="887" w:rightChars="0" w:firstLine="436" w:firstLineChars="200"/>
        <w:jc w:val="both"/>
        <w:rPr>
          <w:rFonts w:hint="default" w:ascii="宋体" w:hAnsi="宋体" w:eastAsia="宋体" w:cs="宋体"/>
          <w:color w:val="auto"/>
          <w:spacing w:val="-1"/>
          <w:w w:val="100"/>
          <w:kern w:val="2"/>
          <w:sz w:val="22"/>
          <w:szCs w:val="22"/>
          <w:highlight w:val="none"/>
          <w:lang w:val="en-US" w:eastAsia="zh-CN" w:bidi="ar-SA"/>
        </w:rPr>
      </w:pPr>
      <w:r>
        <w:rPr>
          <w:rFonts w:hint="eastAsia" w:ascii="Times New Roman" w:hAnsi="Times New Roman" w:cs="宋体"/>
          <w:color w:val="auto"/>
          <w:spacing w:val="-1"/>
          <w:w w:val="100"/>
          <w:kern w:val="2"/>
          <w:sz w:val="22"/>
          <w:szCs w:val="22"/>
          <w:highlight w:val="none"/>
          <w:lang w:val="en-US" w:eastAsia="zh-CN" w:bidi="ar-SA"/>
        </w:rPr>
        <w:t>13</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2</w:t>
      </w:r>
      <w:r>
        <w:rPr>
          <w:rFonts w:hint="default" w:ascii="宋体" w:hAnsi="宋体" w:eastAsia="宋体" w:cs="宋体"/>
          <w:color w:val="auto"/>
          <w:spacing w:val="-1"/>
          <w:w w:val="100"/>
          <w:kern w:val="2"/>
          <w:sz w:val="22"/>
          <w:szCs w:val="22"/>
          <w:highlight w:val="none"/>
          <w:lang w:val="en-US" w:eastAsia="zh-CN" w:bidi="ar-SA"/>
        </w:rPr>
        <w:t>情势变更系指合同成立以后客观情况发生了甲方和乙方在订立合同时无法预见的、非不可抗力造成的不属于商业风险的重大变化，继续履行合同对于一方明显不公平或者不能实现合同目的。</w:t>
      </w:r>
    </w:p>
    <w:p>
      <w:pPr>
        <w:pStyle w:val="90"/>
        <w:numPr>
          <w:ilvl w:val="1"/>
          <w:numId w:val="0"/>
        </w:numPr>
        <w:tabs>
          <w:tab w:val="left" w:pos="1460"/>
        </w:tabs>
        <w:spacing w:before="101" w:line="340" w:lineRule="auto"/>
        <w:ind w:right="887" w:rightChars="0" w:firstLine="436" w:firstLineChars="200"/>
        <w:jc w:val="both"/>
        <w:rPr>
          <w:rFonts w:hint="default" w:ascii="宋体" w:hAnsi="宋体" w:eastAsia="宋体" w:cs="宋体"/>
          <w:color w:val="auto"/>
          <w:spacing w:val="-1"/>
          <w:w w:val="100"/>
          <w:kern w:val="2"/>
          <w:sz w:val="22"/>
          <w:szCs w:val="22"/>
          <w:highlight w:val="none"/>
          <w:lang w:val="en-US" w:eastAsia="zh-CN" w:bidi="ar-SA"/>
        </w:rPr>
      </w:pPr>
      <w:r>
        <w:rPr>
          <w:rFonts w:hint="eastAsia" w:ascii="Times New Roman" w:hAnsi="Times New Roman" w:cs="宋体"/>
          <w:color w:val="auto"/>
          <w:spacing w:val="-1"/>
          <w:w w:val="100"/>
          <w:kern w:val="2"/>
          <w:sz w:val="22"/>
          <w:szCs w:val="22"/>
          <w:highlight w:val="none"/>
          <w:lang w:val="en-US" w:eastAsia="zh-CN" w:bidi="ar-SA"/>
        </w:rPr>
        <w:t>13</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3</w:t>
      </w:r>
      <w:r>
        <w:rPr>
          <w:rFonts w:hint="default" w:ascii="宋体" w:hAnsi="宋体" w:eastAsia="宋体" w:cs="宋体"/>
          <w:color w:val="auto"/>
          <w:spacing w:val="-1"/>
          <w:w w:val="100"/>
          <w:kern w:val="2"/>
          <w:sz w:val="22"/>
          <w:szCs w:val="22"/>
          <w:highlight w:val="none"/>
          <w:lang w:val="en-US" w:eastAsia="zh-CN" w:bidi="ar-SA"/>
        </w:rPr>
        <w:t>发生不可抗力或情势变更情形下，一方提出变更或者解除合同的，双方可根据公平原则并结合合同履行的实际情况协商一致后将本合同予以变更或者解除。</w:t>
      </w:r>
    </w:p>
    <w:p>
      <w:pPr>
        <w:tabs>
          <w:tab w:val="left" w:pos="2363"/>
        </w:tabs>
        <w:spacing w:before="7"/>
        <w:ind w:left="820"/>
        <w:rPr>
          <w:b/>
          <w:color w:val="auto"/>
          <w:sz w:val="21"/>
          <w:highlight w:val="none"/>
          <w:lang w:eastAsia="zh-CN"/>
        </w:rPr>
      </w:pPr>
      <w:r>
        <w:rPr>
          <w:b/>
          <w:color w:val="auto"/>
          <w:sz w:val="21"/>
          <w:highlight w:val="none"/>
          <w:lang w:eastAsia="zh-CN"/>
        </w:rPr>
        <w:t>第十四条</w:t>
      </w:r>
      <w:r>
        <w:rPr>
          <w:b/>
          <w:color w:val="auto"/>
          <w:sz w:val="21"/>
          <w:highlight w:val="none"/>
          <w:lang w:eastAsia="zh-CN"/>
        </w:rPr>
        <w:tab/>
      </w:r>
      <w:bookmarkStart w:id="155" w:name="第十四条_违约责任与赔偿责任"/>
      <w:bookmarkEnd w:id="155"/>
      <w:r>
        <w:rPr>
          <w:b/>
          <w:color w:val="auto"/>
          <w:sz w:val="21"/>
          <w:highlight w:val="none"/>
          <w:lang w:eastAsia="zh-CN"/>
        </w:rPr>
        <w:t>违约责任与赔偿责任</w:t>
      </w:r>
    </w:p>
    <w:p>
      <w:pPr>
        <w:pStyle w:val="13"/>
        <w:numPr>
          <w:ilvl w:val="1"/>
          <w:numId w:val="0"/>
        </w:numPr>
        <w:tabs>
          <w:tab w:val="left" w:pos="1671"/>
        </w:tabs>
        <w:spacing w:before="122"/>
        <w:ind w:left="1670" w:leftChars="0" w:hanging="851" w:firstLineChars="0"/>
        <w:jc w:val="both"/>
        <w:rPr>
          <w:color w:val="auto"/>
          <w:highlight w:val="none"/>
          <w:lang w:eastAsia="zh-CN"/>
        </w:rPr>
      </w:pPr>
      <w:bookmarkStart w:id="156" w:name="14.1甲方违反合同应承担的责任"/>
      <w:bookmarkEnd w:id="156"/>
      <w:r>
        <w:rPr>
          <w:rFonts w:hint="eastAsia" w:ascii="Times New Roman" w:hAnsi="Times New Roman" w:cs="宋体"/>
          <w:b/>
          <w:bCs/>
          <w:color w:val="auto"/>
          <w:spacing w:val="-1"/>
          <w:w w:val="99"/>
          <w:kern w:val="2"/>
          <w:sz w:val="22"/>
          <w:szCs w:val="22"/>
          <w:highlight w:val="none"/>
          <w:lang w:val="en-US" w:eastAsia="zh-CN" w:bidi="ar-SA"/>
        </w:rPr>
        <w:t>14</w:t>
      </w:r>
      <w:r>
        <w:rPr>
          <w:rFonts w:hint="default" w:ascii="宋体" w:hAnsi="宋体" w:eastAsia="宋体" w:cs="宋体"/>
          <w:b/>
          <w:bCs/>
          <w:color w:val="auto"/>
          <w:spacing w:val="-1"/>
          <w:w w:val="99"/>
          <w:kern w:val="2"/>
          <w:sz w:val="22"/>
          <w:szCs w:val="22"/>
          <w:highlight w:val="none"/>
          <w:lang w:val="en-US" w:eastAsia="zh-CN" w:bidi="ar-SA"/>
        </w:rPr>
        <w:t>.</w:t>
      </w:r>
      <w:r>
        <w:rPr>
          <w:rFonts w:hint="eastAsia" w:ascii="Times New Roman" w:hAnsi="Times New Roman" w:cs="宋体"/>
          <w:b/>
          <w:bCs/>
          <w:color w:val="auto"/>
          <w:spacing w:val="-1"/>
          <w:w w:val="99"/>
          <w:kern w:val="2"/>
          <w:sz w:val="22"/>
          <w:szCs w:val="22"/>
          <w:highlight w:val="none"/>
          <w:lang w:val="en-US" w:eastAsia="zh-CN" w:bidi="ar-SA"/>
        </w:rPr>
        <w:t>1</w:t>
      </w:r>
      <w:r>
        <w:rPr>
          <w:color w:val="auto"/>
          <w:highlight w:val="none"/>
          <w:lang w:eastAsia="zh-CN"/>
        </w:rPr>
        <w:t>甲方违反合同应承担的责任</w:t>
      </w:r>
    </w:p>
    <w:p>
      <w:pPr>
        <w:pStyle w:val="90"/>
        <w:numPr>
          <w:ilvl w:val="1"/>
          <w:numId w:val="0"/>
        </w:numPr>
        <w:tabs>
          <w:tab w:val="left" w:pos="1460"/>
        </w:tabs>
        <w:spacing w:before="101" w:line="340" w:lineRule="auto"/>
        <w:ind w:right="887" w:rightChars="0" w:firstLine="436" w:firstLineChars="200"/>
        <w:jc w:val="both"/>
        <w:rPr>
          <w:rFonts w:hint="default" w:ascii="宋体" w:hAnsi="宋体" w:eastAsia="宋体" w:cs="宋体"/>
          <w:color w:val="auto"/>
          <w:spacing w:val="-1"/>
          <w:w w:val="100"/>
          <w:kern w:val="2"/>
          <w:sz w:val="22"/>
          <w:szCs w:val="22"/>
          <w:highlight w:val="none"/>
          <w:lang w:val="en-US" w:eastAsia="zh-CN" w:bidi="ar-SA"/>
        </w:rPr>
      </w:pPr>
      <w:r>
        <w:rPr>
          <w:rFonts w:hint="eastAsia" w:ascii="Times New Roman" w:hAnsi="Times New Roman" w:cs="宋体"/>
          <w:color w:val="auto"/>
          <w:spacing w:val="-1"/>
          <w:w w:val="100"/>
          <w:kern w:val="2"/>
          <w:sz w:val="22"/>
          <w:szCs w:val="22"/>
          <w:highlight w:val="none"/>
          <w:lang w:val="en-US" w:eastAsia="zh-CN" w:bidi="ar-SA"/>
        </w:rPr>
        <w:t>14</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1</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1</w:t>
      </w:r>
      <w:r>
        <w:rPr>
          <w:rFonts w:hint="default" w:ascii="宋体" w:hAnsi="宋体" w:eastAsia="宋体" w:cs="宋体"/>
          <w:color w:val="auto"/>
          <w:spacing w:val="-1"/>
          <w:w w:val="100"/>
          <w:kern w:val="2"/>
          <w:sz w:val="22"/>
          <w:szCs w:val="22"/>
          <w:highlight w:val="none"/>
          <w:lang w:val="en-US" w:eastAsia="zh-CN" w:bidi="ar-SA"/>
        </w:rPr>
        <w:t>在乙方提交的设计文件获得甲方最终确认或获得政府相关审批部门的批准（如需）后，甲方未履行合同约定的义务，或因不可归责于乙方的原因造成乙方已批准设计文件的重大返工或者重新设计，增加工作量所需的设计费用由甲方承担。</w:t>
      </w:r>
    </w:p>
    <w:p>
      <w:pPr>
        <w:pStyle w:val="90"/>
        <w:numPr>
          <w:ilvl w:val="1"/>
          <w:numId w:val="0"/>
        </w:numPr>
        <w:tabs>
          <w:tab w:val="left" w:pos="1460"/>
        </w:tabs>
        <w:spacing w:before="101" w:line="340" w:lineRule="auto"/>
        <w:ind w:right="887" w:rightChars="0" w:firstLine="436" w:firstLineChars="200"/>
        <w:jc w:val="both"/>
        <w:rPr>
          <w:rFonts w:hint="default" w:ascii="宋体" w:hAnsi="宋体" w:eastAsia="宋体" w:cs="宋体"/>
          <w:color w:val="auto"/>
          <w:spacing w:val="-1"/>
          <w:w w:val="100"/>
          <w:kern w:val="2"/>
          <w:sz w:val="22"/>
          <w:szCs w:val="22"/>
          <w:highlight w:val="none"/>
          <w:lang w:val="en-US" w:eastAsia="zh-CN" w:bidi="ar-SA"/>
        </w:rPr>
      </w:pPr>
      <w:r>
        <w:rPr>
          <w:rFonts w:hint="eastAsia" w:ascii="Times New Roman" w:hAnsi="Times New Roman" w:cs="宋体"/>
          <w:color w:val="auto"/>
          <w:spacing w:val="-1"/>
          <w:w w:val="100"/>
          <w:kern w:val="2"/>
          <w:sz w:val="22"/>
          <w:szCs w:val="22"/>
          <w:highlight w:val="none"/>
          <w:lang w:val="en-US" w:eastAsia="zh-CN" w:bidi="ar-SA"/>
        </w:rPr>
        <w:t>14</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1</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2</w:t>
      </w:r>
      <w:r>
        <w:rPr>
          <w:rFonts w:hint="default" w:ascii="宋体" w:hAnsi="宋体" w:eastAsia="宋体" w:cs="宋体"/>
          <w:color w:val="auto"/>
          <w:spacing w:val="-1"/>
          <w:w w:val="100"/>
          <w:kern w:val="2"/>
          <w:sz w:val="22"/>
          <w:szCs w:val="22"/>
          <w:highlight w:val="none"/>
          <w:lang w:val="en-US" w:eastAsia="zh-CN" w:bidi="ar-SA"/>
        </w:rPr>
        <w:t xml:space="preserve">甲方超过合同约定的日期支付乙方合同价款的，每逾期一天，违约金按逾期支付金额【万分之二】计算，逾期超过 </w:t>
      </w:r>
      <w:r>
        <w:rPr>
          <w:rFonts w:hint="eastAsia" w:ascii="Times New Roman" w:hAnsi="Times New Roman" w:cs="宋体"/>
          <w:color w:val="auto"/>
          <w:spacing w:val="-1"/>
          <w:w w:val="100"/>
          <w:kern w:val="2"/>
          <w:sz w:val="22"/>
          <w:szCs w:val="22"/>
          <w:highlight w:val="none"/>
          <w:lang w:val="en-US" w:eastAsia="zh-CN" w:bidi="ar-SA"/>
        </w:rPr>
        <w:t>30</w:t>
      </w:r>
      <w:r>
        <w:rPr>
          <w:rFonts w:hint="default" w:ascii="宋体" w:hAnsi="宋体" w:eastAsia="宋体" w:cs="宋体"/>
          <w:color w:val="auto"/>
          <w:spacing w:val="-1"/>
          <w:w w:val="100"/>
          <w:kern w:val="2"/>
          <w:sz w:val="22"/>
          <w:szCs w:val="22"/>
          <w:highlight w:val="none"/>
          <w:lang w:val="en-US" w:eastAsia="zh-CN" w:bidi="ar-SA"/>
        </w:rPr>
        <w:t xml:space="preserve"> 天以上时，乙方有权暂停所有设计配合或解除本合同，书面通知甲方，并追究甲方的违约责任。</w:t>
      </w:r>
    </w:p>
    <w:p>
      <w:pPr>
        <w:pStyle w:val="13"/>
        <w:numPr>
          <w:ilvl w:val="1"/>
          <w:numId w:val="0"/>
        </w:numPr>
        <w:tabs>
          <w:tab w:val="left" w:pos="1671"/>
        </w:tabs>
        <w:spacing w:before="119"/>
        <w:ind w:left="1670" w:leftChars="0" w:hanging="851" w:firstLineChars="0"/>
        <w:jc w:val="both"/>
        <w:rPr>
          <w:color w:val="auto"/>
          <w:highlight w:val="none"/>
          <w:lang w:eastAsia="zh-CN"/>
        </w:rPr>
      </w:pPr>
      <w:bookmarkStart w:id="157" w:name="14.2乙方违反合同应承担的责任"/>
      <w:bookmarkEnd w:id="157"/>
      <w:r>
        <w:rPr>
          <w:rFonts w:hint="eastAsia" w:ascii="Times New Roman" w:hAnsi="Times New Roman" w:cs="宋体"/>
          <w:b/>
          <w:bCs/>
          <w:color w:val="auto"/>
          <w:spacing w:val="-1"/>
          <w:w w:val="99"/>
          <w:kern w:val="2"/>
          <w:sz w:val="22"/>
          <w:szCs w:val="22"/>
          <w:highlight w:val="none"/>
          <w:lang w:val="en-US" w:eastAsia="zh-CN" w:bidi="ar-SA"/>
        </w:rPr>
        <w:t>14</w:t>
      </w:r>
      <w:r>
        <w:rPr>
          <w:rFonts w:hint="default" w:ascii="宋体" w:hAnsi="宋体" w:eastAsia="宋体" w:cs="宋体"/>
          <w:b/>
          <w:bCs/>
          <w:color w:val="auto"/>
          <w:spacing w:val="-1"/>
          <w:w w:val="99"/>
          <w:kern w:val="2"/>
          <w:sz w:val="22"/>
          <w:szCs w:val="22"/>
          <w:highlight w:val="none"/>
          <w:lang w:val="en-US" w:eastAsia="zh-CN" w:bidi="ar-SA"/>
        </w:rPr>
        <w:t>.</w:t>
      </w:r>
      <w:r>
        <w:rPr>
          <w:rFonts w:hint="eastAsia" w:ascii="Times New Roman" w:hAnsi="Times New Roman" w:cs="宋体"/>
          <w:b/>
          <w:bCs/>
          <w:color w:val="auto"/>
          <w:spacing w:val="-1"/>
          <w:w w:val="99"/>
          <w:kern w:val="2"/>
          <w:sz w:val="22"/>
          <w:szCs w:val="22"/>
          <w:highlight w:val="none"/>
          <w:lang w:val="en-US" w:eastAsia="zh-CN" w:bidi="ar-SA"/>
        </w:rPr>
        <w:t>2</w:t>
      </w:r>
      <w:r>
        <w:rPr>
          <w:color w:val="auto"/>
          <w:highlight w:val="none"/>
          <w:lang w:eastAsia="zh-CN"/>
        </w:rPr>
        <w:t>乙方违反合同应承担的责任</w:t>
      </w:r>
    </w:p>
    <w:p>
      <w:pPr>
        <w:pStyle w:val="90"/>
        <w:numPr>
          <w:ilvl w:val="1"/>
          <w:numId w:val="0"/>
        </w:numPr>
        <w:tabs>
          <w:tab w:val="left" w:pos="1460"/>
        </w:tabs>
        <w:spacing w:before="101" w:line="340" w:lineRule="auto"/>
        <w:ind w:right="887" w:rightChars="0" w:firstLine="436" w:firstLineChars="200"/>
        <w:jc w:val="both"/>
        <w:rPr>
          <w:rFonts w:hint="default" w:ascii="宋体" w:hAnsi="宋体" w:eastAsia="宋体" w:cs="宋体"/>
          <w:color w:val="auto"/>
          <w:spacing w:val="-1"/>
          <w:w w:val="100"/>
          <w:kern w:val="2"/>
          <w:sz w:val="22"/>
          <w:szCs w:val="22"/>
          <w:highlight w:val="none"/>
          <w:lang w:val="en-US" w:eastAsia="zh-CN" w:bidi="ar-SA"/>
        </w:rPr>
      </w:pPr>
      <w:r>
        <w:rPr>
          <w:rFonts w:hint="eastAsia" w:ascii="Times New Roman" w:hAnsi="Times New Roman" w:cs="宋体"/>
          <w:color w:val="auto"/>
          <w:spacing w:val="-1"/>
          <w:w w:val="100"/>
          <w:kern w:val="2"/>
          <w:sz w:val="22"/>
          <w:szCs w:val="22"/>
          <w:highlight w:val="none"/>
          <w:lang w:val="en-US" w:eastAsia="zh-CN" w:bidi="ar-SA"/>
        </w:rPr>
        <w:t>14</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2</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1</w:t>
      </w:r>
      <w:r>
        <w:rPr>
          <w:rFonts w:hint="default" w:ascii="宋体" w:hAnsi="宋体" w:eastAsia="宋体" w:cs="宋体"/>
          <w:color w:val="auto"/>
          <w:spacing w:val="-1"/>
          <w:w w:val="100"/>
          <w:kern w:val="2"/>
          <w:sz w:val="22"/>
          <w:szCs w:val="22"/>
          <w:highlight w:val="none"/>
          <w:lang w:val="en-US" w:eastAsia="zh-CN" w:bidi="ar-SA"/>
        </w:rPr>
        <w:t>乙方对提交的设计成果及本合同约定由其承担的项目设计服务的正确性、合规性、合理性全面负责。乙方对设计文件出现的遗漏或错误部分，应在甲方限定时间内无偿修改或补充并重新做出符合合同规定和质量要求的项目设计文件。</w:t>
      </w:r>
    </w:p>
    <w:p>
      <w:pPr>
        <w:pStyle w:val="90"/>
        <w:numPr>
          <w:ilvl w:val="1"/>
          <w:numId w:val="0"/>
        </w:numPr>
        <w:tabs>
          <w:tab w:val="left" w:pos="1460"/>
        </w:tabs>
        <w:spacing w:before="101" w:line="340" w:lineRule="auto"/>
        <w:ind w:right="887" w:rightChars="0" w:firstLine="436" w:firstLineChars="200"/>
        <w:jc w:val="both"/>
        <w:rPr>
          <w:rFonts w:hint="default" w:ascii="宋体" w:hAnsi="宋体" w:eastAsia="宋体" w:cs="宋体"/>
          <w:color w:val="auto"/>
          <w:spacing w:val="-1"/>
          <w:w w:val="100"/>
          <w:kern w:val="2"/>
          <w:sz w:val="22"/>
          <w:szCs w:val="22"/>
          <w:highlight w:val="none"/>
          <w:lang w:val="en-US" w:eastAsia="zh-CN" w:bidi="ar-SA"/>
        </w:rPr>
      </w:pPr>
      <w:r>
        <w:rPr>
          <w:rFonts w:hint="eastAsia" w:ascii="Times New Roman" w:hAnsi="Times New Roman" w:cs="宋体"/>
          <w:color w:val="auto"/>
          <w:spacing w:val="-1"/>
          <w:w w:val="100"/>
          <w:kern w:val="2"/>
          <w:sz w:val="22"/>
          <w:szCs w:val="22"/>
          <w:highlight w:val="none"/>
          <w:lang w:val="en-US" w:eastAsia="zh-CN" w:bidi="ar-SA"/>
        </w:rPr>
        <w:t>14</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2</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2</w:t>
      </w:r>
      <w:r>
        <w:rPr>
          <w:rFonts w:hint="default" w:ascii="宋体" w:hAnsi="宋体" w:eastAsia="宋体" w:cs="宋体"/>
          <w:color w:val="auto"/>
          <w:spacing w:val="-1"/>
          <w:w w:val="100"/>
          <w:kern w:val="2"/>
          <w:sz w:val="22"/>
          <w:szCs w:val="22"/>
          <w:highlight w:val="none"/>
          <w:lang w:val="en-US" w:eastAsia="zh-CN" w:bidi="ar-SA"/>
        </w:rPr>
        <w:t>由于乙方设计深度、设计质量、设计配合等达不到本合同及各阶段合同、设计任务书的要求，乙方应无条件按甲方设计任务书要求修改设计，若修改后仍无法满足甲方要求，甲方有权在任何设计阶段要求终止合同并追究乙方的违约责任。</w:t>
      </w:r>
    </w:p>
    <w:p>
      <w:pPr>
        <w:pStyle w:val="90"/>
        <w:numPr>
          <w:ilvl w:val="1"/>
          <w:numId w:val="0"/>
        </w:numPr>
        <w:tabs>
          <w:tab w:val="left" w:pos="1460"/>
        </w:tabs>
        <w:spacing w:before="101" w:line="340" w:lineRule="auto"/>
        <w:ind w:right="887" w:rightChars="0" w:firstLine="436" w:firstLineChars="200"/>
        <w:jc w:val="both"/>
        <w:rPr>
          <w:rFonts w:hint="default" w:ascii="宋体" w:hAnsi="宋体" w:eastAsia="宋体" w:cs="宋体"/>
          <w:color w:val="auto"/>
          <w:spacing w:val="-1"/>
          <w:w w:val="100"/>
          <w:kern w:val="2"/>
          <w:sz w:val="22"/>
          <w:szCs w:val="22"/>
          <w:highlight w:val="none"/>
          <w:lang w:val="en-US" w:eastAsia="zh-CN" w:bidi="ar-SA"/>
        </w:rPr>
      </w:pPr>
      <w:r>
        <w:rPr>
          <w:rFonts w:hint="eastAsia" w:ascii="Times New Roman" w:hAnsi="Times New Roman" w:cs="宋体"/>
          <w:color w:val="auto"/>
          <w:spacing w:val="-1"/>
          <w:w w:val="100"/>
          <w:kern w:val="2"/>
          <w:sz w:val="22"/>
          <w:szCs w:val="22"/>
          <w:highlight w:val="none"/>
          <w:lang w:val="en-US" w:eastAsia="zh-CN" w:bidi="ar-SA"/>
        </w:rPr>
        <w:t>14</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2</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3</w:t>
      </w:r>
      <w:r>
        <w:rPr>
          <w:rFonts w:hint="default" w:ascii="宋体" w:hAnsi="宋体" w:eastAsia="宋体" w:cs="宋体"/>
          <w:color w:val="auto"/>
          <w:spacing w:val="-1"/>
          <w:w w:val="100"/>
          <w:kern w:val="2"/>
          <w:sz w:val="22"/>
          <w:szCs w:val="22"/>
          <w:highlight w:val="none"/>
          <w:lang w:val="en-US" w:eastAsia="zh-CN" w:bidi="ar-SA"/>
        </w:rPr>
        <w:t xml:space="preserve">因乙方原因，延误了按本合同约定的设计文件交付时间或者施工配合工作，每延一天，乙方应减收应收本阶段设计费的万分之二。逾期超过 </w:t>
      </w:r>
      <w:r>
        <w:rPr>
          <w:rFonts w:hint="eastAsia" w:ascii="Times New Roman" w:hAnsi="Times New Roman" w:cs="宋体"/>
          <w:color w:val="auto"/>
          <w:spacing w:val="-1"/>
          <w:w w:val="100"/>
          <w:kern w:val="2"/>
          <w:sz w:val="22"/>
          <w:szCs w:val="22"/>
          <w:highlight w:val="none"/>
          <w:lang w:val="en-US" w:eastAsia="zh-CN" w:bidi="ar-SA"/>
        </w:rPr>
        <w:t>30</w:t>
      </w:r>
      <w:r>
        <w:rPr>
          <w:rFonts w:hint="default" w:ascii="宋体" w:hAnsi="宋体" w:eastAsia="宋体" w:cs="宋体"/>
          <w:color w:val="auto"/>
          <w:spacing w:val="-1"/>
          <w:w w:val="100"/>
          <w:kern w:val="2"/>
          <w:sz w:val="22"/>
          <w:szCs w:val="22"/>
          <w:highlight w:val="none"/>
          <w:lang w:val="en-US" w:eastAsia="zh-CN" w:bidi="ar-SA"/>
        </w:rPr>
        <w:t xml:space="preserve"> 天的，甲方有权解除合同，并追究乙方的违约责任。</w:t>
      </w:r>
    </w:p>
    <w:p>
      <w:pPr>
        <w:tabs>
          <w:tab w:val="left" w:pos="2260"/>
        </w:tabs>
        <w:spacing w:before="6"/>
        <w:ind w:left="820"/>
        <w:rPr>
          <w:b/>
          <w:color w:val="auto"/>
          <w:sz w:val="21"/>
          <w:highlight w:val="none"/>
          <w:lang w:eastAsia="zh-CN"/>
        </w:rPr>
      </w:pPr>
      <w:r>
        <w:rPr>
          <w:b/>
          <w:color w:val="auto"/>
          <w:sz w:val="21"/>
          <w:highlight w:val="none"/>
          <w:lang w:eastAsia="zh-CN"/>
        </w:rPr>
        <w:t>第十五条</w:t>
      </w:r>
      <w:r>
        <w:rPr>
          <w:b/>
          <w:color w:val="auto"/>
          <w:sz w:val="21"/>
          <w:highlight w:val="none"/>
          <w:lang w:eastAsia="zh-CN"/>
        </w:rPr>
        <w:tab/>
      </w:r>
      <w:bookmarkStart w:id="158" w:name="第十五条合同的变更、解除和终止"/>
      <w:bookmarkEnd w:id="158"/>
      <w:r>
        <w:rPr>
          <w:b/>
          <w:color w:val="auto"/>
          <w:sz w:val="21"/>
          <w:highlight w:val="none"/>
          <w:lang w:eastAsia="zh-CN"/>
        </w:rPr>
        <w:t>合同的变更、解除和终止</w:t>
      </w:r>
    </w:p>
    <w:p>
      <w:pPr>
        <w:pStyle w:val="90"/>
        <w:numPr>
          <w:ilvl w:val="1"/>
          <w:numId w:val="0"/>
        </w:numPr>
        <w:tabs>
          <w:tab w:val="left" w:pos="1460"/>
        </w:tabs>
        <w:spacing w:before="101" w:line="340" w:lineRule="auto"/>
        <w:ind w:right="887" w:rightChars="0" w:firstLine="436" w:firstLineChars="200"/>
        <w:jc w:val="both"/>
        <w:rPr>
          <w:rFonts w:hint="default" w:ascii="宋体" w:hAnsi="宋体" w:eastAsia="宋体" w:cs="宋体"/>
          <w:color w:val="auto"/>
          <w:spacing w:val="-1"/>
          <w:w w:val="100"/>
          <w:kern w:val="2"/>
          <w:sz w:val="22"/>
          <w:szCs w:val="22"/>
          <w:highlight w:val="none"/>
          <w:lang w:val="en-US" w:eastAsia="zh-CN" w:bidi="ar-SA"/>
        </w:rPr>
      </w:pPr>
      <w:r>
        <w:rPr>
          <w:rFonts w:hint="eastAsia" w:ascii="Times New Roman" w:hAnsi="Times New Roman" w:cs="宋体"/>
          <w:color w:val="auto"/>
          <w:spacing w:val="-1"/>
          <w:w w:val="100"/>
          <w:kern w:val="2"/>
          <w:sz w:val="22"/>
          <w:szCs w:val="22"/>
          <w:highlight w:val="none"/>
          <w:lang w:val="en-US" w:eastAsia="zh-CN" w:bidi="ar-SA"/>
        </w:rPr>
        <w:t>15</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1</w:t>
      </w:r>
      <w:r>
        <w:rPr>
          <w:rFonts w:hint="default" w:ascii="宋体" w:hAnsi="宋体" w:eastAsia="宋体" w:cs="宋体"/>
          <w:color w:val="auto"/>
          <w:spacing w:val="-1"/>
          <w:w w:val="100"/>
          <w:kern w:val="2"/>
          <w:sz w:val="22"/>
          <w:szCs w:val="22"/>
          <w:highlight w:val="none"/>
          <w:lang w:val="en-US" w:eastAsia="zh-CN" w:bidi="ar-SA"/>
        </w:rPr>
        <w:t>本合同生效后，任何一方不得擅自变更或解除合同。凡发生法定或约定情况的， 本合同可以变更或者解除。需要特别说明的是，甲方非因乙方原因单方面决定不再采用乙方设计成果或要求单方解除合同，如乙方未开始设计工作的，不退还甲方已付的定金；如乙方已开始设计工作的，甲方还须根据乙方已进行的实际工作量情况支付设计费。实际工作量不足一半时，按该阶段设计费的一半支付，超过一半时，按该阶段设计费的全部支付。甲方已付的定金自动用于抵付甲方应支付的设计费，定金超过设计费的，多余部分不予退还（定金没收）；定金不足以抵付设计费的，甲方须予以补足。</w:t>
      </w:r>
    </w:p>
    <w:p>
      <w:pPr>
        <w:pStyle w:val="90"/>
        <w:numPr>
          <w:ilvl w:val="1"/>
          <w:numId w:val="0"/>
        </w:numPr>
        <w:tabs>
          <w:tab w:val="left" w:pos="1460"/>
        </w:tabs>
        <w:spacing w:before="101" w:line="340" w:lineRule="auto"/>
        <w:ind w:right="887" w:rightChars="0" w:firstLine="436" w:firstLineChars="200"/>
        <w:jc w:val="both"/>
        <w:rPr>
          <w:rFonts w:hint="default" w:ascii="宋体" w:hAnsi="宋体" w:eastAsia="宋体" w:cs="宋体"/>
          <w:color w:val="auto"/>
          <w:spacing w:val="-1"/>
          <w:w w:val="100"/>
          <w:kern w:val="2"/>
          <w:sz w:val="22"/>
          <w:szCs w:val="22"/>
          <w:highlight w:val="none"/>
          <w:lang w:val="en-US" w:eastAsia="zh-CN" w:bidi="ar-SA"/>
        </w:rPr>
      </w:pPr>
      <w:r>
        <w:rPr>
          <w:rFonts w:hint="eastAsia" w:ascii="Times New Roman" w:hAnsi="Times New Roman" w:cs="宋体"/>
          <w:color w:val="auto"/>
          <w:spacing w:val="-1"/>
          <w:w w:val="100"/>
          <w:kern w:val="2"/>
          <w:sz w:val="22"/>
          <w:szCs w:val="22"/>
          <w:highlight w:val="none"/>
          <w:lang w:val="en-US" w:eastAsia="zh-CN" w:bidi="ar-SA"/>
        </w:rPr>
        <w:t>15</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2</w:t>
      </w:r>
      <w:r>
        <w:rPr>
          <w:rFonts w:hint="default" w:ascii="宋体" w:hAnsi="宋体" w:eastAsia="宋体" w:cs="宋体"/>
          <w:color w:val="auto"/>
          <w:spacing w:val="-1"/>
          <w:w w:val="100"/>
          <w:kern w:val="2"/>
          <w:sz w:val="22"/>
          <w:szCs w:val="22"/>
          <w:highlight w:val="none"/>
          <w:lang w:val="en-US" w:eastAsia="zh-CN" w:bidi="ar-SA"/>
        </w:rPr>
        <w:t>甲方的上级或设计审批部门因非乙方原因对设计文件不审批或停缓建本合同项目， 甲乙双方均有权选择继续履行合同或解除合同，设计费按实际完成的工作量进行 结算。</w:t>
      </w:r>
    </w:p>
    <w:p>
      <w:pPr>
        <w:pStyle w:val="90"/>
        <w:numPr>
          <w:ilvl w:val="1"/>
          <w:numId w:val="0"/>
        </w:numPr>
        <w:tabs>
          <w:tab w:val="left" w:pos="1460"/>
        </w:tabs>
        <w:spacing w:before="101" w:line="340" w:lineRule="auto"/>
        <w:ind w:right="887" w:rightChars="0" w:firstLine="436" w:firstLineChars="200"/>
        <w:jc w:val="both"/>
        <w:rPr>
          <w:rFonts w:hint="default" w:ascii="宋体" w:hAnsi="宋体" w:eastAsia="宋体" w:cs="宋体"/>
          <w:color w:val="auto"/>
          <w:spacing w:val="-1"/>
          <w:w w:val="100"/>
          <w:kern w:val="2"/>
          <w:sz w:val="22"/>
          <w:szCs w:val="22"/>
          <w:highlight w:val="none"/>
          <w:lang w:val="en-US" w:eastAsia="zh-CN" w:bidi="ar-SA"/>
        </w:rPr>
      </w:pPr>
      <w:r>
        <w:rPr>
          <w:rFonts w:hint="eastAsia" w:ascii="Times New Roman" w:hAnsi="Times New Roman" w:cs="宋体"/>
          <w:color w:val="auto"/>
          <w:spacing w:val="-1"/>
          <w:w w:val="100"/>
          <w:kern w:val="2"/>
          <w:sz w:val="22"/>
          <w:szCs w:val="22"/>
          <w:highlight w:val="none"/>
          <w:lang w:val="en-US" w:eastAsia="zh-CN" w:bidi="ar-SA"/>
        </w:rPr>
        <w:t>15</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3</w:t>
      </w:r>
      <w:r>
        <w:rPr>
          <w:rFonts w:hint="default" w:ascii="宋体" w:hAnsi="宋体" w:eastAsia="宋体" w:cs="宋体"/>
          <w:color w:val="auto"/>
          <w:spacing w:val="-1"/>
          <w:w w:val="100"/>
          <w:kern w:val="2"/>
          <w:sz w:val="22"/>
          <w:szCs w:val="22"/>
          <w:highlight w:val="none"/>
          <w:lang w:val="en-US" w:eastAsia="zh-CN" w:bidi="ar-SA"/>
        </w:rPr>
        <w:t>在合同执行中，如出现下列情况之一时，甲方可出具书面违约通知给乙方终止本合同并办理设计费及违约赔偿金结算事宜。</w:t>
      </w:r>
    </w:p>
    <w:p>
      <w:pPr>
        <w:pStyle w:val="90"/>
        <w:numPr>
          <w:ilvl w:val="1"/>
          <w:numId w:val="0"/>
        </w:numPr>
        <w:tabs>
          <w:tab w:val="left" w:pos="1460"/>
        </w:tabs>
        <w:spacing w:before="101" w:line="340" w:lineRule="auto"/>
        <w:ind w:right="887" w:rightChars="0" w:firstLine="436" w:firstLineChars="200"/>
        <w:jc w:val="both"/>
        <w:rPr>
          <w:rFonts w:hint="default" w:ascii="宋体" w:hAnsi="宋体" w:eastAsia="宋体" w:cs="宋体"/>
          <w:color w:val="auto"/>
          <w:spacing w:val="-1"/>
          <w:w w:val="100"/>
          <w:kern w:val="2"/>
          <w:sz w:val="22"/>
          <w:szCs w:val="22"/>
          <w:highlight w:val="none"/>
          <w:lang w:val="en-US" w:eastAsia="zh-CN" w:bidi="ar-SA"/>
        </w:rPr>
      </w:pP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1</w:t>
      </w:r>
      <w:r>
        <w:rPr>
          <w:rFonts w:hint="default" w:ascii="宋体" w:hAnsi="宋体" w:eastAsia="宋体" w:cs="宋体"/>
          <w:color w:val="auto"/>
          <w:spacing w:val="-1"/>
          <w:w w:val="100"/>
          <w:kern w:val="2"/>
          <w:sz w:val="22"/>
          <w:szCs w:val="22"/>
          <w:highlight w:val="none"/>
          <w:lang w:val="en-US" w:eastAsia="zh-CN" w:bidi="ar-SA"/>
        </w:rPr>
        <w:t>）乙方交付的设计文件不符合本合同约定的，经甲方提出书面警告并要求其整改后，在甲方指定的整改期限内乙方仍不能达到甲方满意。</w:t>
      </w:r>
    </w:p>
    <w:p>
      <w:pPr>
        <w:pStyle w:val="90"/>
        <w:numPr>
          <w:ilvl w:val="1"/>
          <w:numId w:val="0"/>
        </w:numPr>
        <w:tabs>
          <w:tab w:val="left" w:pos="1460"/>
        </w:tabs>
        <w:spacing w:before="101" w:line="340" w:lineRule="auto"/>
        <w:ind w:right="887" w:rightChars="0" w:firstLine="436" w:firstLineChars="200"/>
        <w:jc w:val="both"/>
        <w:rPr>
          <w:rFonts w:hint="default" w:ascii="宋体" w:hAnsi="宋体" w:eastAsia="宋体" w:cs="宋体"/>
          <w:color w:val="auto"/>
          <w:spacing w:val="-1"/>
          <w:w w:val="100"/>
          <w:kern w:val="2"/>
          <w:sz w:val="22"/>
          <w:szCs w:val="22"/>
          <w:highlight w:val="none"/>
          <w:lang w:val="en-US" w:eastAsia="zh-CN" w:bidi="ar-SA"/>
        </w:rPr>
      </w:pP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2</w:t>
      </w:r>
      <w:r>
        <w:rPr>
          <w:rFonts w:hint="default" w:ascii="宋体" w:hAnsi="宋体" w:eastAsia="宋体" w:cs="宋体"/>
          <w:color w:val="auto"/>
          <w:spacing w:val="-1"/>
          <w:w w:val="100"/>
          <w:kern w:val="2"/>
          <w:sz w:val="22"/>
          <w:szCs w:val="22"/>
          <w:highlight w:val="none"/>
          <w:lang w:val="en-US" w:eastAsia="zh-CN" w:bidi="ar-SA"/>
        </w:rPr>
        <w:t>）无正当充分的理由且未经甲方书面同意，乙方未能在合同规定的时间内完成设计任务，单阶段误期累计超过三十个日历天（不包括甲方同意延长的时间以及因甲方原因造成的误期）。如甲方基于上述原因终止合同全部或部分权利义务，甲方有权以其认为合适的方式，委托本合同之外的第三方进行全部或部分设计。合同部分终止的，甲方仍有权要求乙方继续履行合同未终止部分，或者在甲方付清未终止部分合同相应的设计费用后利用乙方已经完成的相应的设计成果。</w:t>
      </w:r>
    </w:p>
    <w:p>
      <w:pPr>
        <w:pStyle w:val="90"/>
        <w:numPr>
          <w:ilvl w:val="1"/>
          <w:numId w:val="0"/>
        </w:numPr>
        <w:tabs>
          <w:tab w:val="left" w:pos="1460"/>
        </w:tabs>
        <w:spacing w:before="101" w:line="340" w:lineRule="auto"/>
        <w:ind w:right="887" w:rightChars="0" w:firstLine="436" w:firstLineChars="200"/>
        <w:jc w:val="both"/>
        <w:rPr>
          <w:rFonts w:hint="default" w:ascii="宋体" w:hAnsi="宋体" w:eastAsia="宋体" w:cs="宋体"/>
          <w:color w:val="auto"/>
          <w:spacing w:val="-1"/>
          <w:w w:val="100"/>
          <w:kern w:val="2"/>
          <w:sz w:val="22"/>
          <w:szCs w:val="22"/>
          <w:highlight w:val="none"/>
          <w:lang w:val="en-US" w:eastAsia="zh-CN" w:bidi="ar-SA"/>
        </w:rPr>
      </w:pP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3</w:t>
      </w:r>
      <w:r>
        <w:rPr>
          <w:rFonts w:hint="default" w:ascii="宋体" w:hAnsi="宋体" w:eastAsia="宋体" w:cs="宋体"/>
          <w:color w:val="auto"/>
          <w:spacing w:val="-1"/>
          <w:w w:val="100"/>
          <w:kern w:val="2"/>
          <w:sz w:val="22"/>
          <w:szCs w:val="22"/>
          <w:highlight w:val="none"/>
          <w:lang w:val="en-US" w:eastAsia="zh-CN" w:bidi="ar-SA"/>
        </w:rPr>
        <w:t>）本合同约定的甲方有权解除协议的其他情形。</w:t>
      </w:r>
    </w:p>
    <w:p>
      <w:pPr>
        <w:pStyle w:val="90"/>
        <w:numPr>
          <w:ilvl w:val="1"/>
          <w:numId w:val="0"/>
        </w:numPr>
        <w:tabs>
          <w:tab w:val="left" w:pos="1460"/>
        </w:tabs>
        <w:spacing w:before="101" w:line="340" w:lineRule="auto"/>
        <w:ind w:right="887" w:rightChars="0" w:firstLine="436" w:firstLineChars="200"/>
        <w:jc w:val="both"/>
        <w:rPr>
          <w:rFonts w:hint="default" w:ascii="宋体" w:hAnsi="宋体" w:eastAsia="宋体" w:cs="宋体"/>
          <w:color w:val="auto"/>
          <w:spacing w:val="-1"/>
          <w:w w:val="100"/>
          <w:kern w:val="2"/>
          <w:sz w:val="22"/>
          <w:szCs w:val="22"/>
          <w:highlight w:val="none"/>
          <w:lang w:val="en-US" w:eastAsia="zh-CN" w:bidi="ar-SA"/>
        </w:rPr>
        <w:sectPr>
          <w:pgSz w:w="11849" w:h="16792"/>
          <w:pgMar w:top="1417" w:right="850" w:bottom="1417" w:left="850" w:header="850" w:footer="850" w:gutter="0"/>
          <w:pgBorders>
            <w:top w:val="none" w:sz="0" w:space="0"/>
            <w:left w:val="none" w:sz="0" w:space="0"/>
            <w:bottom w:val="none" w:sz="0" w:space="0"/>
            <w:right w:val="none" w:sz="0" w:space="0"/>
          </w:pgBorders>
          <w:pgNumType w:fmt="decimal"/>
          <w:cols w:space="0" w:num="1"/>
          <w:rtlGutter w:val="0"/>
          <w:docGrid w:linePitch="0" w:charSpace="0"/>
        </w:sectPr>
      </w:pPr>
    </w:p>
    <w:p>
      <w:pPr>
        <w:pStyle w:val="90"/>
        <w:numPr>
          <w:ilvl w:val="1"/>
          <w:numId w:val="0"/>
        </w:numPr>
        <w:tabs>
          <w:tab w:val="left" w:pos="1460"/>
        </w:tabs>
        <w:spacing w:before="101" w:line="340" w:lineRule="auto"/>
        <w:ind w:right="887" w:rightChars="0" w:firstLine="436" w:firstLineChars="200"/>
        <w:jc w:val="both"/>
        <w:rPr>
          <w:rFonts w:hint="default" w:ascii="宋体" w:hAnsi="宋体" w:eastAsia="宋体" w:cs="宋体"/>
          <w:color w:val="auto"/>
          <w:spacing w:val="-1"/>
          <w:w w:val="100"/>
          <w:kern w:val="2"/>
          <w:sz w:val="22"/>
          <w:szCs w:val="22"/>
          <w:highlight w:val="none"/>
          <w:lang w:val="en-US" w:eastAsia="zh-CN" w:bidi="ar-SA"/>
        </w:rPr>
      </w:pPr>
      <w:r>
        <w:rPr>
          <w:rFonts w:hint="eastAsia" w:ascii="Times New Roman" w:hAnsi="Times New Roman" w:cs="宋体"/>
          <w:color w:val="auto"/>
          <w:spacing w:val="-1"/>
          <w:w w:val="100"/>
          <w:kern w:val="2"/>
          <w:sz w:val="22"/>
          <w:szCs w:val="22"/>
          <w:highlight w:val="none"/>
          <w:lang w:val="en-US" w:eastAsia="zh-CN" w:bidi="ar-SA"/>
        </w:rPr>
        <w:t>15</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4</w:t>
      </w:r>
      <w:r>
        <w:rPr>
          <w:rFonts w:hint="default" w:ascii="宋体" w:hAnsi="宋体" w:eastAsia="宋体" w:cs="宋体"/>
          <w:color w:val="auto"/>
          <w:spacing w:val="-1"/>
          <w:w w:val="100"/>
          <w:kern w:val="2"/>
          <w:sz w:val="22"/>
          <w:szCs w:val="22"/>
          <w:highlight w:val="none"/>
          <w:lang w:val="en-US" w:eastAsia="zh-CN" w:bidi="ar-SA"/>
        </w:rPr>
        <w:t xml:space="preserve">一方提出解除本合同的，应向另一方发送书面解除通知书，本合同于通知书送达另一方时解除。合同解除当日乙方立即停止设计工作，并应当于甲方指定期间内返还甲方所有商业秘密资料、信息，不能返还的应予以销毁，并在甲方付清 </w:t>
      </w:r>
      <w:r>
        <w:rPr>
          <w:rFonts w:hint="eastAsia" w:ascii="Times New Roman" w:hAnsi="Times New Roman" w:cs="宋体"/>
          <w:color w:val="auto"/>
          <w:spacing w:val="-1"/>
          <w:w w:val="100"/>
          <w:kern w:val="2"/>
          <w:sz w:val="22"/>
          <w:szCs w:val="22"/>
          <w:highlight w:val="none"/>
          <w:lang w:val="en-US" w:eastAsia="zh-CN" w:bidi="ar-SA"/>
        </w:rPr>
        <w:t>15</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1</w:t>
      </w:r>
      <w:r>
        <w:rPr>
          <w:rFonts w:hint="default" w:ascii="宋体" w:hAnsi="宋体" w:eastAsia="宋体" w:cs="宋体"/>
          <w:color w:val="auto"/>
          <w:spacing w:val="-1"/>
          <w:w w:val="100"/>
          <w:kern w:val="2"/>
          <w:sz w:val="22"/>
          <w:szCs w:val="22"/>
          <w:highlight w:val="none"/>
          <w:lang w:val="en-US" w:eastAsia="zh-CN" w:bidi="ar-SA"/>
        </w:rPr>
        <w:t xml:space="preserve"> 约定的设计费款项后，将已完成部分的有关项目设计文件和资料移交甲方；倘若甲方委托其他设计单位继续工作的，乙方在收到甲方书面函件后，做好该项目的交接工作。</w:t>
      </w:r>
    </w:p>
    <w:p>
      <w:pPr>
        <w:spacing w:before="8"/>
        <w:ind w:left="820"/>
        <w:jc w:val="both"/>
        <w:rPr>
          <w:b/>
          <w:color w:val="auto"/>
          <w:sz w:val="21"/>
          <w:highlight w:val="none"/>
        </w:rPr>
      </w:pPr>
      <w:r>
        <w:rPr>
          <w:b/>
          <w:color w:val="auto"/>
          <w:sz w:val="21"/>
          <w:highlight w:val="none"/>
        </w:rPr>
        <w:t>第十六条 通知、送达</w:t>
      </w:r>
    </w:p>
    <w:p>
      <w:pPr>
        <w:pStyle w:val="90"/>
        <w:numPr>
          <w:ilvl w:val="1"/>
          <w:numId w:val="0"/>
        </w:numPr>
        <w:tabs>
          <w:tab w:val="left" w:pos="1460"/>
        </w:tabs>
        <w:spacing w:before="101" w:line="340" w:lineRule="auto"/>
        <w:ind w:right="887" w:rightChars="0" w:firstLine="436" w:firstLineChars="200"/>
        <w:jc w:val="both"/>
        <w:rPr>
          <w:rFonts w:hint="default" w:ascii="宋体" w:hAnsi="宋体" w:eastAsia="宋体" w:cs="宋体"/>
          <w:color w:val="auto"/>
          <w:spacing w:val="-1"/>
          <w:w w:val="100"/>
          <w:kern w:val="2"/>
          <w:sz w:val="22"/>
          <w:szCs w:val="22"/>
          <w:highlight w:val="none"/>
          <w:lang w:val="en-US" w:eastAsia="zh-CN" w:bidi="ar-SA"/>
        </w:rPr>
      </w:pPr>
      <w:r>
        <w:rPr>
          <w:rFonts w:hint="eastAsia" w:ascii="Times New Roman" w:hAnsi="Times New Roman" w:cs="宋体"/>
          <w:color w:val="auto"/>
          <w:spacing w:val="-1"/>
          <w:w w:val="100"/>
          <w:kern w:val="2"/>
          <w:sz w:val="22"/>
          <w:szCs w:val="22"/>
          <w:highlight w:val="none"/>
          <w:lang w:val="en-US" w:eastAsia="zh-CN" w:bidi="ar-SA"/>
        </w:rPr>
        <w:t>16</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1</w:t>
      </w:r>
      <w:r>
        <w:rPr>
          <w:rFonts w:hint="default" w:ascii="宋体" w:hAnsi="宋体" w:eastAsia="宋体" w:cs="宋体"/>
          <w:color w:val="auto"/>
          <w:spacing w:val="-1"/>
          <w:w w:val="100"/>
          <w:kern w:val="2"/>
          <w:sz w:val="22"/>
          <w:szCs w:val="22"/>
          <w:highlight w:val="none"/>
          <w:lang w:val="en-US" w:eastAsia="zh-CN" w:bidi="ar-SA"/>
        </w:rPr>
        <w:t>除双方另有约定外，任何情况下，任何通知、信件、要求和关于本合同的其他信息应  以书面做出。如以专人送达或快递形式，接收人签字接收之日视为送达日（如接收</w:t>
      </w:r>
    </w:p>
    <w:p>
      <w:pPr>
        <w:pStyle w:val="90"/>
        <w:numPr>
          <w:ilvl w:val="1"/>
          <w:numId w:val="0"/>
        </w:numPr>
        <w:tabs>
          <w:tab w:val="left" w:pos="1460"/>
        </w:tabs>
        <w:spacing w:before="101" w:line="340" w:lineRule="auto"/>
        <w:ind w:right="887" w:rightChars="0" w:firstLine="436" w:firstLineChars="200"/>
        <w:jc w:val="both"/>
        <w:rPr>
          <w:rFonts w:hint="default" w:ascii="宋体" w:hAnsi="宋体" w:eastAsia="宋体" w:cs="宋体"/>
          <w:color w:val="auto"/>
          <w:spacing w:val="-1"/>
          <w:w w:val="100"/>
          <w:kern w:val="2"/>
          <w:sz w:val="22"/>
          <w:szCs w:val="22"/>
          <w:highlight w:val="none"/>
          <w:lang w:val="en-US" w:eastAsia="zh-CN" w:bidi="ar-SA"/>
        </w:rPr>
      </w:pPr>
      <w:r>
        <w:rPr>
          <w:rFonts w:hint="default" w:ascii="宋体" w:hAnsi="宋体" w:eastAsia="宋体" w:cs="宋体"/>
          <w:color w:val="auto"/>
          <w:spacing w:val="-1"/>
          <w:w w:val="100"/>
          <w:kern w:val="2"/>
          <w:sz w:val="22"/>
          <w:szCs w:val="22"/>
          <w:highlight w:val="none"/>
          <w:lang w:val="en-US" w:eastAsia="zh-CN" w:bidi="ar-SA"/>
        </w:rPr>
        <w:t>人拒绝接收，送达日为送达至接收方之日）。如以挂号信形式，信件发出的第三（</w:t>
      </w:r>
      <w:r>
        <w:rPr>
          <w:rFonts w:hint="eastAsia" w:ascii="Times New Roman" w:hAnsi="Times New Roman" w:cs="宋体"/>
          <w:color w:val="auto"/>
          <w:spacing w:val="-1"/>
          <w:w w:val="100"/>
          <w:kern w:val="2"/>
          <w:sz w:val="22"/>
          <w:szCs w:val="22"/>
          <w:highlight w:val="none"/>
          <w:lang w:val="en-US" w:eastAsia="zh-CN" w:bidi="ar-SA"/>
        </w:rPr>
        <w:t>3</w:t>
      </w:r>
      <w:r>
        <w:rPr>
          <w:rFonts w:hint="default" w:ascii="宋体" w:hAnsi="宋体" w:eastAsia="宋体" w:cs="宋体"/>
          <w:color w:val="auto"/>
          <w:spacing w:val="-1"/>
          <w:w w:val="100"/>
          <w:kern w:val="2"/>
          <w:sz w:val="22"/>
          <w:szCs w:val="22"/>
          <w:highlight w:val="none"/>
          <w:lang w:val="en-US" w:eastAsia="zh-CN" w:bidi="ar-SA"/>
        </w:rPr>
        <w:t>）  个日历天视为送达日。</w:t>
      </w:r>
    </w:p>
    <w:p>
      <w:pPr>
        <w:pStyle w:val="90"/>
        <w:numPr>
          <w:ilvl w:val="1"/>
          <w:numId w:val="0"/>
        </w:numPr>
        <w:tabs>
          <w:tab w:val="left" w:pos="1460"/>
        </w:tabs>
        <w:spacing w:before="101" w:line="340" w:lineRule="auto"/>
        <w:ind w:right="887" w:rightChars="0" w:firstLine="436" w:firstLineChars="200"/>
        <w:jc w:val="both"/>
        <w:rPr>
          <w:rFonts w:hint="default" w:ascii="宋体" w:hAnsi="宋体" w:eastAsia="宋体" w:cs="宋体"/>
          <w:color w:val="auto"/>
          <w:spacing w:val="-1"/>
          <w:w w:val="100"/>
          <w:kern w:val="2"/>
          <w:sz w:val="22"/>
          <w:szCs w:val="22"/>
          <w:highlight w:val="none"/>
          <w:lang w:val="en-US" w:eastAsia="zh-CN" w:bidi="ar-SA"/>
        </w:rPr>
      </w:pPr>
      <w:r>
        <w:rPr>
          <w:rFonts w:hint="eastAsia" w:ascii="Times New Roman" w:hAnsi="Times New Roman" w:cs="宋体"/>
          <w:color w:val="auto"/>
          <w:spacing w:val="-1"/>
          <w:w w:val="100"/>
          <w:kern w:val="2"/>
          <w:sz w:val="22"/>
          <w:szCs w:val="22"/>
          <w:highlight w:val="none"/>
          <w:lang w:val="en-US" w:eastAsia="zh-CN" w:bidi="ar-SA"/>
        </w:rPr>
        <w:t>16</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2</w:t>
      </w:r>
      <w:r>
        <w:rPr>
          <w:rFonts w:hint="default" w:ascii="宋体" w:hAnsi="宋体" w:eastAsia="宋体" w:cs="宋体"/>
          <w:color w:val="auto"/>
          <w:spacing w:val="-1"/>
          <w:w w:val="100"/>
          <w:kern w:val="2"/>
          <w:sz w:val="22"/>
          <w:szCs w:val="22"/>
          <w:highlight w:val="none"/>
          <w:lang w:val="en-US" w:eastAsia="zh-CN" w:bidi="ar-SA"/>
        </w:rPr>
        <w:t xml:space="preserve">本合同签署页部分的联系人、地址、电话为双方通知送达的联系人、地址、电话，如  果任何一方变更，应在变更后 </w:t>
      </w:r>
      <w:r>
        <w:rPr>
          <w:rFonts w:hint="eastAsia" w:ascii="Times New Roman" w:hAnsi="Times New Roman" w:cs="宋体"/>
          <w:color w:val="auto"/>
          <w:spacing w:val="-1"/>
          <w:w w:val="100"/>
          <w:kern w:val="2"/>
          <w:sz w:val="22"/>
          <w:szCs w:val="22"/>
          <w:highlight w:val="none"/>
          <w:lang w:val="en-US" w:eastAsia="zh-CN" w:bidi="ar-SA"/>
        </w:rPr>
        <w:t>3</w:t>
      </w:r>
      <w:r>
        <w:rPr>
          <w:rFonts w:hint="default" w:ascii="宋体" w:hAnsi="宋体" w:eastAsia="宋体" w:cs="宋体"/>
          <w:color w:val="auto"/>
          <w:spacing w:val="-1"/>
          <w:w w:val="100"/>
          <w:kern w:val="2"/>
          <w:sz w:val="22"/>
          <w:szCs w:val="22"/>
          <w:highlight w:val="none"/>
          <w:lang w:val="en-US" w:eastAsia="zh-CN" w:bidi="ar-SA"/>
        </w:rPr>
        <w:t xml:space="preserve"> 日内书面通知对方，否则任何一方通知送达前述地址，即视为被送达方收到，由此引发的法律后果由被送达人承担。</w:t>
      </w:r>
    </w:p>
    <w:p>
      <w:pPr>
        <w:tabs>
          <w:tab w:val="left" w:pos="2260"/>
        </w:tabs>
        <w:spacing w:line="266" w:lineRule="exact"/>
        <w:ind w:left="820"/>
        <w:rPr>
          <w:b/>
          <w:color w:val="auto"/>
          <w:sz w:val="21"/>
          <w:highlight w:val="none"/>
          <w:lang w:eastAsia="zh-CN"/>
        </w:rPr>
      </w:pPr>
      <w:r>
        <w:rPr>
          <w:b/>
          <w:color w:val="auto"/>
          <w:sz w:val="21"/>
          <w:highlight w:val="none"/>
          <w:lang w:eastAsia="zh-CN"/>
        </w:rPr>
        <w:t>第十七条</w:t>
      </w:r>
      <w:r>
        <w:rPr>
          <w:b/>
          <w:color w:val="auto"/>
          <w:sz w:val="21"/>
          <w:highlight w:val="none"/>
          <w:lang w:eastAsia="zh-CN"/>
        </w:rPr>
        <w:tab/>
      </w:r>
      <w:bookmarkStart w:id="159" w:name="第十七条适用的法律及语言"/>
      <w:bookmarkEnd w:id="159"/>
      <w:r>
        <w:rPr>
          <w:b/>
          <w:color w:val="auto"/>
          <w:sz w:val="21"/>
          <w:highlight w:val="none"/>
          <w:lang w:eastAsia="zh-CN"/>
        </w:rPr>
        <w:t>适用的法律及语言</w:t>
      </w:r>
    </w:p>
    <w:p>
      <w:pPr>
        <w:pStyle w:val="90"/>
        <w:numPr>
          <w:ilvl w:val="1"/>
          <w:numId w:val="0"/>
        </w:numPr>
        <w:tabs>
          <w:tab w:val="left" w:pos="1460"/>
        </w:tabs>
        <w:spacing w:before="101" w:line="340" w:lineRule="auto"/>
        <w:ind w:right="887" w:rightChars="0" w:firstLine="436" w:firstLineChars="200"/>
        <w:jc w:val="both"/>
        <w:rPr>
          <w:rFonts w:hint="default" w:ascii="宋体" w:hAnsi="宋体" w:eastAsia="宋体" w:cs="宋体"/>
          <w:color w:val="auto"/>
          <w:spacing w:val="-1"/>
          <w:w w:val="100"/>
          <w:kern w:val="2"/>
          <w:sz w:val="22"/>
          <w:szCs w:val="22"/>
          <w:highlight w:val="none"/>
          <w:lang w:val="en-US" w:eastAsia="zh-CN" w:bidi="ar-SA"/>
        </w:rPr>
      </w:pPr>
      <w:r>
        <w:rPr>
          <w:rFonts w:hint="eastAsia" w:ascii="Times New Roman" w:hAnsi="Times New Roman" w:cs="宋体"/>
          <w:color w:val="auto"/>
          <w:spacing w:val="-1"/>
          <w:w w:val="100"/>
          <w:kern w:val="2"/>
          <w:sz w:val="22"/>
          <w:szCs w:val="22"/>
          <w:highlight w:val="none"/>
          <w:lang w:val="en-US" w:eastAsia="zh-CN" w:bidi="ar-SA"/>
        </w:rPr>
        <w:t>17</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1</w:t>
      </w:r>
      <w:r>
        <w:rPr>
          <w:rFonts w:hint="default" w:ascii="宋体" w:hAnsi="宋体" w:eastAsia="宋体" w:cs="宋体"/>
          <w:color w:val="auto"/>
          <w:spacing w:val="-1"/>
          <w:w w:val="100"/>
          <w:kern w:val="2"/>
          <w:sz w:val="22"/>
          <w:szCs w:val="22"/>
          <w:highlight w:val="none"/>
          <w:lang w:val="en-US" w:eastAsia="zh-CN" w:bidi="ar-SA"/>
        </w:rPr>
        <w:t>本合同文本包括设计文件，以及合同履行过程中的往来函电，均应以中文书写并以中文为准。</w:t>
      </w:r>
    </w:p>
    <w:p>
      <w:pPr>
        <w:pStyle w:val="90"/>
        <w:numPr>
          <w:ilvl w:val="1"/>
          <w:numId w:val="0"/>
        </w:numPr>
        <w:tabs>
          <w:tab w:val="left" w:pos="1460"/>
        </w:tabs>
        <w:spacing w:before="101" w:line="340" w:lineRule="auto"/>
        <w:ind w:right="887" w:rightChars="0" w:firstLine="436" w:firstLineChars="200"/>
        <w:jc w:val="both"/>
        <w:rPr>
          <w:rFonts w:hint="default" w:ascii="宋体" w:hAnsi="宋体" w:eastAsia="宋体" w:cs="宋体"/>
          <w:color w:val="auto"/>
          <w:spacing w:val="-1"/>
          <w:w w:val="100"/>
          <w:kern w:val="2"/>
          <w:sz w:val="22"/>
          <w:szCs w:val="22"/>
          <w:highlight w:val="none"/>
          <w:lang w:val="en-US" w:eastAsia="zh-CN" w:bidi="ar-SA"/>
        </w:rPr>
      </w:pPr>
      <w:r>
        <w:rPr>
          <w:rFonts w:hint="eastAsia" w:ascii="Times New Roman" w:hAnsi="Times New Roman" w:cs="宋体"/>
          <w:color w:val="auto"/>
          <w:spacing w:val="-1"/>
          <w:w w:val="100"/>
          <w:kern w:val="2"/>
          <w:sz w:val="22"/>
          <w:szCs w:val="22"/>
          <w:highlight w:val="none"/>
          <w:lang w:val="en-US" w:eastAsia="zh-CN" w:bidi="ar-SA"/>
        </w:rPr>
        <w:t>17</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2</w:t>
      </w:r>
      <w:r>
        <w:rPr>
          <w:rFonts w:hint="default" w:ascii="宋体" w:hAnsi="宋体" w:eastAsia="宋体" w:cs="宋体"/>
          <w:color w:val="auto"/>
          <w:spacing w:val="-1"/>
          <w:w w:val="100"/>
          <w:kern w:val="2"/>
          <w:sz w:val="22"/>
          <w:szCs w:val="22"/>
          <w:highlight w:val="none"/>
          <w:lang w:val="en-US" w:eastAsia="zh-CN" w:bidi="ar-SA"/>
        </w:rPr>
        <w:t>本合同适用法律为中华人民共和国（不包括香港、澳门与台湾地区）的法律、法规、条例、规章及行政文件，并受其制约。</w:t>
      </w:r>
    </w:p>
    <w:p>
      <w:pPr>
        <w:tabs>
          <w:tab w:val="left" w:pos="2260"/>
        </w:tabs>
        <w:spacing w:before="14"/>
        <w:ind w:left="820"/>
        <w:rPr>
          <w:b/>
          <w:color w:val="auto"/>
          <w:sz w:val="21"/>
          <w:highlight w:val="none"/>
          <w:lang w:eastAsia="zh-CN"/>
        </w:rPr>
      </w:pPr>
      <w:r>
        <w:rPr>
          <w:b/>
          <w:color w:val="auto"/>
          <w:sz w:val="21"/>
          <w:highlight w:val="none"/>
          <w:lang w:eastAsia="zh-CN"/>
        </w:rPr>
        <w:t>第十八条</w:t>
      </w:r>
      <w:r>
        <w:rPr>
          <w:b/>
          <w:color w:val="auto"/>
          <w:sz w:val="21"/>
          <w:highlight w:val="none"/>
          <w:lang w:eastAsia="zh-CN"/>
        </w:rPr>
        <w:tab/>
      </w:r>
      <w:bookmarkStart w:id="160" w:name="第十八条争议解决及管辖地约定"/>
      <w:bookmarkEnd w:id="160"/>
      <w:r>
        <w:rPr>
          <w:b/>
          <w:color w:val="auto"/>
          <w:w w:val="95"/>
          <w:sz w:val="21"/>
          <w:highlight w:val="none"/>
          <w:lang w:eastAsia="zh-CN"/>
        </w:rPr>
        <w:t>争议解决及管辖地约定</w:t>
      </w:r>
    </w:p>
    <w:p>
      <w:pPr>
        <w:pStyle w:val="90"/>
        <w:numPr>
          <w:ilvl w:val="1"/>
          <w:numId w:val="0"/>
        </w:numPr>
        <w:tabs>
          <w:tab w:val="left" w:pos="1460"/>
        </w:tabs>
        <w:spacing w:before="101" w:line="340" w:lineRule="auto"/>
        <w:ind w:right="887" w:rightChars="0" w:firstLine="436" w:firstLineChars="200"/>
        <w:jc w:val="both"/>
        <w:rPr>
          <w:rFonts w:hint="default" w:ascii="宋体" w:hAnsi="宋体" w:eastAsia="宋体" w:cs="宋体"/>
          <w:color w:val="auto"/>
          <w:spacing w:val="-1"/>
          <w:w w:val="100"/>
          <w:kern w:val="2"/>
          <w:sz w:val="22"/>
          <w:szCs w:val="22"/>
          <w:highlight w:val="none"/>
          <w:lang w:val="en-US" w:eastAsia="zh-CN" w:bidi="ar-SA"/>
        </w:rPr>
      </w:pPr>
      <w:r>
        <w:rPr>
          <w:rFonts w:hint="eastAsia" w:ascii="Times New Roman" w:hAnsi="Times New Roman" w:cs="宋体"/>
          <w:color w:val="auto"/>
          <w:spacing w:val="-1"/>
          <w:w w:val="100"/>
          <w:kern w:val="2"/>
          <w:sz w:val="22"/>
          <w:szCs w:val="22"/>
          <w:highlight w:val="none"/>
          <w:lang w:val="en-US" w:eastAsia="zh-CN" w:bidi="ar-SA"/>
        </w:rPr>
        <w:t>18</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1</w:t>
      </w:r>
      <w:r>
        <w:rPr>
          <w:rFonts w:hint="default" w:ascii="宋体" w:hAnsi="宋体" w:eastAsia="宋体" w:cs="宋体"/>
          <w:color w:val="auto"/>
          <w:spacing w:val="-1"/>
          <w:w w:val="100"/>
          <w:kern w:val="2"/>
          <w:sz w:val="22"/>
          <w:szCs w:val="22"/>
          <w:highlight w:val="none"/>
          <w:lang w:val="en-US" w:eastAsia="zh-CN" w:bidi="ar-SA"/>
        </w:rPr>
        <w:t>在合同履行中，如发生争议应由双方协商解决；如协商不成，双方同意将争议提请甲  方或乙方所在地人民法院裁决。</w:t>
      </w:r>
    </w:p>
    <w:p>
      <w:pPr>
        <w:tabs>
          <w:tab w:val="left" w:pos="2260"/>
        </w:tabs>
        <w:ind w:left="820"/>
        <w:rPr>
          <w:b/>
          <w:color w:val="auto"/>
          <w:sz w:val="21"/>
          <w:highlight w:val="none"/>
          <w:lang w:eastAsia="zh-CN"/>
        </w:rPr>
      </w:pPr>
      <w:r>
        <w:rPr>
          <w:b/>
          <w:color w:val="auto"/>
          <w:sz w:val="21"/>
          <w:highlight w:val="none"/>
          <w:lang w:eastAsia="zh-CN"/>
        </w:rPr>
        <w:t>第十九条</w:t>
      </w:r>
      <w:r>
        <w:rPr>
          <w:b/>
          <w:color w:val="auto"/>
          <w:sz w:val="21"/>
          <w:highlight w:val="none"/>
          <w:lang w:eastAsia="zh-CN"/>
        </w:rPr>
        <w:tab/>
      </w:r>
      <w:bookmarkStart w:id="161" w:name="第十九条合同的组成与解释"/>
      <w:bookmarkEnd w:id="161"/>
      <w:r>
        <w:rPr>
          <w:b/>
          <w:color w:val="auto"/>
          <w:sz w:val="21"/>
          <w:highlight w:val="none"/>
          <w:lang w:eastAsia="zh-CN"/>
        </w:rPr>
        <w:t>合同的组成与解释</w:t>
      </w:r>
    </w:p>
    <w:p>
      <w:pPr>
        <w:pStyle w:val="90"/>
        <w:numPr>
          <w:ilvl w:val="1"/>
          <w:numId w:val="0"/>
        </w:numPr>
        <w:tabs>
          <w:tab w:val="left" w:pos="1460"/>
        </w:tabs>
        <w:spacing w:before="101" w:line="340" w:lineRule="auto"/>
        <w:ind w:right="887" w:rightChars="0" w:firstLine="436" w:firstLineChars="200"/>
        <w:jc w:val="both"/>
        <w:rPr>
          <w:rFonts w:hint="default" w:ascii="宋体" w:hAnsi="宋体" w:eastAsia="宋体" w:cs="宋体"/>
          <w:color w:val="auto"/>
          <w:spacing w:val="-1"/>
          <w:w w:val="100"/>
          <w:kern w:val="2"/>
          <w:sz w:val="22"/>
          <w:szCs w:val="22"/>
          <w:highlight w:val="none"/>
          <w:lang w:val="en-US" w:eastAsia="zh-CN" w:bidi="ar-SA"/>
        </w:rPr>
      </w:pPr>
      <w:r>
        <w:rPr>
          <w:rFonts w:hint="eastAsia" w:ascii="Times New Roman" w:hAnsi="Times New Roman" w:cs="宋体"/>
          <w:color w:val="auto"/>
          <w:spacing w:val="-1"/>
          <w:w w:val="100"/>
          <w:kern w:val="2"/>
          <w:sz w:val="22"/>
          <w:szCs w:val="22"/>
          <w:highlight w:val="none"/>
          <w:lang w:val="en-US" w:eastAsia="zh-CN" w:bidi="ar-SA"/>
        </w:rPr>
        <w:t>19</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1</w:t>
      </w:r>
      <w:r>
        <w:rPr>
          <w:rFonts w:hint="default" w:ascii="宋体" w:hAnsi="宋体" w:eastAsia="宋体" w:cs="宋体"/>
          <w:color w:val="auto"/>
          <w:spacing w:val="-1"/>
          <w:w w:val="100"/>
          <w:kern w:val="2"/>
          <w:sz w:val="22"/>
          <w:szCs w:val="22"/>
          <w:highlight w:val="none"/>
          <w:lang w:val="en-US" w:eastAsia="zh-CN" w:bidi="ar-SA"/>
        </w:rPr>
        <w:t>本合同附件为本合同的有效组成部分，与本合同具有同等法律效力。</w:t>
      </w:r>
    </w:p>
    <w:p>
      <w:pPr>
        <w:pStyle w:val="90"/>
        <w:numPr>
          <w:ilvl w:val="1"/>
          <w:numId w:val="0"/>
        </w:numPr>
        <w:tabs>
          <w:tab w:val="left" w:pos="1460"/>
        </w:tabs>
        <w:spacing w:before="101" w:line="340" w:lineRule="auto"/>
        <w:ind w:right="887" w:rightChars="0" w:firstLine="436" w:firstLineChars="200"/>
        <w:jc w:val="both"/>
        <w:rPr>
          <w:rFonts w:hint="default" w:ascii="宋体" w:hAnsi="宋体" w:eastAsia="宋体" w:cs="宋体"/>
          <w:color w:val="auto"/>
          <w:spacing w:val="-1"/>
          <w:w w:val="100"/>
          <w:kern w:val="2"/>
          <w:sz w:val="22"/>
          <w:szCs w:val="22"/>
          <w:highlight w:val="none"/>
          <w:lang w:val="en-US" w:eastAsia="zh-CN" w:bidi="ar-SA"/>
        </w:rPr>
      </w:pPr>
      <w:r>
        <w:rPr>
          <w:rFonts w:hint="eastAsia" w:ascii="Times New Roman" w:hAnsi="Times New Roman" w:cs="宋体"/>
          <w:color w:val="auto"/>
          <w:spacing w:val="-1"/>
          <w:w w:val="100"/>
          <w:kern w:val="2"/>
          <w:sz w:val="22"/>
          <w:szCs w:val="22"/>
          <w:highlight w:val="none"/>
          <w:lang w:val="en-US" w:eastAsia="zh-CN" w:bidi="ar-SA"/>
        </w:rPr>
        <w:t>19</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2</w:t>
      </w:r>
      <w:r>
        <w:rPr>
          <w:rFonts w:hint="default" w:ascii="宋体" w:hAnsi="宋体" w:eastAsia="宋体" w:cs="宋体"/>
          <w:color w:val="auto"/>
          <w:spacing w:val="-1"/>
          <w:w w:val="100"/>
          <w:kern w:val="2"/>
          <w:sz w:val="22"/>
          <w:szCs w:val="22"/>
          <w:highlight w:val="none"/>
          <w:lang w:val="en-US" w:eastAsia="zh-CN" w:bidi="ar-SA"/>
        </w:rPr>
        <w:t>在本合同实施过程中，根据甲方和乙方就设计管理事宜共同签署的其它补充协议、文件和会议纪要等，如无特别声明，以最新签署的为准。</w:t>
      </w:r>
    </w:p>
    <w:p>
      <w:pPr>
        <w:tabs>
          <w:tab w:val="left" w:pos="2260"/>
        </w:tabs>
        <w:spacing w:before="8"/>
        <w:ind w:left="820"/>
        <w:rPr>
          <w:b/>
          <w:color w:val="auto"/>
          <w:sz w:val="21"/>
          <w:highlight w:val="none"/>
          <w:lang w:eastAsia="zh-CN"/>
        </w:rPr>
      </w:pPr>
      <w:r>
        <w:rPr>
          <w:b/>
          <w:color w:val="auto"/>
          <w:sz w:val="21"/>
          <w:highlight w:val="none"/>
          <w:lang w:eastAsia="zh-CN"/>
        </w:rPr>
        <w:t>第二十条</w:t>
      </w:r>
      <w:r>
        <w:rPr>
          <w:b/>
          <w:color w:val="auto"/>
          <w:sz w:val="21"/>
          <w:highlight w:val="none"/>
          <w:lang w:eastAsia="zh-CN"/>
        </w:rPr>
        <w:tab/>
      </w:r>
      <w:bookmarkStart w:id="162" w:name="第二十条合同的生效及其他"/>
      <w:bookmarkEnd w:id="162"/>
      <w:r>
        <w:rPr>
          <w:b/>
          <w:color w:val="auto"/>
          <w:sz w:val="21"/>
          <w:highlight w:val="none"/>
          <w:lang w:eastAsia="zh-CN"/>
        </w:rPr>
        <w:t>合同的生效及其他</w:t>
      </w:r>
    </w:p>
    <w:p>
      <w:pPr>
        <w:pStyle w:val="90"/>
        <w:numPr>
          <w:ilvl w:val="1"/>
          <w:numId w:val="0"/>
        </w:numPr>
        <w:tabs>
          <w:tab w:val="left" w:pos="1460"/>
        </w:tabs>
        <w:spacing w:before="101" w:line="340" w:lineRule="auto"/>
        <w:ind w:right="887" w:rightChars="0" w:firstLine="414" w:firstLineChars="200"/>
        <w:jc w:val="both"/>
        <w:rPr>
          <w:rFonts w:hint="default" w:ascii="宋体" w:hAnsi="宋体" w:eastAsia="宋体" w:cs="宋体"/>
          <w:color w:val="auto"/>
          <w:spacing w:val="-1"/>
          <w:w w:val="100"/>
          <w:kern w:val="2"/>
          <w:sz w:val="22"/>
          <w:szCs w:val="22"/>
          <w:highlight w:val="none"/>
          <w:lang w:val="en-US" w:eastAsia="zh-CN" w:bidi="ar-SA"/>
        </w:rPr>
      </w:pPr>
      <w:r>
        <w:rPr>
          <w:rFonts w:hint="eastAsia" w:ascii="Times New Roman" w:hAnsi="Times New Roman" w:cs="宋体"/>
          <w:color w:val="auto"/>
          <w:spacing w:val="0"/>
          <w:w w:val="99"/>
          <w:kern w:val="2"/>
          <w:sz w:val="21"/>
          <w:szCs w:val="21"/>
          <w:highlight w:val="none"/>
          <w:lang w:val="en-US" w:eastAsia="zh-CN" w:bidi="ar-SA"/>
        </w:rPr>
        <w:t>2</w:t>
      </w:r>
      <w:r>
        <w:rPr>
          <w:rFonts w:hint="eastAsia" w:ascii="Times New Roman" w:hAnsi="Times New Roman" w:cs="宋体"/>
          <w:color w:val="auto"/>
          <w:spacing w:val="-1"/>
          <w:w w:val="100"/>
          <w:kern w:val="2"/>
          <w:sz w:val="22"/>
          <w:szCs w:val="22"/>
          <w:highlight w:val="none"/>
          <w:lang w:val="en-US" w:eastAsia="zh-CN" w:bidi="ar-SA"/>
        </w:rPr>
        <w:t>0</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1</w:t>
      </w:r>
      <w:r>
        <w:rPr>
          <w:rFonts w:hint="default" w:ascii="宋体" w:hAnsi="宋体" w:eastAsia="宋体" w:cs="宋体"/>
          <w:color w:val="auto"/>
          <w:spacing w:val="-1"/>
          <w:w w:val="100"/>
          <w:kern w:val="2"/>
          <w:sz w:val="22"/>
          <w:szCs w:val="22"/>
          <w:highlight w:val="none"/>
          <w:lang w:val="en-US" w:eastAsia="zh-CN" w:bidi="ar-SA"/>
        </w:rPr>
        <w:t>本合同经双方签章生效。设计过程履行时间超过三年的，双方另行协商解决。本合同生效后，先前的谈判内容、陈述以及双方签订的意向书、备忘录及其他相关文件如与本合同不符的，均以本合同为准。如需对本合同进行修改或补充，则须经合同双方商议，另行签署书面文件。</w:t>
      </w:r>
    </w:p>
    <w:p>
      <w:pPr>
        <w:pStyle w:val="90"/>
        <w:numPr>
          <w:ilvl w:val="1"/>
          <w:numId w:val="0"/>
        </w:numPr>
        <w:tabs>
          <w:tab w:val="left" w:pos="1460"/>
        </w:tabs>
        <w:spacing w:before="101" w:line="340" w:lineRule="auto"/>
        <w:ind w:right="887" w:rightChars="0" w:firstLine="436" w:firstLineChars="200"/>
        <w:jc w:val="both"/>
        <w:rPr>
          <w:rFonts w:hint="default" w:ascii="宋体" w:hAnsi="宋体" w:eastAsia="宋体" w:cs="宋体"/>
          <w:color w:val="auto"/>
          <w:spacing w:val="-1"/>
          <w:w w:val="100"/>
          <w:kern w:val="2"/>
          <w:sz w:val="22"/>
          <w:szCs w:val="22"/>
          <w:highlight w:val="none"/>
          <w:lang w:val="en-US" w:eastAsia="zh-CN" w:bidi="ar-SA"/>
        </w:rPr>
      </w:pPr>
      <w:r>
        <w:rPr>
          <w:rFonts w:hint="eastAsia" w:ascii="Times New Roman" w:hAnsi="Times New Roman" w:cs="宋体"/>
          <w:color w:val="auto"/>
          <w:spacing w:val="-1"/>
          <w:w w:val="100"/>
          <w:kern w:val="2"/>
          <w:sz w:val="22"/>
          <w:szCs w:val="22"/>
          <w:highlight w:val="none"/>
          <w:lang w:val="en-US" w:eastAsia="zh-CN" w:bidi="ar-SA"/>
        </w:rPr>
        <w:t>20</w:t>
      </w:r>
      <w:r>
        <w:rPr>
          <w:rFonts w:hint="default" w:ascii="宋体" w:hAnsi="宋体" w:eastAsia="宋体" w:cs="宋体"/>
          <w:color w:val="auto"/>
          <w:spacing w:val="-1"/>
          <w:w w:val="100"/>
          <w:kern w:val="2"/>
          <w:sz w:val="22"/>
          <w:szCs w:val="22"/>
          <w:highlight w:val="none"/>
          <w:lang w:val="en-US" w:eastAsia="zh-CN" w:bidi="ar-SA"/>
        </w:rPr>
        <w:t>.</w:t>
      </w:r>
      <w:r>
        <w:rPr>
          <w:rFonts w:hint="eastAsia" w:ascii="Times New Roman" w:hAnsi="Times New Roman" w:cs="宋体"/>
          <w:color w:val="auto"/>
          <w:spacing w:val="-1"/>
          <w:w w:val="100"/>
          <w:kern w:val="2"/>
          <w:sz w:val="22"/>
          <w:szCs w:val="22"/>
          <w:highlight w:val="none"/>
          <w:lang w:val="en-US" w:eastAsia="zh-CN" w:bidi="ar-SA"/>
        </w:rPr>
        <w:t>2</w:t>
      </w:r>
      <w:r>
        <w:rPr>
          <w:rFonts w:hint="default" w:ascii="宋体" w:hAnsi="宋体" w:eastAsia="宋体" w:cs="宋体"/>
          <w:color w:val="auto"/>
          <w:spacing w:val="-1"/>
          <w:w w:val="100"/>
          <w:kern w:val="2"/>
          <w:sz w:val="22"/>
          <w:szCs w:val="22"/>
          <w:highlight w:val="none"/>
          <w:lang w:val="en-US" w:eastAsia="zh-CN" w:bidi="ar-SA"/>
        </w:rPr>
        <w:t>本合同壹式陆份，甲方执叁份，乙方执叁份，均具有同等法律效力。</w:t>
      </w:r>
    </w:p>
    <w:p>
      <w:pPr>
        <w:pStyle w:val="90"/>
        <w:numPr>
          <w:ilvl w:val="1"/>
          <w:numId w:val="0"/>
        </w:numPr>
        <w:tabs>
          <w:tab w:val="left" w:pos="1460"/>
        </w:tabs>
        <w:spacing w:before="101" w:line="340" w:lineRule="auto"/>
        <w:ind w:right="887" w:rightChars="0" w:firstLine="436" w:firstLineChars="200"/>
        <w:jc w:val="both"/>
        <w:rPr>
          <w:rFonts w:hint="default" w:ascii="宋体" w:hAnsi="宋体" w:eastAsia="宋体" w:cs="宋体"/>
          <w:color w:val="auto"/>
          <w:spacing w:val="-1"/>
          <w:w w:val="100"/>
          <w:kern w:val="2"/>
          <w:sz w:val="22"/>
          <w:szCs w:val="22"/>
          <w:highlight w:val="none"/>
          <w:lang w:val="en-US" w:eastAsia="zh-CN" w:bidi="ar-SA"/>
        </w:rPr>
      </w:pPr>
    </w:p>
    <w:p>
      <w:pPr>
        <w:pStyle w:val="17"/>
        <w:spacing w:before="5"/>
        <w:ind w:left="0"/>
        <w:rPr>
          <w:color w:val="auto"/>
          <w:sz w:val="18"/>
          <w:highlight w:val="none"/>
          <w:lang w:eastAsia="zh-CN"/>
        </w:rPr>
      </w:pPr>
    </w:p>
    <w:p>
      <w:pPr>
        <w:pStyle w:val="18"/>
        <w:rPr>
          <w:color w:val="auto"/>
          <w:sz w:val="18"/>
          <w:highlight w:val="none"/>
          <w:lang w:eastAsia="zh-CN"/>
        </w:rPr>
      </w:pPr>
    </w:p>
    <w:p>
      <w:pPr>
        <w:pStyle w:val="18"/>
        <w:rPr>
          <w:color w:val="auto"/>
          <w:sz w:val="18"/>
          <w:highlight w:val="none"/>
          <w:lang w:eastAsia="zh-CN"/>
        </w:rPr>
      </w:pPr>
    </w:p>
    <w:p>
      <w:pPr>
        <w:pStyle w:val="17"/>
        <w:spacing w:line="340" w:lineRule="auto"/>
        <w:ind w:right="6145"/>
        <w:rPr>
          <w:color w:val="auto"/>
          <w:spacing w:val="-3"/>
          <w:highlight w:val="none"/>
          <w:lang w:eastAsia="zh-CN"/>
        </w:rPr>
      </w:pPr>
      <w:r>
        <w:rPr>
          <w:color w:val="auto"/>
          <w:spacing w:val="-3"/>
          <w:highlight w:val="none"/>
          <w:lang w:eastAsia="zh-CN"/>
        </w:rPr>
        <w:t xml:space="preserve">附件一：项目概况及规划要点 </w:t>
      </w:r>
    </w:p>
    <w:p>
      <w:pPr>
        <w:pStyle w:val="17"/>
        <w:spacing w:line="340" w:lineRule="auto"/>
        <w:ind w:right="6145"/>
        <w:rPr>
          <w:color w:val="auto"/>
          <w:highlight w:val="none"/>
          <w:lang w:eastAsia="zh-CN"/>
        </w:rPr>
      </w:pPr>
      <w:r>
        <w:rPr>
          <w:color w:val="auto"/>
          <w:spacing w:val="-3"/>
          <w:highlight w:val="none"/>
          <w:lang w:eastAsia="zh-CN"/>
        </w:rPr>
        <w:t>附件二：乙方的设计内容及范围</w:t>
      </w:r>
    </w:p>
    <w:p>
      <w:pPr>
        <w:pStyle w:val="17"/>
        <w:spacing w:before="57"/>
        <w:rPr>
          <w:color w:val="auto"/>
          <w:highlight w:val="none"/>
          <w:lang w:eastAsia="zh-CN"/>
        </w:rPr>
      </w:pPr>
      <w:r>
        <w:rPr>
          <w:color w:val="auto"/>
          <w:highlight w:val="none"/>
          <w:lang w:eastAsia="zh-CN"/>
        </w:rPr>
        <w:t>附件三：设计进度及成果提交</w:t>
      </w:r>
    </w:p>
    <w:p>
      <w:pPr>
        <w:pStyle w:val="17"/>
        <w:spacing w:before="119" w:line="340" w:lineRule="auto"/>
        <w:ind w:right="5706"/>
        <w:rPr>
          <w:color w:val="auto"/>
          <w:spacing w:val="-3"/>
          <w:highlight w:val="none"/>
          <w:lang w:eastAsia="zh-CN"/>
        </w:rPr>
      </w:pPr>
      <w:r>
        <w:rPr>
          <w:color w:val="auto"/>
          <w:spacing w:val="-3"/>
          <w:highlight w:val="none"/>
          <w:lang w:eastAsia="zh-CN"/>
        </w:rPr>
        <w:t>附件四：乙方设计团队主要人员名单</w:t>
      </w:r>
    </w:p>
    <w:p>
      <w:pPr>
        <w:pStyle w:val="17"/>
        <w:spacing w:before="119" w:line="340" w:lineRule="auto"/>
        <w:ind w:right="5706"/>
        <w:rPr>
          <w:color w:val="auto"/>
          <w:spacing w:val="-3"/>
          <w:highlight w:val="none"/>
          <w:lang w:eastAsia="zh-CN"/>
        </w:rPr>
      </w:pPr>
      <w:r>
        <w:rPr>
          <w:color w:val="auto"/>
          <w:spacing w:val="-3"/>
          <w:highlight w:val="none"/>
          <w:lang w:eastAsia="zh-CN"/>
        </w:rPr>
        <w:t>附件五：甲方需向乙方提供的资料</w:t>
      </w:r>
    </w:p>
    <w:p>
      <w:pPr>
        <w:pStyle w:val="17"/>
        <w:spacing w:before="119" w:line="340" w:lineRule="auto"/>
        <w:ind w:right="5706"/>
        <w:rPr>
          <w:color w:val="auto"/>
          <w:highlight w:val="none"/>
          <w:lang w:eastAsia="zh-CN"/>
        </w:rPr>
      </w:pPr>
      <w:r>
        <w:rPr>
          <w:color w:val="auto"/>
          <w:spacing w:val="-3"/>
          <w:highlight w:val="none"/>
          <w:lang w:eastAsia="zh-CN"/>
        </w:rPr>
        <w:t>附件六：设计费的支付</w:t>
      </w:r>
    </w:p>
    <w:p>
      <w:pPr>
        <w:pStyle w:val="17"/>
        <w:ind w:left="0"/>
        <w:rPr>
          <w:color w:val="auto"/>
          <w:highlight w:val="none"/>
          <w:lang w:eastAsia="zh-CN"/>
        </w:rPr>
      </w:pPr>
    </w:p>
    <w:p>
      <w:pPr>
        <w:pStyle w:val="17"/>
        <w:ind w:left="0"/>
        <w:rPr>
          <w:rFonts w:ascii="Times New Roman" w:hAnsi="Times New Roman" w:eastAsia="宋体" w:cs="Times New Roman"/>
          <w:color w:val="auto"/>
          <w:kern w:val="2"/>
          <w:sz w:val="21"/>
          <w:szCs w:val="22"/>
          <w:highlight w:val="none"/>
          <w:lang w:val="en-US" w:eastAsia="zh-CN" w:bidi="ar-SA"/>
        </w:rPr>
      </w:pPr>
    </w:p>
    <w:p>
      <w:pPr>
        <w:pStyle w:val="17"/>
        <w:spacing w:before="1"/>
        <w:ind w:left="0"/>
        <w:rPr>
          <w:rFonts w:ascii="Times New Roman" w:hAnsi="Times New Roman" w:eastAsia="宋体" w:cs="Times New Roman"/>
          <w:color w:val="auto"/>
          <w:kern w:val="2"/>
          <w:sz w:val="21"/>
          <w:szCs w:val="22"/>
          <w:highlight w:val="none"/>
          <w:lang w:val="en-US" w:eastAsia="zh-CN" w:bidi="ar-SA"/>
        </w:rPr>
      </w:pPr>
    </w:p>
    <w:p>
      <w:pPr>
        <w:spacing w:line="357" w:lineRule="auto"/>
        <w:ind w:left="820" w:right="7758"/>
        <w:rPr>
          <w:rFonts w:hint="default" w:ascii="Times New Roman" w:hAnsi="Times New Roman" w:eastAsia="宋体" w:cs="Times New Roman"/>
          <w:color w:val="auto"/>
          <w:kern w:val="2"/>
          <w:sz w:val="21"/>
          <w:szCs w:val="22"/>
          <w:highlight w:val="none"/>
          <w:lang w:val="en-US" w:eastAsia="zh-CN" w:bidi="ar-SA"/>
        </w:rPr>
      </w:pPr>
      <w:r>
        <w:rPr>
          <w:rFonts w:ascii="Times New Roman" w:hAnsi="Times New Roman" w:eastAsia="宋体" w:cs="Times New Roman"/>
          <w:color w:val="auto"/>
          <w:kern w:val="2"/>
          <w:sz w:val="21"/>
          <w:szCs w:val="22"/>
          <w:highlight w:val="none"/>
          <w:lang w:val="en-US" w:eastAsia="zh-CN" w:bidi="ar-SA"/>
        </w:rPr>
        <w:t xml:space="preserve">甲方（盖章）： </w:t>
      </w:r>
      <w:r>
        <w:rPr>
          <w:rFonts w:hint="eastAsia" w:cs="Times New Roman"/>
          <w:color w:val="auto"/>
          <w:kern w:val="2"/>
          <w:sz w:val="21"/>
          <w:szCs w:val="22"/>
          <w:highlight w:val="none"/>
          <w:lang w:val="en-US" w:eastAsia="zh-CN" w:bidi="ar-SA"/>
        </w:rPr>
        <w:t>代表（签字）</w:t>
      </w:r>
    </w:p>
    <w:p>
      <w:pPr>
        <w:pStyle w:val="17"/>
        <w:ind w:left="0"/>
        <w:rPr>
          <w:rFonts w:ascii="Times New Roman" w:hAnsi="Times New Roman" w:eastAsia="宋体" w:cs="Times New Roman"/>
          <w:color w:val="auto"/>
          <w:kern w:val="2"/>
          <w:sz w:val="21"/>
          <w:szCs w:val="22"/>
          <w:highlight w:val="none"/>
          <w:lang w:val="en-US" w:eastAsia="zh-CN" w:bidi="ar-SA"/>
        </w:rPr>
      </w:pPr>
    </w:p>
    <w:p>
      <w:pPr>
        <w:pStyle w:val="17"/>
        <w:ind w:left="0"/>
        <w:rPr>
          <w:rFonts w:ascii="Times New Roman" w:hAnsi="Times New Roman" w:eastAsia="宋体" w:cs="Times New Roman"/>
          <w:color w:val="auto"/>
          <w:kern w:val="2"/>
          <w:sz w:val="21"/>
          <w:szCs w:val="22"/>
          <w:highlight w:val="none"/>
          <w:lang w:val="en-US" w:eastAsia="zh-CN" w:bidi="ar-SA"/>
        </w:rPr>
      </w:pPr>
    </w:p>
    <w:p>
      <w:pPr>
        <w:pStyle w:val="17"/>
        <w:ind w:left="0"/>
        <w:rPr>
          <w:rFonts w:ascii="Times New Roman" w:hAnsi="Times New Roman" w:eastAsia="宋体" w:cs="Times New Roman"/>
          <w:color w:val="auto"/>
          <w:kern w:val="2"/>
          <w:sz w:val="21"/>
          <w:szCs w:val="22"/>
          <w:highlight w:val="none"/>
          <w:lang w:val="en-US" w:eastAsia="zh-CN" w:bidi="ar-SA"/>
        </w:rPr>
      </w:pPr>
    </w:p>
    <w:p>
      <w:pPr>
        <w:pStyle w:val="17"/>
        <w:ind w:left="0"/>
        <w:rPr>
          <w:rFonts w:ascii="Times New Roman" w:hAnsi="Times New Roman" w:eastAsia="宋体" w:cs="Times New Roman"/>
          <w:color w:val="auto"/>
          <w:kern w:val="2"/>
          <w:sz w:val="21"/>
          <w:szCs w:val="22"/>
          <w:highlight w:val="none"/>
          <w:lang w:val="en-US" w:eastAsia="zh-CN" w:bidi="ar-SA"/>
        </w:rPr>
      </w:pPr>
    </w:p>
    <w:p>
      <w:pPr>
        <w:pStyle w:val="17"/>
        <w:ind w:left="0"/>
        <w:rPr>
          <w:rFonts w:ascii="Times New Roman" w:hAnsi="Times New Roman" w:eastAsia="宋体" w:cs="Times New Roman"/>
          <w:color w:val="auto"/>
          <w:kern w:val="2"/>
          <w:sz w:val="21"/>
          <w:szCs w:val="22"/>
          <w:highlight w:val="none"/>
          <w:lang w:val="en-US" w:eastAsia="zh-CN" w:bidi="ar-SA"/>
        </w:rPr>
      </w:pPr>
    </w:p>
    <w:p>
      <w:pPr>
        <w:pStyle w:val="17"/>
        <w:spacing w:before="9"/>
        <w:ind w:left="0"/>
        <w:rPr>
          <w:rFonts w:ascii="Times New Roman" w:hAnsi="Times New Roman" w:eastAsia="宋体" w:cs="Times New Roman"/>
          <w:color w:val="auto"/>
          <w:kern w:val="2"/>
          <w:sz w:val="21"/>
          <w:szCs w:val="22"/>
          <w:highlight w:val="none"/>
          <w:lang w:val="en-US" w:eastAsia="zh-CN" w:bidi="ar-SA"/>
        </w:rPr>
      </w:pPr>
    </w:p>
    <w:p>
      <w:pPr>
        <w:spacing w:line="357" w:lineRule="auto"/>
        <w:ind w:left="820" w:right="7758"/>
        <w:rPr>
          <w:rFonts w:ascii="Times New Roman" w:hAnsi="Times New Roman" w:eastAsia="宋体" w:cs="Times New Roman"/>
          <w:color w:val="auto"/>
          <w:kern w:val="2"/>
          <w:sz w:val="21"/>
          <w:szCs w:val="22"/>
          <w:highlight w:val="none"/>
          <w:lang w:val="en-US" w:eastAsia="zh-CN" w:bidi="ar-SA"/>
        </w:rPr>
      </w:pPr>
      <w:r>
        <w:rPr>
          <w:rFonts w:ascii="Times New Roman" w:hAnsi="Times New Roman" w:eastAsia="宋体" w:cs="Times New Roman"/>
          <w:color w:val="auto"/>
          <w:kern w:val="2"/>
          <w:sz w:val="21"/>
          <w:szCs w:val="22"/>
          <w:highlight w:val="none"/>
          <w:lang w:val="en-US" w:eastAsia="zh-CN" w:bidi="ar-SA"/>
        </w:rPr>
        <w:t>乙方（盖章）： 代表（签字）：</w:t>
      </w:r>
    </w:p>
    <w:p>
      <w:pPr>
        <w:pStyle w:val="17"/>
        <w:ind w:left="0"/>
        <w:rPr>
          <w:color w:val="auto"/>
          <w:sz w:val="20"/>
          <w:highlight w:val="none"/>
          <w:lang w:eastAsia="zh-CN"/>
        </w:rPr>
      </w:pPr>
    </w:p>
    <w:p>
      <w:pPr>
        <w:pStyle w:val="17"/>
        <w:ind w:left="0"/>
        <w:rPr>
          <w:color w:val="auto"/>
          <w:sz w:val="20"/>
          <w:highlight w:val="none"/>
          <w:lang w:eastAsia="zh-CN"/>
        </w:rPr>
      </w:pPr>
    </w:p>
    <w:p>
      <w:pPr>
        <w:pStyle w:val="17"/>
        <w:ind w:left="0"/>
        <w:rPr>
          <w:color w:val="auto"/>
          <w:sz w:val="20"/>
          <w:highlight w:val="none"/>
          <w:lang w:eastAsia="zh-CN"/>
        </w:rPr>
      </w:pPr>
    </w:p>
    <w:p>
      <w:pPr>
        <w:pStyle w:val="17"/>
        <w:ind w:left="0"/>
        <w:rPr>
          <w:color w:val="auto"/>
          <w:sz w:val="20"/>
          <w:highlight w:val="none"/>
          <w:lang w:eastAsia="zh-CN"/>
        </w:rPr>
      </w:pPr>
    </w:p>
    <w:p>
      <w:pPr>
        <w:pStyle w:val="17"/>
        <w:ind w:left="0"/>
        <w:rPr>
          <w:color w:val="auto"/>
          <w:sz w:val="20"/>
          <w:highlight w:val="none"/>
          <w:lang w:eastAsia="zh-CN"/>
        </w:rPr>
      </w:pPr>
    </w:p>
    <w:p>
      <w:pPr>
        <w:pStyle w:val="17"/>
        <w:spacing w:before="10"/>
        <w:ind w:left="0"/>
        <w:rPr>
          <w:color w:val="auto"/>
          <w:sz w:val="24"/>
          <w:highlight w:val="none"/>
          <w:lang w:eastAsia="zh-CN"/>
        </w:rPr>
      </w:pPr>
    </w:p>
    <w:p>
      <w:pPr>
        <w:ind w:left="820"/>
        <w:rPr>
          <w:color w:val="auto"/>
          <w:sz w:val="21"/>
          <w:highlight w:val="none"/>
          <w:lang w:eastAsia="zh-CN"/>
        </w:rPr>
      </w:pPr>
      <w:r>
        <w:rPr>
          <w:color w:val="auto"/>
          <w:sz w:val="21"/>
          <w:highlight w:val="none"/>
          <w:lang w:eastAsia="zh-CN"/>
        </w:rPr>
        <w:t>签订日期：</w:t>
      </w:r>
    </w:p>
    <w:p>
      <w:pPr>
        <w:rPr>
          <w:color w:val="auto"/>
          <w:sz w:val="21"/>
          <w:highlight w:val="none"/>
          <w:lang w:eastAsia="zh-CN"/>
        </w:rPr>
        <w:sectPr>
          <w:pgSz w:w="11849" w:h="16792"/>
          <w:pgMar w:top="1417" w:right="850" w:bottom="1417" w:left="850" w:header="850" w:footer="850" w:gutter="0"/>
          <w:pgBorders>
            <w:top w:val="none" w:sz="0" w:space="0"/>
            <w:left w:val="none" w:sz="0" w:space="0"/>
            <w:bottom w:val="none" w:sz="0" w:space="0"/>
            <w:right w:val="none" w:sz="0" w:space="0"/>
          </w:pgBorders>
          <w:pgNumType w:fmt="decimal"/>
          <w:cols w:space="0" w:num="1"/>
          <w:rtlGutter w:val="0"/>
          <w:docGrid w:linePitch="0" w:charSpace="0"/>
        </w:sectPr>
      </w:pPr>
    </w:p>
    <w:p>
      <w:pPr>
        <w:spacing w:before="47" w:line="357" w:lineRule="auto"/>
        <w:ind w:left="820" w:right="6488"/>
        <w:rPr>
          <w:color w:val="auto"/>
          <w:sz w:val="21"/>
          <w:highlight w:val="none"/>
          <w:lang w:eastAsia="zh-CN"/>
        </w:rPr>
      </w:pPr>
      <w:bookmarkStart w:id="163" w:name="附件二：乙方的设计内容及范围"/>
      <w:bookmarkEnd w:id="163"/>
      <w:bookmarkStart w:id="164" w:name="附件一：项目概况及规划要点"/>
      <w:bookmarkEnd w:id="164"/>
      <w:r>
        <w:rPr>
          <w:b/>
          <w:color w:val="auto"/>
          <w:sz w:val="21"/>
          <w:highlight w:val="none"/>
          <w:lang w:eastAsia="zh-CN"/>
        </w:rPr>
        <w:t>附件一：项目概况及规划要点</w:t>
      </w:r>
      <w:r>
        <w:rPr>
          <w:color w:val="auto"/>
          <w:sz w:val="21"/>
          <w:highlight w:val="none"/>
          <w:lang w:eastAsia="zh-CN"/>
        </w:rPr>
        <w:t>总图附图</w:t>
      </w:r>
    </w:p>
    <w:p>
      <w:pPr>
        <w:pStyle w:val="17"/>
        <w:spacing w:before="6"/>
        <w:ind w:left="0"/>
        <w:rPr>
          <w:color w:val="auto"/>
          <w:highlight w:val="none"/>
          <w:lang w:eastAsia="zh-CN"/>
        </w:rPr>
      </w:pPr>
    </w:p>
    <w:tbl>
      <w:tblPr>
        <w:tblStyle w:val="104"/>
        <w:tblW w:w="0" w:type="auto"/>
        <w:tblInd w:w="7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3"/>
        <w:gridCol w:w="1811"/>
        <w:gridCol w:w="55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843" w:type="dxa"/>
          </w:tcPr>
          <w:p>
            <w:pPr>
              <w:pStyle w:val="65"/>
              <w:spacing w:before="12"/>
              <w:rPr>
                <w:color w:val="auto"/>
                <w:sz w:val="14"/>
                <w:highlight w:val="none"/>
                <w:lang w:eastAsia="zh-CN"/>
              </w:rPr>
            </w:pPr>
          </w:p>
          <w:p>
            <w:pPr>
              <w:pStyle w:val="65"/>
              <w:ind w:left="188" w:right="183"/>
              <w:jc w:val="center"/>
              <w:rPr>
                <w:b/>
                <w:color w:val="auto"/>
                <w:sz w:val="21"/>
                <w:highlight w:val="none"/>
              </w:rPr>
            </w:pPr>
            <w:r>
              <w:rPr>
                <w:b/>
                <w:color w:val="auto"/>
                <w:sz w:val="21"/>
                <w:highlight w:val="none"/>
              </w:rPr>
              <w:t>序号</w:t>
            </w:r>
          </w:p>
        </w:tc>
        <w:tc>
          <w:tcPr>
            <w:tcW w:w="1811" w:type="dxa"/>
          </w:tcPr>
          <w:p>
            <w:pPr>
              <w:pStyle w:val="65"/>
              <w:spacing w:before="12"/>
              <w:rPr>
                <w:color w:val="auto"/>
                <w:sz w:val="14"/>
                <w:highlight w:val="none"/>
              </w:rPr>
            </w:pPr>
          </w:p>
          <w:p>
            <w:pPr>
              <w:pStyle w:val="65"/>
              <w:ind w:left="672" w:right="666"/>
              <w:jc w:val="center"/>
              <w:rPr>
                <w:b/>
                <w:color w:val="auto"/>
                <w:sz w:val="21"/>
                <w:highlight w:val="none"/>
              </w:rPr>
            </w:pPr>
            <w:r>
              <w:rPr>
                <w:b/>
                <w:color w:val="auto"/>
                <w:sz w:val="21"/>
                <w:highlight w:val="none"/>
              </w:rPr>
              <w:t>内容</w:t>
            </w:r>
          </w:p>
        </w:tc>
        <w:tc>
          <w:tcPr>
            <w:tcW w:w="5568" w:type="dxa"/>
          </w:tcPr>
          <w:p>
            <w:pPr>
              <w:pStyle w:val="65"/>
              <w:spacing w:before="12"/>
              <w:rPr>
                <w:color w:val="auto"/>
                <w:sz w:val="14"/>
                <w:highlight w:val="none"/>
              </w:rPr>
            </w:pPr>
          </w:p>
          <w:p>
            <w:pPr>
              <w:pStyle w:val="65"/>
              <w:ind w:left="1834"/>
              <w:rPr>
                <w:b/>
                <w:color w:val="auto"/>
                <w:sz w:val="21"/>
                <w:highlight w:val="none"/>
              </w:rPr>
            </w:pPr>
            <w:r>
              <w:rPr>
                <w:b/>
                <w:color w:val="auto"/>
                <w:sz w:val="21"/>
                <w:highlight w:val="none"/>
              </w:rPr>
              <w:t>详细说明或规划要点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843" w:type="dxa"/>
          </w:tcPr>
          <w:p>
            <w:pPr>
              <w:pStyle w:val="65"/>
              <w:spacing w:before="159"/>
              <w:ind w:left="7"/>
              <w:jc w:val="center"/>
              <w:rPr>
                <w:rFonts w:hint="eastAsia" w:eastAsia="宋体"/>
                <w:color w:val="auto"/>
                <w:sz w:val="21"/>
                <w:highlight w:val="none"/>
                <w:lang w:eastAsia="zh-CN"/>
              </w:rPr>
            </w:pPr>
            <w:r>
              <w:rPr>
                <w:rFonts w:hint="eastAsia" w:ascii="Times New Roman" w:hAnsi="Times New Roman"/>
                <w:color w:val="auto"/>
                <w:w w:val="99"/>
                <w:sz w:val="21"/>
                <w:highlight w:val="none"/>
                <w:lang w:eastAsia="zh-CN"/>
              </w:rPr>
              <w:t>1</w:t>
            </w:r>
          </w:p>
        </w:tc>
        <w:tc>
          <w:tcPr>
            <w:tcW w:w="1811" w:type="dxa"/>
          </w:tcPr>
          <w:p>
            <w:pPr>
              <w:pStyle w:val="65"/>
              <w:spacing w:before="159"/>
              <w:ind w:left="107"/>
              <w:rPr>
                <w:color w:val="auto"/>
                <w:sz w:val="21"/>
                <w:highlight w:val="none"/>
              </w:rPr>
            </w:pPr>
            <w:r>
              <w:rPr>
                <w:color w:val="auto"/>
                <w:sz w:val="21"/>
                <w:highlight w:val="none"/>
              </w:rPr>
              <w:t>项目名称</w:t>
            </w:r>
          </w:p>
        </w:tc>
        <w:tc>
          <w:tcPr>
            <w:tcW w:w="5568" w:type="dxa"/>
          </w:tcPr>
          <w:p>
            <w:pPr>
              <w:pStyle w:val="6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843" w:type="dxa"/>
          </w:tcPr>
          <w:p>
            <w:pPr>
              <w:pStyle w:val="65"/>
              <w:spacing w:before="158"/>
              <w:ind w:left="7"/>
              <w:jc w:val="center"/>
              <w:rPr>
                <w:rFonts w:hint="eastAsia" w:eastAsia="宋体"/>
                <w:color w:val="auto"/>
                <w:sz w:val="21"/>
                <w:highlight w:val="none"/>
                <w:lang w:eastAsia="zh-CN"/>
              </w:rPr>
            </w:pPr>
            <w:r>
              <w:rPr>
                <w:rFonts w:hint="eastAsia" w:ascii="Times New Roman" w:hAnsi="Times New Roman"/>
                <w:color w:val="auto"/>
                <w:w w:val="99"/>
                <w:sz w:val="21"/>
                <w:highlight w:val="none"/>
                <w:lang w:eastAsia="zh-CN"/>
              </w:rPr>
              <w:t>2</w:t>
            </w:r>
          </w:p>
        </w:tc>
        <w:tc>
          <w:tcPr>
            <w:tcW w:w="1811" w:type="dxa"/>
          </w:tcPr>
          <w:p>
            <w:pPr>
              <w:pStyle w:val="65"/>
              <w:spacing w:before="158"/>
              <w:ind w:left="107"/>
              <w:rPr>
                <w:color w:val="auto"/>
                <w:sz w:val="21"/>
                <w:highlight w:val="none"/>
              </w:rPr>
            </w:pPr>
            <w:r>
              <w:rPr>
                <w:color w:val="auto"/>
                <w:sz w:val="21"/>
                <w:highlight w:val="none"/>
              </w:rPr>
              <w:t>建设地点</w:t>
            </w:r>
          </w:p>
        </w:tc>
        <w:tc>
          <w:tcPr>
            <w:tcW w:w="5568" w:type="dxa"/>
          </w:tcPr>
          <w:p>
            <w:pPr>
              <w:pStyle w:val="6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843" w:type="dxa"/>
          </w:tcPr>
          <w:p>
            <w:pPr>
              <w:pStyle w:val="65"/>
              <w:spacing w:before="158"/>
              <w:ind w:left="7"/>
              <w:jc w:val="center"/>
              <w:rPr>
                <w:rFonts w:hint="eastAsia" w:eastAsia="宋体"/>
                <w:color w:val="auto"/>
                <w:sz w:val="21"/>
                <w:highlight w:val="none"/>
                <w:lang w:eastAsia="zh-CN"/>
              </w:rPr>
            </w:pPr>
            <w:r>
              <w:rPr>
                <w:rFonts w:hint="eastAsia" w:ascii="Times New Roman" w:hAnsi="Times New Roman"/>
                <w:color w:val="auto"/>
                <w:w w:val="99"/>
                <w:sz w:val="21"/>
                <w:highlight w:val="none"/>
                <w:lang w:eastAsia="zh-CN"/>
              </w:rPr>
              <w:t>3</w:t>
            </w:r>
          </w:p>
        </w:tc>
        <w:tc>
          <w:tcPr>
            <w:tcW w:w="1811" w:type="dxa"/>
          </w:tcPr>
          <w:p>
            <w:pPr>
              <w:pStyle w:val="65"/>
              <w:spacing w:before="158"/>
              <w:ind w:left="107"/>
              <w:rPr>
                <w:color w:val="auto"/>
                <w:sz w:val="21"/>
                <w:highlight w:val="none"/>
              </w:rPr>
            </w:pPr>
            <w:r>
              <w:rPr>
                <w:color w:val="auto"/>
                <w:sz w:val="21"/>
                <w:highlight w:val="none"/>
              </w:rPr>
              <w:t>项目用地面积</w:t>
            </w:r>
          </w:p>
        </w:tc>
        <w:tc>
          <w:tcPr>
            <w:tcW w:w="5568" w:type="dxa"/>
          </w:tcPr>
          <w:p>
            <w:pPr>
              <w:pStyle w:val="6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843" w:type="dxa"/>
          </w:tcPr>
          <w:p>
            <w:pPr>
              <w:pStyle w:val="65"/>
              <w:spacing w:before="159"/>
              <w:ind w:left="7"/>
              <w:jc w:val="center"/>
              <w:rPr>
                <w:rFonts w:hint="eastAsia" w:eastAsia="宋体"/>
                <w:color w:val="auto"/>
                <w:sz w:val="21"/>
                <w:highlight w:val="none"/>
                <w:lang w:eastAsia="zh-CN"/>
              </w:rPr>
            </w:pPr>
            <w:r>
              <w:rPr>
                <w:rFonts w:hint="eastAsia" w:ascii="Times New Roman" w:hAnsi="Times New Roman"/>
                <w:color w:val="auto"/>
                <w:w w:val="99"/>
                <w:sz w:val="21"/>
                <w:highlight w:val="none"/>
                <w:lang w:eastAsia="zh-CN"/>
              </w:rPr>
              <w:t>4</w:t>
            </w:r>
          </w:p>
        </w:tc>
        <w:tc>
          <w:tcPr>
            <w:tcW w:w="1811" w:type="dxa"/>
          </w:tcPr>
          <w:p>
            <w:pPr>
              <w:pStyle w:val="65"/>
              <w:spacing w:before="159"/>
              <w:ind w:left="107"/>
              <w:rPr>
                <w:color w:val="auto"/>
                <w:sz w:val="21"/>
                <w:highlight w:val="none"/>
              </w:rPr>
            </w:pPr>
            <w:r>
              <w:rPr>
                <w:color w:val="auto"/>
                <w:sz w:val="21"/>
                <w:highlight w:val="none"/>
              </w:rPr>
              <w:t>建筑类型</w:t>
            </w:r>
          </w:p>
        </w:tc>
        <w:tc>
          <w:tcPr>
            <w:tcW w:w="5568" w:type="dxa"/>
          </w:tcPr>
          <w:p>
            <w:pPr>
              <w:pStyle w:val="6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843" w:type="dxa"/>
          </w:tcPr>
          <w:p>
            <w:pPr>
              <w:pStyle w:val="65"/>
              <w:spacing w:before="158"/>
              <w:ind w:left="7"/>
              <w:jc w:val="center"/>
              <w:rPr>
                <w:rFonts w:hint="eastAsia" w:eastAsia="宋体"/>
                <w:color w:val="auto"/>
                <w:sz w:val="21"/>
                <w:highlight w:val="none"/>
                <w:lang w:eastAsia="zh-CN"/>
              </w:rPr>
            </w:pPr>
            <w:r>
              <w:rPr>
                <w:rFonts w:hint="eastAsia" w:ascii="Times New Roman" w:hAnsi="Times New Roman"/>
                <w:color w:val="auto"/>
                <w:w w:val="99"/>
                <w:sz w:val="21"/>
                <w:highlight w:val="none"/>
                <w:lang w:eastAsia="zh-CN"/>
              </w:rPr>
              <w:t>5</w:t>
            </w:r>
          </w:p>
        </w:tc>
        <w:tc>
          <w:tcPr>
            <w:tcW w:w="1811" w:type="dxa"/>
          </w:tcPr>
          <w:p>
            <w:pPr>
              <w:pStyle w:val="65"/>
              <w:spacing w:before="158"/>
              <w:ind w:left="107"/>
              <w:rPr>
                <w:color w:val="auto"/>
                <w:sz w:val="21"/>
                <w:highlight w:val="none"/>
              </w:rPr>
            </w:pPr>
            <w:r>
              <w:rPr>
                <w:color w:val="auto"/>
                <w:sz w:val="21"/>
                <w:highlight w:val="none"/>
              </w:rPr>
              <w:t>土地使用强度</w:t>
            </w:r>
          </w:p>
        </w:tc>
        <w:tc>
          <w:tcPr>
            <w:tcW w:w="5568" w:type="dxa"/>
          </w:tcPr>
          <w:p>
            <w:pPr>
              <w:pStyle w:val="6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843" w:type="dxa"/>
          </w:tcPr>
          <w:p>
            <w:pPr>
              <w:pStyle w:val="65"/>
              <w:spacing w:before="159"/>
              <w:ind w:left="7"/>
              <w:jc w:val="center"/>
              <w:rPr>
                <w:rFonts w:hint="eastAsia" w:eastAsia="宋体"/>
                <w:color w:val="auto"/>
                <w:sz w:val="21"/>
                <w:highlight w:val="none"/>
                <w:lang w:eastAsia="zh-CN"/>
              </w:rPr>
            </w:pPr>
            <w:r>
              <w:rPr>
                <w:rFonts w:hint="eastAsia" w:ascii="Times New Roman" w:hAnsi="Times New Roman"/>
                <w:color w:val="auto"/>
                <w:w w:val="99"/>
                <w:sz w:val="21"/>
                <w:highlight w:val="none"/>
                <w:lang w:eastAsia="zh-CN"/>
              </w:rPr>
              <w:t>6</w:t>
            </w:r>
          </w:p>
        </w:tc>
        <w:tc>
          <w:tcPr>
            <w:tcW w:w="1811" w:type="dxa"/>
          </w:tcPr>
          <w:p>
            <w:pPr>
              <w:pStyle w:val="65"/>
              <w:spacing w:before="159"/>
              <w:ind w:left="107"/>
              <w:rPr>
                <w:color w:val="auto"/>
                <w:sz w:val="21"/>
                <w:highlight w:val="none"/>
              </w:rPr>
            </w:pPr>
            <w:r>
              <w:rPr>
                <w:color w:val="auto"/>
                <w:sz w:val="21"/>
                <w:highlight w:val="none"/>
              </w:rPr>
              <w:t>设计内容</w:t>
            </w:r>
          </w:p>
        </w:tc>
        <w:tc>
          <w:tcPr>
            <w:tcW w:w="5568" w:type="dxa"/>
          </w:tcPr>
          <w:p>
            <w:pPr>
              <w:pStyle w:val="65"/>
              <w:rPr>
                <w:rFonts w:ascii="Times New Roman"/>
                <w:color w:val="auto"/>
                <w:sz w:val="20"/>
                <w:highlight w:val="none"/>
              </w:rPr>
            </w:pPr>
          </w:p>
        </w:tc>
      </w:tr>
    </w:tbl>
    <w:p>
      <w:pPr>
        <w:rPr>
          <w:rFonts w:ascii="Times New Roman"/>
          <w:color w:val="auto"/>
          <w:sz w:val="20"/>
          <w:highlight w:val="none"/>
        </w:rPr>
        <w:sectPr>
          <w:pgSz w:w="11849" w:h="16792"/>
          <w:pgMar w:top="1417" w:right="850" w:bottom="1417" w:left="850" w:header="850" w:footer="850" w:gutter="0"/>
          <w:pgBorders>
            <w:top w:val="none" w:sz="0" w:space="0"/>
            <w:left w:val="none" w:sz="0" w:space="0"/>
            <w:bottom w:val="none" w:sz="0" w:space="0"/>
            <w:right w:val="none" w:sz="0" w:space="0"/>
          </w:pgBorders>
          <w:pgNumType w:fmt="decimal"/>
          <w:cols w:space="0" w:num="1"/>
          <w:rtlGutter w:val="0"/>
          <w:docGrid w:linePitch="0" w:charSpace="0"/>
        </w:sectPr>
      </w:pPr>
    </w:p>
    <w:p>
      <w:pPr>
        <w:spacing w:before="47" w:line="357" w:lineRule="auto"/>
        <w:ind w:left="820" w:right="6277"/>
        <w:rPr>
          <w:b/>
          <w:color w:val="auto"/>
          <w:sz w:val="21"/>
          <w:highlight w:val="none"/>
          <w:lang w:eastAsia="zh-CN"/>
        </w:rPr>
      </w:pPr>
      <w:r>
        <w:rPr>
          <w:color w:val="auto"/>
          <w:highlight w:val="none"/>
        </w:rPr>
        <mc:AlternateContent>
          <mc:Choice Requires="wps">
            <w:drawing>
              <wp:anchor distT="0" distB="0" distL="114300" distR="114300" simplePos="0" relativeHeight="251663360" behindDoc="0" locked="0" layoutInCell="1" allowOverlap="1">
                <wp:simplePos x="0" y="0"/>
                <wp:positionH relativeFrom="page">
                  <wp:posOffset>1020445</wp:posOffset>
                </wp:positionH>
                <wp:positionV relativeFrom="page">
                  <wp:posOffset>1460500</wp:posOffset>
                </wp:positionV>
                <wp:extent cx="5486400" cy="82937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486400" cy="8293735"/>
                        </a:xfrm>
                        <a:prstGeom prst="rect">
                          <a:avLst/>
                        </a:prstGeom>
                        <a:noFill/>
                        <a:ln>
                          <a:noFill/>
                        </a:ln>
                      </wps:spPr>
                      <wps:txbx>
                        <w:txbxContent>
                          <w:tbl>
                            <w:tblPr>
                              <w:tblStyle w:val="104"/>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1"/>
                              <w:gridCol w:w="6662"/>
                              <w:gridCol w:w="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101" w:type="dxa"/>
                                </w:tcPr>
                                <w:p>
                                  <w:pPr>
                                    <w:pStyle w:val="65"/>
                                    <w:spacing w:before="147"/>
                                    <w:ind w:left="338"/>
                                    <w:rPr>
                                      <w:b/>
                                      <w:sz w:val="21"/>
                                    </w:rPr>
                                  </w:pPr>
                                  <w:r>
                                    <w:rPr>
                                      <w:b/>
                                      <w:sz w:val="21"/>
                                    </w:rPr>
                                    <w:t>阶段</w:t>
                                  </w:r>
                                </w:p>
                              </w:tc>
                              <w:tc>
                                <w:tcPr>
                                  <w:tcW w:w="6662" w:type="dxa"/>
                                </w:tcPr>
                                <w:p>
                                  <w:pPr>
                                    <w:pStyle w:val="65"/>
                                    <w:spacing w:before="147"/>
                                    <w:ind w:left="2572" w:right="2564"/>
                                    <w:jc w:val="center"/>
                                    <w:rPr>
                                      <w:b/>
                                      <w:sz w:val="21"/>
                                    </w:rPr>
                                  </w:pPr>
                                  <w:r>
                                    <w:rPr>
                                      <w:b/>
                                      <w:sz w:val="21"/>
                                    </w:rPr>
                                    <w:t>设计内容及范围</w:t>
                                  </w:r>
                                </w:p>
                              </w:tc>
                              <w:tc>
                                <w:tcPr>
                                  <w:tcW w:w="862" w:type="dxa"/>
                                </w:tcPr>
                                <w:p>
                                  <w:pPr>
                                    <w:pStyle w:val="65"/>
                                    <w:spacing w:before="147"/>
                                    <w:ind w:left="199" w:right="191"/>
                                    <w:jc w:val="center"/>
                                    <w:rPr>
                                      <w:b/>
                                      <w:sz w:val="21"/>
                                    </w:rPr>
                                  </w:pPr>
                                  <w:r>
                                    <w:rPr>
                                      <w:b/>
                                      <w:sz w:val="21"/>
                                    </w:rPr>
                                    <w:t>份数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0" w:hRule="atLeast"/>
                              </w:trPr>
                              <w:tc>
                                <w:tcPr>
                                  <w:tcW w:w="1101" w:type="dxa"/>
                                  <w:vMerge w:val="restart"/>
                                </w:tcPr>
                                <w:p>
                                  <w:pPr>
                                    <w:pStyle w:val="65"/>
                                    <w:rPr>
                                      <w:b/>
                                      <w:sz w:val="20"/>
                                      <w:lang w:eastAsia="zh-CN"/>
                                    </w:rPr>
                                  </w:pPr>
                                </w:p>
                                <w:p>
                                  <w:pPr>
                                    <w:pStyle w:val="65"/>
                                    <w:rPr>
                                      <w:b/>
                                      <w:sz w:val="20"/>
                                      <w:lang w:eastAsia="zh-CN"/>
                                    </w:rPr>
                                  </w:pPr>
                                </w:p>
                                <w:p>
                                  <w:pPr>
                                    <w:pStyle w:val="65"/>
                                    <w:rPr>
                                      <w:b/>
                                      <w:sz w:val="20"/>
                                      <w:lang w:eastAsia="zh-CN"/>
                                    </w:rPr>
                                  </w:pPr>
                                </w:p>
                                <w:p>
                                  <w:pPr>
                                    <w:pStyle w:val="65"/>
                                    <w:rPr>
                                      <w:b/>
                                      <w:sz w:val="20"/>
                                      <w:lang w:eastAsia="zh-CN"/>
                                    </w:rPr>
                                  </w:pPr>
                                </w:p>
                                <w:p>
                                  <w:pPr>
                                    <w:pStyle w:val="65"/>
                                    <w:rPr>
                                      <w:b/>
                                      <w:sz w:val="20"/>
                                      <w:lang w:eastAsia="zh-CN"/>
                                    </w:rPr>
                                  </w:pPr>
                                </w:p>
                                <w:p>
                                  <w:pPr>
                                    <w:pStyle w:val="65"/>
                                    <w:rPr>
                                      <w:b/>
                                      <w:sz w:val="20"/>
                                      <w:lang w:eastAsia="zh-CN"/>
                                    </w:rPr>
                                  </w:pPr>
                                </w:p>
                                <w:p>
                                  <w:pPr>
                                    <w:pStyle w:val="65"/>
                                    <w:rPr>
                                      <w:b/>
                                      <w:sz w:val="20"/>
                                      <w:lang w:eastAsia="zh-CN"/>
                                    </w:rPr>
                                  </w:pPr>
                                </w:p>
                                <w:p>
                                  <w:pPr>
                                    <w:pStyle w:val="65"/>
                                    <w:rPr>
                                      <w:b/>
                                      <w:sz w:val="20"/>
                                      <w:lang w:eastAsia="zh-CN"/>
                                    </w:rPr>
                                  </w:pPr>
                                </w:p>
                                <w:p>
                                  <w:pPr>
                                    <w:pStyle w:val="65"/>
                                    <w:spacing w:before="7"/>
                                    <w:rPr>
                                      <w:b/>
                                      <w:lang w:eastAsia="zh-CN"/>
                                    </w:rPr>
                                  </w:pPr>
                                </w:p>
                                <w:p>
                                  <w:pPr>
                                    <w:pStyle w:val="65"/>
                                    <w:spacing w:line="357" w:lineRule="auto"/>
                                    <w:ind w:left="130" w:right="121"/>
                                    <w:jc w:val="center"/>
                                    <w:rPr>
                                      <w:sz w:val="21"/>
                                      <w:lang w:eastAsia="zh-CN"/>
                                    </w:rPr>
                                  </w:pPr>
                                  <w:r>
                                    <w:rPr>
                                      <w:sz w:val="21"/>
                                      <w:lang w:eastAsia="zh-CN"/>
                                    </w:rPr>
                                    <w:t>概念方案设计（工作量占比</w:t>
                                  </w:r>
                                  <w:r>
                                    <w:rPr>
                                      <w:rFonts w:hint="eastAsia" w:ascii="Times New Roman" w:hAnsi="Times New Roman"/>
                                      <w:sz w:val="21"/>
                                      <w:lang w:eastAsia="zh-CN"/>
                                    </w:rPr>
                                    <w:t>10</w:t>
                                  </w:r>
                                  <w:r>
                                    <w:rPr>
                                      <w:sz w:val="21"/>
                                      <w:lang w:eastAsia="zh-CN"/>
                                    </w:rPr>
                                    <w:t>%）</w:t>
                                  </w:r>
                                </w:p>
                              </w:tc>
                              <w:tc>
                                <w:tcPr>
                                  <w:tcW w:w="6662" w:type="dxa"/>
                                </w:tcPr>
                                <w:p>
                                  <w:pPr>
                                    <w:pStyle w:val="65"/>
                                    <w:spacing w:before="110" w:line="357" w:lineRule="auto"/>
                                    <w:ind w:left="106" w:right="245"/>
                                    <w:rPr>
                                      <w:sz w:val="21"/>
                                      <w:lang w:eastAsia="zh-CN"/>
                                    </w:rPr>
                                  </w:pPr>
                                  <w:r>
                                    <w:rPr>
                                      <w:w w:val="95"/>
                                      <w:sz w:val="21"/>
                                      <w:lang w:eastAsia="zh-CN"/>
                                    </w:rPr>
                                    <w:t xml:space="preserve">根据甲方要求进行概念方案设计，并制作概念方案文件，概念方案文  </w:t>
                                  </w:r>
                                  <w:r>
                                    <w:rPr>
                                      <w:sz w:val="21"/>
                                      <w:lang w:eastAsia="zh-CN"/>
                                    </w:rPr>
                                    <w:t>本包括：</w:t>
                                  </w:r>
                                </w:p>
                                <w:p>
                                  <w:pPr>
                                    <w:pStyle w:val="65"/>
                                    <w:numPr>
                                      <w:ilvl w:val="0"/>
                                      <w:numId w:val="5"/>
                                    </w:numPr>
                                    <w:tabs>
                                      <w:tab w:val="left" w:pos="526"/>
                                      <w:tab w:val="left" w:pos="527"/>
                                    </w:tabs>
                                    <w:spacing w:line="266" w:lineRule="exact"/>
                                    <w:ind w:hanging="421"/>
                                    <w:rPr>
                                      <w:sz w:val="21"/>
                                    </w:rPr>
                                  </w:pPr>
                                  <w:r>
                                    <w:rPr>
                                      <w:w w:val="95"/>
                                      <w:sz w:val="21"/>
                                    </w:rPr>
                                    <w:t>设计理念简述</w:t>
                                  </w:r>
                                </w:p>
                                <w:p>
                                  <w:pPr>
                                    <w:pStyle w:val="65"/>
                                    <w:numPr>
                                      <w:ilvl w:val="0"/>
                                      <w:numId w:val="5"/>
                                    </w:numPr>
                                    <w:tabs>
                                      <w:tab w:val="left" w:pos="526"/>
                                      <w:tab w:val="left" w:pos="527"/>
                                    </w:tabs>
                                    <w:spacing w:before="130"/>
                                    <w:ind w:hanging="421"/>
                                    <w:rPr>
                                      <w:sz w:val="21"/>
                                    </w:rPr>
                                  </w:pPr>
                                  <w:r>
                                    <w:rPr>
                                      <w:w w:val="95"/>
                                      <w:sz w:val="21"/>
                                    </w:rPr>
                                    <w:t>技术经济指标</w:t>
                                  </w:r>
                                </w:p>
                                <w:p>
                                  <w:pPr>
                                    <w:pStyle w:val="65"/>
                                    <w:numPr>
                                      <w:ilvl w:val="0"/>
                                      <w:numId w:val="5"/>
                                    </w:numPr>
                                    <w:tabs>
                                      <w:tab w:val="left" w:pos="526"/>
                                      <w:tab w:val="left" w:pos="527"/>
                                    </w:tabs>
                                    <w:spacing w:before="131"/>
                                    <w:ind w:hanging="421"/>
                                    <w:rPr>
                                      <w:sz w:val="21"/>
                                    </w:rPr>
                                  </w:pPr>
                                  <w:r>
                                    <w:rPr>
                                      <w:sz w:val="21"/>
                                    </w:rPr>
                                    <w:t>基地分析图</w:t>
                                  </w:r>
                                </w:p>
                                <w:p>
                                  <w:pPr>
                                    <w:pStyle w:val="65"/>
                                    <w:numPr>
                                      <w:ilvl w:val="0"/>
                                      <w:numId w:val="5"/>
                                    </w:numPr>
                                    <w:tabs>
                                      <w:tab w:val="left" w:pos="526"/>
                                      <w:tab w:val="left" w:pos="527"/>
                                    </w:tabs>
                                    <w:spacing w:before="128"/>
                                    <w:ind w:hanging="421"/>
                                    <w:rPr>
                                      <w:sz w:val="21"/>
                                      <w:lang w:eastAsia="zh-CN"/>
                                    </w:rPr>
                                  </w:pPr>
                                  <w:r>
                                    <w:rPr>
                                      <w:sz w:val="21"/>
                                      <w:lang w:eastAsia="zh-CN"/>
                                    </w:rPr>
                                    <w:t>概念方案深度的总平面图</w:t>
                                  </w:r>
                                </w:p>
                                <w:p>
                                  <w:pPr>
                                    <w:pStyle w:val="65"/>
                                    <w:numPr>
                                      <w:ilvl w:val="0"/>
                                      <w:numId w:val="5"/>
                                    </w:numPr>
                                    <w:tabs>
                                      <w:tab w:val="left" w:pos="526"/>
                                      <w:tab w:val="left" w:pos="527"/>
                                    </w:tabs>
                                    <w:spacing w:before="131"/>
                                    <w:ind w:hanging="421"/>
                                    <w:rPr>
                                      <w:sz w:val="21"/>
                                      <w:lang w:eastAsia="zh-CN"/>
                                    </w:rPr>
                                  </w:pPr>
                                  <w:r>
                                    <w:rPr>
                                      <w:sz w:val="21"/>
                                      <w:lang w:eastAsia="zh-CN"/>
                                    </w:rPr>
                                    <w:t>总平面分析图（功能、绿化、交通等）</w:t>
                                  </w:r>
                                </w:p>
                                <w:p>
                                  <w:pPr>
                                    <w:pStyle w:val="65"/>
                                    <w:numPr>
                                      <w:ilvl w:val="0"/>
                                      <w:numId w:val="5"/>
                                    </w:numPr>
                                    <w:tabs>
                                      <w:tab w:val="left" w:pos="526"/>
                                      <w:tab w:val="left" w:pos="527"/>
                                    </w:tabs>
                                    <w:spacing w:before="130"/>
                                    <w:ind w:hanging="421"/>
                                    <w:rPr>
                                      <w:sz w:val="21"/>
                                      <w:lang w:eastAsia="zh-CN"/>
                                    </w:rPr>
                                  </w:pPr>
                                  <w:r>
                                    <w:rPr>
                                      <w:sz w:val="21"/>
                                      <w:lang w:eastAsia="zh-CN"/>
                                    </w:rPr>
                                    <w:t>概念方案深度的剖面图，说明基地及建筑的竖向空间关系</w:t>
                                  </w:r>
                                </w:p>
                                <w:p>
                                  <w:pPr>
                                    <w:pStyle w:val="65"/>
                                    <w:numPr>
                                      <w:ilvl w:val="0"/>
                                      <w:numId w:val="5"/>
                                    </w:numPr>
                                    <w:tabs>
                                      <w:tab w:val="left" w:pos="526"/>
                                      <w:tab w:val="left" w:pos="527"/>
                                    </w:tabs>
                                    <w:spacing w:before="129"/>
                                    <w:ind w:hanging="421"/>
                                    <w:rPr>
                                      <w:sz w:val="21"/>
                                      <w:lang w:eastAsia="zh-CN"/>
                                    </w:rPr>
                                  </w:pPr>
                                  <w:r>
                                    <w:rPr>
                                      <w:sz w:val="21"/>
                                      <w:lang w:eastAsia="zh-CN"/>
                                    </w:rPr>
                                    <w:t>概念方案深度的地下室（车位数、面积基本准确）</w:t>
                                  </w:r>
                                </w:p>
                                <w:p>
                                  <w:pPr>
                                    <w:pStyle w:val="65"/>
                                    <w:numPr>
                                      <w:ilvl w:val="0"/>
                                      <w:numId w:val="5"/>
                                    </w:numPr>
                                    <w:tabs>
                                      <w:tab w:val="left" w:pos="526"/>
                                      <w:tab w:val="left" w:pos="527"/>
                                    </w:tabs>
                                    <w:spacing w:before="130"/>
                                    <w:ind w:hanging="421"/>
                                    <w:rPr>
                                      <w:sz w:val="21"/>
                                    </w:rPr>
                                  </w:pPr>
                                  <w:r>
                                    <w:rPr>
                                      <w:sz w:val="21"/>
                                    </w:rPr>
                                    <w:t>户型初稿方案</w:t>
                                  </w:r>
                                </w:p>
                                <w:p>
                                  <w:pPr>
                                    <w:pStyle w:val="65"/>
                                    <w:numPr>
                                      <w:ilvl w:val="0"/>
                                      <w:numId w:val="5"/>
                                    </w:numPr>
                                    <w:tabs>
                                      <w:tab w:val="left" w:pos="526"/>
                                      <w:tab w:val="left" w:pos="527"/>
                                    </w:tabs>
                                    <w:spacing w:before="131"/>
                                    <w:ind w:hanging="421"/>
                                    <w:rPr>
                                      <w:sz w:val="21"/>
                                      <w:lang w:eastAsia="zh-CN"/>
                                    </w:rPr>
                                  </w:pPr>
                                  <w:r>
                                    <w:rPr>
                                      <w:sz w:val="21"/>
                                      <w:lang w:eastAsia="zh-CN"/>
                                    </w:rPr>
                                    <w:t>生活馆平面方案概念初稿</w:t>
                                  </w:r>
                                </w:p>
                                <w:p>
                                  <w:pPr>
                                    <w:pStyle w:val="65"/>
                                    <w:numPr>
                                      <w:ilvl w:val="0"/>
                                      <w:numId w:val="5"/>
                                    </w:numPr>
                                    <w:tabs>
                                      <w:tab w:val="left" w:pos="526"/>
                                      <w:tab w:val="left" w:pos="527"/>
                                    </w:tabs>
                                    <w:spacing w:before="128"/>
                                    <w:ind w:hanging="421"/>
                                    <w:rPr>
                                      <w:sz w:val="21"/>
                                    </w:rPr>
                                  </w:pPr>
                                  <w:r>
                                    <w:rPr>
                                      <w:sz w:val="21"/>
                                    </w:rPr>
                                    <w:t>立面意向（</w:t>
                                  </w:r>
                                  <w:r>
                                    <w:rPr>
                                      <w:rFonts w:hint="eastAsia" w:ascii="Times New Roman" w:hAnsi="Times New Roman"/>
                                      <w:sz w:val="21"/>
                                      <w:lang w:eastAsia="zh-CN"/>
                                    </w:rPr>
                                    <w:t>2</w:t>
                                  </w:r>
                                  <w:r>
                                    <w:rPr>
                                      <w:spacing w:val="-15"/>
                                      <w:sz w:val="21"/>
                                    </w:rPr>
                                    <w:t xml:space="preserve"> 稿以上</w:t>
                                  </w:r>
                                  <w:r>
                                    <w:rPr>
                                      <w:sz w:val="21"/>
                                    </w:rPr>
                                    <w:t>）</w:t>
                                  </w:r>
                                </w:p>
                                <w:p>
                                  <w:pPr>
                                    <w:pStyle w:val="65"/>
                                    <w:numPr>
                                      <w:ilvl w:val="0"/>
                                      <w:numId w:val="5"/>
                                    </w:numPr>
                                    <w:tabs>
                                      <w:tab w:val="left" w:pos="526"/>
                                      <w:tab w:val="left" w:pos="527"/>
                                    </w:tabs>
                                    <w:spacing w:before="131"/>
                                    <w:ind w:hanging="421"/>
                                    <w:rPr>
                                      <w:sz w:val="21"/>
                                    </w:rPr>
                                  </w:pPr>
                                  <w:r>
                                    <w:rPr>
                                      <w:spacing w:val="-6"/>
                                      <w:sz w:val="21"/>
                                    </w:rPr>
                                    <w:t xml:space="preserve">表述建筑体量组合的 </w:t>
                                  </w:r>
                                  <w:r>
                                    <w:rPr>
                                      <w:rFonts w:hint="eastAsia" w:ascii="Times New Roman" w:hAnsi="Times New Roman"/>
                                      <w:sz w:val="21"/>
                                      <w:lang w:eastAsia="zh-CN"/>
                                    </w:rPr>
                                    <w:t>SketchUp</w:t>
                                  </w:r>
                                  <w:r>
                                    <w:rPr>
                                      <w:spacing w:val="-14"/>
                                      <w:sz w:val="21"/>
                                    </w:rPr>
                                    <w:t xml:space="preserve"> 透视图</w:t>
                                  </w:r>
                                </w:p>
                                <w:p>
                                  <w:pPr>
                                    <w:pStyle w:val="65"/>
                                    <w:numPr>
                                      <w:ilvl w:val="0"/>
                                      <w:numId w:val="5"/>
                                    </w:numPr>
                                    <w:tabs>
                                      <w:tab w:val="left" w:pos="526"/>
                                      <w:tab w:val="left" w:pos="527"/>
                                    </w:tabs>
                                    <w:spacing w:before="130"/>
                                    <w:ind w:hanging="421"/>
                                    <w:rPr>
                                      <w:sz w:val="21"/>
                                    </w:rPr>
                                  </w:pPr>
                                  <w:r>
                                    <w:rPr>
                                      <w:sz w:val="21"/>
                                    </w:rPr>
                                    <w:t>规划鸟瞰图等</w:t>
                                  </w:r>
                                </w:p>
                              </w:tc>
                              <w:tc>
                                <w:tcPr>
                                  <w:tcW w:w="862" w:type="dxa"/>
                                </w:tcPr>
                                <w:p>
                                  <w:pPr>
                                    <w:pStyle w:val="65"/>
                                    <w:rPr>
                                      <w:b/>
                                      <w:sz w:val="20"/>
                                    </w:rPr>
                                  </w:pPr>
                                </w:p>
                                <w:p>
                                  <w:pPr>
                                    <w:pStyle w:val="65"/>
                                    <w:rPr>
                                      <w:b/>
                                      <w:sz w:val="20"/>
                                    </w:rPr>
                                  </w:pPr>
                                </w:p>
                                <w:p>
                                  <w:pPr>
                                    <w:pStyle w:val="65"/>
                                    <w:rPr>
                                      <w:b/>
                                      <w:sz w:val="20"/>
                                    </w:rPr>
                                  </w:pPr>
                                </w:p>
                                <w:p>
                                  <w:pPr>
                                    <w:pStyle w:val="65"/>
                                    <w:rPr>
                                      <w:b/>
                                      <w:sz w:val="20"/>
                                    </w:rPr>
                                  </w:pPr>
                                </w:p>
                                <w:p>
                                  <w:pPr>
                                    <w:pStyle w:val="65"/>
                                    <w:rPr>
                                      <w:b/>
                                      <w:sz w:val="20"/>
                                    </w:rPr>
                                  </w:pPr>
                                </w:p>
                                <w:p>
                                  <w:pPr>
                                    <w:pStyle w:val="65"/>
                                    <w:rPr>
                                      <w:b/>
                                      <w:sz w:val="20"/>
                                    </w:rPr>
                                  </w:pPr>
                                </w:p>
                                <w:p>
                                  <w:pPr>
                                    <w:pStyle w:val="65"/>
                                    <w:rPr>
                                      <w:b/>
                                      <w:sz w:val="20"/>
                                    </w:rPr>
                                  </w:pPr>
                                </w:p>
                                <w:p>
                                  <w:pPr>
                                    <w:pStyle w:val="65"/>
                                    <w:rPr>
                                      <w:b/>
                                      <w:sz w:val="20"/>
                                    </w:rPr>
                                  </w:pPr>
                                </w:p>
                                <w:p>
                                  <w:pPr>
                                    <w:pStyle w:val="65"/>
                                    <w:rPr>
                                      <w:b/>
                                      <w:sz w:val="20"/>
                                    </w:rPr>
                                  </w:pPr>
                                </w:p>
                                <w:p>
                                  <w:pPr>
                                    <w:pStyle w:val="65"/>
                                    <w:rPr>
                                      <w:b/>
                                      <w:sz w:val="20"/>
                                    </w:rPr>
                                  </w:pPr>
                                </w:p>
                                <w:p>
                                  <w:pPr>
                                    <w:pStyle w:val="65"/>
                                    <w:spacing w:before="146"/>
                                    <w:ind w:left="9"/>
                                    <w:jc w:val="center"/>
                                    <w:rPr>
                                      <w:rFonts w:hint="eastAsia" w:eastAsia="宋体"/>
                                      <w:sz w:val="21"/>
                                      <w:lang w:eastAsia="zh-CN"/>
                                    </w:rPr>
                                  </w:pPr>
                                  <w:r>
                                    <w:rPr>
                                      <w:rFonts w:hint="eastAsia" w:ascii="Times New Roman" w:hAnsi="Times New Roman"/>
                                      <w:w w:val="99"/>
                                      <w:sz w:val="21"/>
                                      <w:lang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101" w:type="dxa"/>
                                  <w:vMerge w:val="continue"/>
                                  <w:tcBorders>
                                    <w:top w:val="nil"/>
                                  </w:tcBorders>
                                </w:tcPr>
                                <w:p>
                                  <w:pPr>
                                    <w:rPr>
                                      <w:sz w:val="2"/>
                                      <w:szCs w:val="2"/>
                                    </w:rPr>
                                  </w:pPr>
                                </w:p>
                              </w:tc>
                              <w:tc>
                                <w:tcPr>
                                  <w:tcW w:w="6662" w:type="dxa"/>
                                </w:tcPr>
                                <w:p>
                                  <w:pPr>
                                    <w:pStyle w:val="65"/>
                                    <w:spacing w:before="135"/>
                                    <w:ind w:left="106"/>
                                    <w:rPr>
                                      <w:sz w:val="21"/>
                                    </w:rPr>
                                  </w:pPr>
                                  <w:r>
                                    <w:rPr>
                                      <w:sz w:val="21"/>
                                    </w:rPr>
                                    <w:t>电子文档归档</w:t>
                                  </w:r>
                                </w:p>
                              </w:tc>
                              <w:tc>
                                <w:tcPr>
                                  <w:tcW w:w="862" w:type="dxa"/>
                                </w:tcPr>
                                <w:p>
                                  <w:pPr>
                                    <w:pStyle w:val="6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0" w:hRule="atLeast"/>
                              </w:trPr>
                              <w:tc>
                                <w:tcPr>
                                  <w:tcW w:w="1101" w:type="dxa"/>
                                  <w:vMerge w:val="restart"/>
                                </w:tcPr>
                                <w:p>
                                  <w:pPr>
                                    <w:pStyle w:val="65"/>
                                    <w:rPr>
                                      <w:b/>
                                      <w:sz w:val="20"/>
                                    </w:rPr>
                                  </w:pPr>
                                </w:p>
                                <w:p>
                                  <w:pPr>
                                    <w:pStyle w:val="65"/>
                                    <w:rPr>
                                      <w:b/>
                                      <w:sz w:val="20"/>
                                    </w:rPr>
                                  </w:pPr>
                                </w:p>
                                <w:p>
                                  <w:pPr>
                                    <w:pStyle w:val="65"/>
                                    <w:rPr>
                                      <w:b/>
                                      <w:sz w:val="20"/>
                                    </w:rPr>
                                  </w:pPr>
                                </w:p>
                                <w:p>
                                  <w:pPr>
                                    <w:pStyle w:val="65"/>
                                    <w:rPr>
                                      <w:b/>
                                      <w:sz w:val="20"/>
                                    </w:rPr>
                                  </w:pPr>
                                </w:p>
                                <w:p>
                                  <w:pPr>
                                    <w:pStyle w:val="65"/>
                                    <w:rPr>
                                      <w:b/>
                                      <w:sz w:val="20"/>
                                    </w:rPr>
                                  </w:pPr>
                                </w:p>
                                <w:p>
                                  <w:pPr>
                                    <w:pStyle w:val="65"/>
                                    <w:rPr>
                                      <w:b/>
                                      <w:sz w:val="20"/>
                                    </w:rPr>
                                  </w:pPr>
                                </w:p>
                                <w:p>
                                  <w:pPr>
                                    <w:pStyle w:val="65"/>
                                    <w:rPr>
                                      <w:b/>
                                      <w:sz w:val="20"/>
                                    </w:rPr>
                                  </w:pPr>
                                </w:p>
                                <w:p>
                                  <w:pPr>
                                    <w:pStyle w:val="65"/>
                                    <w:spacing w:before="154"/>
                                    <w:ind w:left="89" w:right="82"/>
                                    <w:jc w:val="center"/>
                                    <w:rPr>
                                      <w:sz w:val="21"/>
                                    </w:rPr>
                                  </w:pPr>
                                  <w:r>
                                    <w:rPr>
                                      <w:sz w:val="21"/>
                                    </w:rPr>
                                    <w:t>方案设计</w:t>
                                  </w:r>
                                </w:p>
                                <w:p>
                                  <w:pPr>
                                    <w:pStyle w:val="65"/>
                                    <w:spacing w:before="132" w:line="357" w:lineRule="auto"/>
                                    <w:ind w:left="130" w:right="121"/>
                                    <w:jc w:val="center"/>
                                    <w:rPr>
                                      <w:sz w:val="21"/>
                                    </w:rPr>
                                  </w:pPr>
                                  <w:r>
                                    <w:rPr>
                                      <w:sz w:val="21"/>
                                    </w:rPr>
                                    <w:t>（工作量占比</w:t>
                                  </w:r>
                                  <w:r>
                                    <w:rPr>
                                      <w:rFonts w:hint="eastAsia" w:ascii="Times New Roman" w:hAnsi="Times New Roman"/>
                                      <w:sz w:val="21"/>
                                      <w:lang w:eastAsia="zh-CN"/>
                                    </w:rPr>
                                    <w:t>20</w:t>
                                  </w:r>
                                  <w:r>
                                    <w:rPr>
                                      <w:sz w:val="21"/>
                                    </w:rPr>
                                    <w:t>%）</w:t>
                                  </w:r>
                                </w:p>
                              </w:tc>
                              <w:tc>
                                <w:tcPr>
                                  <w:tcW w:w="6662" w:type="dxa"/>
                                </w:tcPr>
                                <w:p>
                                  <w:pPr>
                                    <w:pStyle w:val="65"/>
                                    <w:spacing w:before="109"/>
                                    <w:ind w:left="106"/>
                                    <w:rPr>
                                      <w:sz w:val="21"/>
                                    </w:rPr>
                                  </w:pPr>
                                  <w:r>
                                    <w:rPr>
                                      <w:sz w:val="21"/>
                                    </w:rPr>
                                    <w:t>方案文本</w:t>
                                  </w:r>
                                </w:p>
                                <w:p>
                                  <w:pPr>
                                    <w:pStyle w:val="65"/>
                                    <w:numPr>
                                      <w:ilvl w:val="0"/>
                                      <w:numId w:val="6"/>
                                    </w:numPr>
                                    <w:tabs>
                                      <w:tab w:val="left" w:pos="526"/>
                                      <w:tab w:val="left" w:pos="527"/>
                                    </w:tabs>
                                    <w:spacing w:before="131"/>
                                    <w:ind w:hanging="421"/>
                                    <w:rPr>
                                      <w:sz w:val="21"/>
                                    </w:rPr>
                                  </w:pPr>
                                  <w:r>
                                    <w:rPr>
                                      <w:sz w:val="21"/>
                                    </w:rPr>
                                    <w:t>各专业方案设计说明</w:t>
                                  </w:r>
                                </w:p>
                                <w:p>
                                  <w:pPr>
                                    <w:pStyle w:val="65"/>
                                    <w:numPr>
                                      <w:ilvl w:val="0"/>
                                      <w:numId w:val="6"/>
                                    </w:numPr>
                                    <w:tabs>
                                      <w:tab w:val="left" w:pos="526"/>
                                      <w:tab w:val="left" w:pos="527"/>
                                    </w:tabs>
                                    <w:spacing w:before="131"/>
                                    <w:ind w:hanging="421"/>
                                    <w:rPr>
                                      <w:sz w:val="21"/>
                                    </w:rPr>
                                  </w:pPr>
                                  <w:r>
                                    <w:rPr>
                                      <w:sz w:val="21"/>
                                    </w:rPr>
                                    <w:t>技术经济指标</w:t>
                                  </w:r>
                                </w:p>
                                <w:p>
                                  <w:pPr>
                                    <w:pStyle w:val="65"/>
                                    <w:numPr>
                                      <w:ilvl w:val="0"/>
                                      <w:numId w:val="6"/>
                                    </w:numPr>
                                    <w:tabs>
                                      <w:tab w:val="left" w:pos="526"/>
                                      <w:tab w:val="left" w:pos="527"/>
                                    </w:tabs>
                                    <w:spacing w:before="128"/>
                                    <w:ind w:hanging="421"/>
                                    <w:rPr>
                                      <w:sz w:val="21"/>
                                    </w:rPr>
                                  </w:pPr>
                                  <w:r>
                                    <w:rPr>
                                      <w:sz w:val="21"/>
                                    </w:rPr>
                                    <w:t>总平面图</w:t>
                                  </w:r>
                                </w:p>
                                <w:p>
                                  <w:pPr>
                                    <w:pStyle w:val="65"/>
                                    <w:numPr>
                                      <w:ilvl w:val="0"/>
                                      <w:numId w:val="6"/>
                                    </w:numPr>
                                    <w:tabs>
                                      <w:tab w:val="left" w:pos="526"/>
                                      <w:tab w:val="left" w:pos="527"/>
                                    </w:tabs>
                                    <w:spacing w:before="130"/>
                                    <w:ind w:hanging="421"/>
                                    <w:rPr>
                                      <w:sz w:val="21"/>
                                    </w:rPr>
                                  </w:pPr>
                                  <w:r>
                                    <w:rPr>
                                      <w:sz w:val="21"/>
                                    </w:rPr>
                                    <w:t>地下室</w:t>
                                  </w:r>
                                </w:p>
                                <w:p>
                                  <w:pPr>
                                    <w:pStyle w:val="65"/>
                                    <w:numPr>
                                      <w:ilvl w:val="0"/>
                                      <w:numId w:val="6"/>
                                    </w:numPr>
                                    <w:tabs>
                                      <w:tab w:val="left" w:pos="526"/>
                                      <w:tab w:val="left" w:pos="527"/>
                                    </w:tabs>
                                    <w:spacing w:before="131"/>
                                    <w:ind w:hanging="421"/>
                                    <w:rPr>
                                      <w:sz w:val="21"/>
                                    </w:rPr>
                                  </w:pPr>
                                  <w:r>
                                    <w:rPr>
                                      <w:w w:val="95"/>
                                      <w:sz w:val="21"/>
                                    </w:rPr>
                                    <w:t>总平面分析彩图</w:t>
                                  </w:r>
                                </w:p>
                                <w:p>
                                  <w:pPr>
                                    <w:pStyle w:val="65"/>
                                    <w:numPr>
                                      <w:ilvl w:val="0"/>
                                      <w:numId w:val="6"/>
                                    </w:numPr>
                                    <w:tabs>
                                      <w:tab w:val="left" w:pos="526"/>
                                      <w:tab w:val="left" w:pos="527"/>
                                    </w:tabs>
                                    <w:spacing w:before="128"/>
                                    <w:ind w:hanging="421"/>
                                    <w:rPr>
                                      <w:sz w:val="21"/>
                                    </w:rPr>
                                  </w:pPr>
                                  <w:r>
                                    <w:rPr>
                                      <w:w w:val="95"/>
                                      <w:sz w:val="21"/>
                                    </w:rPr>
                                    <w:t>典型透视效果图</w:t>
                                  </w:r>
                                </w:p>
                                <w:p>
                                  <w:pPr>
                                    <w:pStyle w:val="65"/>
                                    <w:numPr>
                                      <w:ilvl w:val="0"/>
                                      <w:numId w:val="6"/>
                                    </w:numPr>
                                    <w:tabs>
                                      <w:tab w:val="left" w:pos="526"/>
                                      <w:tab w:val="left" w:pos="527"/>
                                    </w:tabs>
                                    <w:spacing w:before="131"/>
                                    <w:ind w:hanging="421"/>
                                    <w:rPr>
                                      <w:sz w:val="21"/>
                                    </w:rPr>
                                  </w:pPr>
                                  <w:r>
                                    <w:rPr>
                                      <w:sz w:val="21"/>
                                    </w:rPr>
                                    <w:t>鸟瞰图</w:t>
                                  </w:r>
                                </w:p>
                                <w:p>
                                  <w:pPr>
                                    <w:pStyle w:val="65"/>
                                    <w:numPr>
                                      <w:ilvl w:val="0"/>
                                      <w:numId w:val="6"/>
                                    </w:numPr>
                                    <w:tabs>
                                      <w:tab w:val="left" w:pos="526"/>
                                      <w:tab w:val="left" w:pos="527"/>
                                    </w:tabs>
                                    <w:spacing w:before="130"/>
                                    <w:ind w:hanging="421"/>
                                    <w:rPr>
                                      <w:sz w:val="21"/>
                                    </w:rPr>
                                  </w:pPr>
                                  <w:r>
                                    <w:rPr>
                                      <w:sz w:val="21"/>
                                    </w:rPr>
                                    <w:t>单体主要平面图</w:t>
                                  </w:r>
                                </w:p>
                                <w:p>
                                  <w:pPr>
                                    <w:pStyle w:val="65"/>
                                    <w:numPr>
                                      <w:ilvl w:val="0"/>
                                      <w:numId w:val="6"/>
                                    </w:numPr>
                                    <w:tabs>
                                      <w:tab w:val="left" w:pos="526"/>
                                      <w:tab w:val="left" w:pos="527"/>
                                    </w:tabs>
                                    <w:spacing w:before="129"/>
                                    <w:ind w:hanging="421"/>
                                    <w:rPr>
                                      <w:sz w:val="21"/>
                                    </w:rPr>
                                  </w:pPr>
                                  <w:r>
                                    <w:rPr>
                                      <w:sz w:val="21"/>
                                    </w:rPr>
                                    <w:t>单体剖面图</w:t>
                                  </w:r>
                                </w:p>
                                <w:p>
                                  <w:pPr>
                                    <w:pStyle w:val="65"/>
                                    <w:numPr>
                                      <w:ilvl w:val="0"/>
                                      <w:numId w:val="6"/>
                                    </w:numPr>
                                    <w:tabs>
                                      <w:tab w:val="left" w:pos="526"/>
                                      <w:tab w:val="left" w:pos="527"/>
                                    </w:tabs>
                                    <w:spacing w:before="130"/>
                                    <w:ind w:hanging="421"/>
                                    <w:rPr>
                                      <w:sz w:val="21"/>
                                    </w:rPr>
                                  </w:pPr>
                                  <w:r>
                                    <w:rPr>
                                      <w:sz w:val="21"/>
                                    </w:rPr>
                                    <w:t>单体主要立面图</w:t>
                                  </w:r>
                                </w:p>
                                <w:p>
                                  <w:pPr>
                                    <w:pStyle w:val="65"/>
                                    <w:numPr>
                                      <w:ilvl w:val="0"/>
                                      <w:numId w:val="6"/>
                                    </w:numPr>
                                    <w:tabs>
                                      <w:tab w:val="left" w:pos="526"/>
                                      <w:tab w:val="left" w:pos="527"/>
                                    </w:tabs>
                                    <w:spacing w:before="131" w:line="270" w:lineRule="exact"/>
                                    <w:ind w:hanging="421"/>
                                    <w:rPr>
                                      <w:sz w:val="21"/>
                                    </w:rPr>
                                  </w:pPr>
                                  <w:r>
                                    <w:rPr>
                                      <w:sz w:val="21"/>
                                    </w:rPr>
                                    <w:t>其他所需要的图纸</w:t>
                                  </w:r>
                                </w:p>
                              </w:tc>
                              <w:tc>
                                <w:tcPr>
                                  <w:tcW w:w="862" w:type="dxa"/>
                                </w:tcPr>
                                <w:p>
                                  <w:pPr>
                                    <w:pStyle w:val="65"/>
                                    <w:rPr>
                                      <w:b/>
                                      <w:sz w:val="20"/>
                                    </w:rPr>
                                  </w:pPr>
                                </w:p>
                                <w:p>
                                  <w:pPr>
                                    <w:pStyle w:val="65"/>
                                    <w:rPr>
                                      <w:b/>
                                      <w:sz w:val="20"/>
                                    </w:rPr>
                                  </w:pPr>
                                </w:p>
                                <w:p>
                                  <w:pPr>
                                    <w:pStyle w:val="65"/>
                                    <w:rPr>
                                      <w:b/>
                                      <w:sz w:val="20"/>
                                    </w:rPr>
                                  </w:pPr>
                                </w:p>
                                <w:p>
                                  <w:pPr>
                                    <w:pStyle w:val="65"/>
                                    <w:rPr>
                                      <w:b/>
                                      <w:sz w:val="20"/>
                                    </w:rPr>
                                  </w:pPr>
                                </w:p>
                                <w:p>
                                  <w:pPr>
                                    <w:pStyle w:val="65"/>
                                    <w:rPr>
                                      <w:b/>
                                      <w:sz w:val="20"/>
                                    </w:rPr>
                                  </w:pPr>
                                </w:p>
                                <w:p>
                                  <w:pPr>
                                    <w:pStyle w:val="65"/>
                                    <w:rPr>
                                      <w:b/>
                                      <w:sz w:val="20"/>
                                    </w:rPr>
                                  </w:pPr>
                                </w:p>
                                <w:p>
                                  <w:pPr>
                                    <w:pStyle w:val="65"/>
                                    <w:rPr>
                                      <w:b/>
                                      <w:sz w:val="20"/>
                                    </w:rPr>
                                  </w:pPr>
                                </w:p>
                                <w:p>
                                  <w:pPr>
                                    <w:pStyle w:val="65"/>
                                    <w:rPr>
                                      <w:b/>
                                      <w:sz w:val="20"/>
                                    </w:rPr>
                                  </w:pPr>
                                </w:p>
                                <w:p>
                                  <w:pPr>
                                    <w:pStyle w:val="65"/>
                                    <w:spacing w:before="4"/>
                                    <w:rPr>
                                      <w:b/>
                                      <w:sz w:val="20"/>
                                    </w:rPr>
                                  </w:pPr>
                                </w:p>
                                <w:p>
                                  <w:pPr>
                                    <w:pStyle w:val="65"/>
                                    <w:ind w:left="9"/>
                                    <w:jc w:val="center"/>
                                    <w:rPr>
                                      <w:rFonts w:hint="eastAsia" w:eastAsia="宋体"/>
                                      <w:sz w:val="21"/>
                                      <w:lang w:eastAsia="zh-CN"/>
                                    </w:rPr>
                                  </w:pPr>
                                  <w:r>
                                    <w:rPr>
                                      <w:rFonts w:hint="eastAsia" w:ascii="Times New Roman" w:hAnsi="Times New Roman"/>
                                      <w:w w:val="99"/>
                                      <w:sz w:val="21"/>
                                      <w:lang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101" w:type="dxa"/>
                                  <w:vMerge w:val="continue"/>
                                  <w:tcBorders>
                                    <w:top w:val="nil"/>
                                  </w:tcBorders>
                                </w:tcPr>
                                <w:p>
                                  <w:pPr>
                                    <w:rPr>
                                      <w:sz w:val="2"/>
                                      <w:szCs w:val="2"/>
                                    </w:rPr>
                                  </w:pPr>
                                </w:p>
                              </w:tc>
                              <w:tc>
                                <w:tcPr>
                                  <w:tcW w:w="6662" w:type="dxa"/>
                                </w:tcPr>
                                <w:p>
                                  <w:pPr>
                                    <w:pStyle w:val="65"/>
                                    <w:spacing w:before="145"/>
                                    <w:ind w:left="106"/>
                                    <w:rPr>
                                      <w:sz w:val="21"/>
                                      <w:lang w:eastAsia="zh-CN"/>
                                    </w:rPr>
                                  </w:pPr>
                                  <w:r>
                                    <w:rPr>
                                      <w:sz w:val="21"/>
                                      <w:lang w:eastAsia="zh-CN"/>
                                    </w:rPr>
                                    <w:t>电子文档归档（平面图需设置单独的面积框线图层）</w:t>
                                  </w:r>
                                </w:p>
                              </w:tc>
                              <w:tc>
                                <w:tcPr>
                                  <w:tcW w:w="862" w:type="dxa"/>
                                </w:tcPr>
                                <w:p>
                                  <w:pPr>
                                    <w:pStyle w:val="65"/>
                                    <w:rPr>
                                      <w:rFonts w:ascii="Times New Roman"/>
                                      <w:sz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7" w:hRule="atLeast"/>
                              </w:trPr>
                              <w:tc>
                                <w:tcPr>
                                  <w:tcW w:w="1101" w:type="dxa"/>
                                </w:tcPr>
                                <w:p>
                                  <w:pPr>
                                    <w:pStyle w:val="65"/>
                                    <w:spacing w:before="110"/>
                                    <w:ind w:left="130"/>
                                    <w:rPr>
                                      <w:sz w:val="21"/>
                                      <w:lang w:eastAsia="zh-CN"/>
                                    </w:rPr>
                                  </w:pPr>
                                  <w:r>
                                    <w:rPr>
                                      <w:sz w:val="21"/>
                                      <w:lang w:eastAsia="zh-CN"/>
                                    </w:rPr>
                                    <w:t>初步设计</w:t>
                                  </w:r>
                                </w:p>
                                <w:p>
                                  <w:pPr>
                                    <w:pStyle w:val="65"/>
                                    <w:spacing w:before="1" w:line="400" w:lineRule="atLeast"/>
                                    <w:ind w:left="338" w:right="121" w:hanging="209"/>
                                    <w:rPr>
                                      <w:sz w:val="21"/>
                                      <w:lang w:eastAsia="zh-CN"/>
                                    </w:rPr>
                                  </w:pPr>
                                  <w:r>
                                    <w:rPr>
                                      <w:sz w:val="21"/>
                                      <w:lang w:eastAsia="zh-CN"/>
                                    </w:rPr>
                                    <w:t>（工作量占比</w:t>
                                  </w:r>
                                </w:p>
                              </w:tc>
                              <w:tc>
                                <w:tcPr>
                                  <w:tcW w:w="6662" w:type="dxa"/>
                                </w:tcPr>
                                <w:p>
                                  <w:pPr>
                                    <w:pStyle w:val="65"/>
                                    <w:spacing w:before="110"/>
                                    <w:ind w:left="106"/>
                                    <w:rPr>
                                      <w:sz w:val="21"/>
                                    </w:rPr>
                                  </w:pPr>
                                  <w:r>
                                    <w:rPr>
                                      <w:sz w:val="21"/>
                                    </w:rPr>
                                    <w:t>初步设计文本</w:t>
                                  </w:r>
                                </w:p>
                                <w:p>
                                  <w:pPr>
                                    <w:pStyle w:val="65"/>
                                    <w:numPr>
                                      <w:ilvl w:val="0"/>
                                      <w:numId w:val="7"/>
                                    </w:numPr>
                                    <w:tabs>
                                      <w:tab w:val="left" w:pos="526"/>
                                      <w:tab w:val="left" w:pos="527"/>
                                    </w:tabs>
                                    <w:spacing w:before="131"/>
                                    <w:ind w:hanging="421"/>
                                    <w:rPr>
                                      <w:sz w:val="21"/>
                                    </w:rPr>
                                  </w:pPr>
                                  <w:r>
                                    <w:rPr>
                                      <w:sz w:val="21"/>
                                    </w:rPr>
                                    <w:t>各专业初步设计说明</w:t>
                                  </w:r>
                                </w:p>
                                <w:p>
                                  <w:pPr>
                                    <w:pStyle w:val="65"/>
                                    <w:numPr>
                                      <w:ilvl w:val="0"/>
                                      <w:numId w:val="7"/>
                                    </w:numPr>
                                    <w:tabs>
                                      <w:tab w:val="left" w:pos="526"/>
                                      <w:tab w:val="left" w:pos="527"/>
                                    </w:tabs>
                                    <w:spacing w:before="128" w:line="270" w:lineRule="exact"/>
                                    <w:ind w:hanging="421"/>
                                    <w:rPr>
                                      <w:sz w:val="21"/>
                                    </w:rPr>
                                  </w:pPr>
                                  <w:r>
                                    <w:rPr>
                                      <w:sz w:val="21"/>
                                    </w:rPr>
                                    <w:t>技术经济指标</w:t>
                                  </w:r>
                                </w:p>
                              </w:tc>
                              <w:tc>
                                <w:tcPr>
                                  <w:tcW w:w="862" w:type="dxa"/>
                                </w:tcPr>
                                <w:p>
                                  <w:pPr>
                                    <w:pStyle w:val="65"/>
                                    <w:rPr>
                                      <w:b/>
                                      <w:sz w:val="20"/>
                                    </w:rPr>
                                  </w:pPr>
                                </w:p>
                                <w:p>
                                  <w:pPr>
                                    <w:pStyle w:val="65"/>
                                    <w:spacing w:before="11"/>
                                    <w:rPr>
                                      <w:b/>
                                      <w:sz w:val="19"/>
                                    </w:rPr>
                                  </w:pPr>
                                </w:p>
                                <w:p>
                                  <w:pPr>
                                    <w:pStyle w:val="65"/>
                                    <w:ind w:left="9"/>
                                    <w:jc w:val="center"/>
                                    <w:rPr>
                                      <w:rFonts w:hint="eastAsia" w:eastAsia="宋体"/>
                                      <w:sz w:val="21"/>
                                      <w:lang w:eastAsia="zh-CN"/>
                                    </w:rPr>
                                  </w:pPr>
                                  <w:r>
                                    <w:rPr>
                                      <w:rFonts w:hint="eastAsia" w:ascii="Times New Roman" w:hAnsi="Times New Roman"/>
                                      <w:w w:val="99"/>
                                      <w:sz w:val="21"/>
                                      <w:lang w:eastAsia="zh-CN"/>
                                    </w:rPr>
                                    <w:t>6</w:t>
                                  </w:r>
                                </w:p>
                              </w:tc>
                            </w:tr>
                          </w:tbl>
                          <w:p>
                            <w:pPr>
                              <w:pStyle w:val="17"/>
                              <w:ind w:left="0"/>
                            </w:pPr>
                          </w:p>
                        </w:txbxContent>
                      </wps:txbx>
                      <wps:bodyPr lIns="0" tIns="0" rIns="0" bIns="0" upright="1"/>
                    </wps:wsp>
                  </a:graphicData>
                </a:graphic>
              </wp:anchor>
            </w:drawing>
          </mc:Choice>
          <mc:Fallback>
            <w:pict>
              <v:shape id="_x0000_s1026" o:spid="_x0000_s1026" o:spt="202" type="#_x0000_t202" style="position:absolute;left:0pt;margin-left:80.35pt;margin-top:115pt;height:653.05pt;width:432pt;mso-position-horizontal-relative:page;mso-position-vertical-relative:page;z-index:251663360;mso-width-relative:page;mso-height-relative:page;" filled="f" stroked="f" coordsize="21600,21600" o:gfxdata="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I9vNr2gAAAA0BAAAPAAAAAAAAAAEAIAAAACIAAABkcnMvZG93bnJldi54bWxQ&#10;SwECFAAUAAAACACHTuJACFEJ7bwBAABzAwAADgAAAAAAAAABACAAAAApAQAAZHJzL2Uyb0RvYy54&#10;bWxQSwUGAAAAAAYABgBZAQAAVwUAAAAA&#10;">
                <v:fill on="f" focussize="0,0"/>
                <v:stroke on="f"/>
                <v:imagedata o:title=""/>
                <o:lock v:ext="edit" aspectratio="f"/>
                <v:textbox inset="0mm,0mm,0mm,0mm">
                  <w:txbxContent>
                    <w:tbl>
                      <w:tblPr>
                        <w:tblStyle w:val="104"/>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1"/>
                        <w:gridCol w:w="6662"/>
                        <w:gridCol w:w="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101" w:type="dxa"/>
                          </w:tcPr>
                          <w:p>
                            <w:pPr>
                              <w:pStyle w:val="65"/>
                              <w:spacing w:before="147"/>
                              <w:ind w:left="338"/>
                              <w:rPr>
                                <w:b/>
                                <w:sz w:val="21"/>
                              </w:rPr>
                            </w:pPr>
                            <w:r>
                              <w:rPr>
                                <w:b/>
                                <w:sz w:val="21"/>
                              </w:rPr>
                              <w:t>阶段</w:t>
                            </w:r>
                          </w:p>
                        </w:tc>
                        <w:tc>
                          <w:tcPr>
                            <w:tcW w:w="6662" w:type="dxa"/>
                          </w:tcPr>
                          <w:p>
                            <w:pPr>
                              <w:pStyle w:val="65"/>
                              <w:spacing w:before="147"/>
                              <w:ind w:left="2572" w:right="2564"/>
                              <w:jc w:val="center"/>
                              <w:rPr>
                                <w:b/>
                                <w:sz w:val="21"/>
                              </w:rPr>
                            </w:pPr>
                            <w:r>
                              <w:rPr>
                                <w:b/>
                                <w:sz w:val="21"/>
                              </w:rPr>
                              <w:t>设计内容及范围</w:t>
                            </w:r>
                          </w:p>
                        </w:tc>
                        <w:tc>
                          <w:tcPr>
                            <w:tcW w:w="862" w:type="dxa"/>
                          </w:tcPr>
                          <w:p>
                            <w:pPr>
                              <w:pStyle w:val="65"/>
                              <w:spacing w:before="147"/>
                              <w:ind w:left="199" w:right="191"/>
                              <w:jc w:val="center"/>
                              <w:rPr>
                                <w:b/>
                                <w:sz w:val="21"/>
                              </w:rPr>
                            </w:pPr>
                            <w:r>
                              <w:rPr>
                                <w:b/>
                                <w:sz w:val="21"/>
                              </w:rPr>
                              <w:t>份数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0" w:hRule="atLeast"/>
                        </w:trPr>
                        <w:tc>
                          <w:tcPr>
                            <w:tcW w:w="1101" w:type="dxa"/>
                            <w:vMerge w:val="restart"/>
                          </w:tcPr>
                          <w:p>
                            <w:pPr>
                              <w:pStyle w:val="65"/>
                              <w:rPr>
                                <w:b/>
                                <w:sz w:val="20"/>
                                <w:lang w:eastAsia="zh-CN"/>
                              </w:rPr>
                            </w:pPr>
                          </w:p>
                          <w:p>
                            <w:pPr>
                              <w:pStyle w:val="65"/>
                              <w:rPr>
                                <w:b/>
                                <w:sz w:val="20"/>
                                <w:lang w:eastAsia="zh-CN"/>
                              </w:rPr>
                            </w:pPr>
                          </w:p>
                          <w:p>
                            <w:pPr>
                              <w:pStyle w:val="65"/>
                              <w:rPr>
                                <w:b/>
                                <w:sz w:val="20"/>
                                <w:lang w:eastAsia="zh-CN"/>
                              </w:rPr>
                            </w:pPr>
                          </w:p>
                          <w:p>
                            <w:pPr>
                              <w:pStyle w:val="65"/>
                              <w:rPr>
                                <w:b/>
                                <w:sz w:val="20"/>
                                <w:lang w:eastAsia="zh-CN"/>
                              </w:rPr>
                            </w:pPr>
                          </w:p>
                          <w:p>
                            <w:pPr>
                              <w:pStyle w:val="65"/>
                              <w:rPr>
                                <w:b/>
                                <w:sz w:val="20"/>
                                <w:lang w:eastAsia="zh-CN"/>
                              </w:rPr>
                            </w:pPr>
                          </w:p>
                          <w:p>
                            <w:pPr>
                              <w:pStyle w:val="65"/>
                              <w:rPr>
                                <w:b/>
                                <w:sz w:val="20"/>
                                <w:lang w:eastAsia="zh-CN"/>
                              </w:rPr>
                            </w:pPr>
                          </w:p>
                          <w:p>
                            <w:pPr>
                              <w:pStyle w:val="65"/>
                              <w:rPr>
                                <w:b/>
                                <w:sz w:val="20"/>
                                <w:lang w:eastAsia="zh-CN"/>
                              </w:rPr>
                            </w:pPr>
                          </w:p>
                          <w:p>
                            <w:pPr>
                              <w:pStyle w:val="65"/>
                              <w:rPr>
                                <w:b/>
                                <w:sz w:val="20"/>
                                <w:lang w:eastAsia="zh-CN"/>
                              </w:rPr>
                            </w:pPr>
                          </w:p>
                          <w:p>
                            <w:pPr>
                              <w:pStyle w:val="65"/>
                              <w:spacing w:before="7"/>
                              <w:rPr>
                                <w:b/>
                                <w:lang w:eastAsia="zh-CN"/>
                              </w:rPr>
                            </w:pPr>
                          </w:p>
                          <w:p>
                            <w:pPr>
                              <w:pStyle w:val="65"/>
                              <w:spacing w:line="357" w:lineRule="auto"/>
                              <w:ind w:left="130" w:right="121"/>
                              <w:jc w:val="center"/>
                              <w:rPr>
                                <w:sz w:val="21"/>
                                <w:lang w:eastAsia="zh-CN"/>
                              </w:rPr>
                            </w:pPr>
                            <w:r>
                              <w:rPr>
                                <w:sz w:val="21"/>
                                <w:lang w:eastAsia="zh-CN"/>
                              </w:rPr>
                              <w:t>概念方案设计（工作量占比</w:t>
                            </w:r>
                            <w:r>
                              <w:rPr>
                                <w:rFonts w:hint="eastAsia" w:ascii="Times New Roman" w:hAnsi="Times New Roman"/>
                                <w:sz w:val="21"/>
                                <w:lang w:eastAsia="zh-CN"/>
                              </w:rPr>
                              <w:t>10</w:t>
                            </w:r>
                            <w:r>
                              <w:rPr>
                                <w:sz w:val="21"/>
                                <w:lang w:eastAsia="zh-CN"/>
                              </w:rPr>
                              <w:t>%）</w:t>
                            </w:r>
                          </w:p>
                        </w:tc>
                        <w:tc>
                          <w:tcPr>
                            <w:tcW w:w="6662" w:type="dxa"/>
                          </w:tcPr>
                          <w:p>
                            <w:pPr>
                              <w:pStyle w:val="65"/>
                              <w:spacing w:before="110" w:line="357" w:lineRule="auto"/>
                              <w:ind w:left="106" w:right="245"/>
                              <w:rPr>
                                <w:sz w:val="21"/>
                                <w:lang w:eastAsia="zh-CN"/>
                              </w:rPr>
                            </w:pPr>
                            <w:r>
                              <w:rPr>
                                <w:w w:val="95"/>
                                <w:sz w:val="21"/>
                                <w:lang w:eastAsia="zh-CN"/>
                              </w:rPr>
                              <w:t xml:space="preserve">根据甲方要求进行概念方案设计，并制作概念方案文件，概念方案文  </w:t>
                            </w:r>
                            <w:r>
                              <w:rPr>
                                <w:sz w:val="21"/>
                                <w:lang w:eastAsia="zh-CN"/>
                              </w:rPr>
                              <w:t>本包括：</w:t>
                            </w:r>
                          </w:p>
                          <w:p>
                            <w:pPr>
                              <w:pStyle w:val="65"/>
                              <w:numPr>
                                <w:ilvl w:val="0"/>
                                <w:numId w:val="5"/>
                              </w:numPr>
                              <w:tabs>
                                <w:tab w:val="left" w:pos="526"/>
                                <w:tab w:val="left" w:pos="527"/>
                              </w:tabs>
                              <w:spacing w:line="266" w:lineRule="exact"/>
                              <w:ind w:hanging="421"/>
                              <w:rPr>
                                <w:sz w:val="21"/>
                              </w:rPr>
                            </w:pPr>
                            <w:r>
                              <w:rPr>
                                <w:w w:val="95"/>
                                <w:sz w:val="21"/>
                              </w:rPr>
                              <w:t>设计理念简述</w:t>
                            </w:r>
                          </w:p>
                          <w:p>
                            <w:pPr>
                              <w:pStyle w:val="65"/>
                              <w:numPr>
                                <w:ilvl w:val="0"/>
                                <w:numId w:val="5"/>
                              </w:numPr>
                              <w:tabs>
                                <w:tab w:val="left" w:pos="526"/>
                                <w:tab w:val="left" w:pos="527"/>
                              </w:tabs>
                              <w:spacing w:before="130"/>
                              <w:ind w:hanging="421"/>
                              <w:rPr>
                                <w:sz w:val="21"/>
                              </w:rPr>
                            </w:pPr>
                            <w:r>
                              <w:rPr>
                                <w:w w:val="95"/>
                                <w:sz w:val="21"/>
                              </w:rPr>
                              <w:t>技术经济指标</w:t>
                            </w:r>
                          </w:p>
                          <w:p>
                            <w:pPr>
                              <w:pStyle w:val="65"/>
                              <w:numPr>
                                <w:ilvl w:val="0"/>
                                <w:numId w:val="5"/>
                              </w:numPr>
                              <w:tabs>
                                <w:tab w:val="left" w:pos="526"/>
                                <w:tab w:val="left" w:pos="527"/>
                              </w:tabs>
                              <w:spacing w:before="131"/>
                              <w:ind w:hanging="421"/>
                              <w:rPr>
                                <w:sz w:val="21"/>
                              </w:rPr>
                            </w:pPr>
                            <w:r>
                              <w:rPr>
                                <w:sz w:val="21"/>
                              </w:rPr>
                              <w:t>基地分析图</w:t>
                            </w:r>
                          </w:p>
                          <w:p>
                            <w:pPr>
                              <w:pStyle w:val="65"/>
                              <w:numPr>
                                <w:ilvl w:val="0"/>
                                <w:numId w:val="5"/>
                              </w:numPr>
                              <w:tabs>
                                <w:tab w:val="left" w:pos="526"/>
                                <w:tab w:val="left" w:pos="527"/>
                              </w:tabs>
                              <w:spacing w:before="128"/>
                              <w:ind w:hanging="421"/>
                              <w:rPr>
                                <w:sz w:val="21"/>
                                <w:lang w:eastAsia="zh-CN"/>
                              </w:rPr>
                            </w:pPr>
                            <w:r>
                              <w:rPr>
                                <w:sz w:val="21"/>
                                <w:lang w:eastAsia="zh-CN"/>
                              </w:rPr>
                              <w:t>概念方案深度的总平面图</w:t>
                            </w:r>
                          </w:p>
                          <w:p>
                            <w:pPr>
                              <w:pStyle w:val="65"/>
                              <w:numPr>
                                <w:ilvl w:val="0"/>
                                <w:numId w:val="5"/>
                              </w:numPr>
                              <w:tabs>
                                <w:tab w:val="left" w:pos="526"/>
                                <w:tab w:val="left" w:pos="527"/>
                              </w:tabs>
                              <w:spacing w:before="131"/>
                              <w:ind w:hanging="421"/>
                              <w:rPr>
                                <w:sz w:val="21"/>
                                <w:lang w:eastAsia="zh-CN"/>
                              </w:rPr>
                            </w:pPr>
                            <w:r>
                              <w:rPr>
                                <w:sz w:val="21"/>
                                <w:lang w:eastAsia="zh-CN"/>
                              </w:rPr>
                              <w:t>总平面分析图（功能、绿化、交通等）</w:t>
                            </w:r>
                          </w:p>
                          <w:p>
                            <w:pPr>
                              <w:pStyle w:val="65"/>
                              <w:numPr>
                                <w:ilvl w:val="0"/>
                                <w:numId w:val="5"/>
                              </w:numPr>
                              <w:tabs>
                                <w:tab w:val="left" w:pos="526"/>
                                <w:tab w:val="left" w:pos="527"/>
                              </w:tabs>
                              <w:spacing w:before="130"/>
                              <w:ind w:hanging="421"/>
                              <w:rPr>
                                <w:sz w:val="21"/>
                                <w:lang w:eastAsia="zh-CN"/>
                              </w:rPr>
                            </w:pPr>
                            <w:r>
                              <w:rPr>
                                <w:sz w:val="21"/>
                                <w:lang w:eastAsia="zh-CN"/>
                              </w:rPr>
                              <w:t>概念方案深度的剖面图，说明基地及建筑的竖向空间关系</w:t>
                            </w:r>
                          </w:p>
                          <w:p>
                            <w:pPr>
                              <w:pStyle w:val="65"/>
                              <w:numPr>
                                <w:ilvl w:val="0"/>
                                <w:numId w:val="5"/>
                              </w:numPr>
                              <w:tabs>
                                <w:tab w:val="left" w:pos="526"/>
                                <w:tab w:val="left" w:pos="527"/>
                              </w:tabs>
                              <w:spacing w:before="129"/>
                              <w:ind w:hanging="421"/>
                              <w:rPr>
                                <w:sz w:val="21"/>
                                <w:lang w:eastAsia="zh-CN"/>
                              </w:rPr>
                            </w:pPr>
                            <w:r>
                              <w:rPr>
                                <w:sz w:val="21"/>
                                <w:lang w:eastAsia="zh-CN"/>
                              </w:rPr>
                              <w:t>概念方案深度的地下室（车位数、面积基本准确）</w:t>
                            </w:r>
                          </w:p>
                          <w:p>
                            <w:pPr>
                              <w:pStyle w:val="65"/>
                              <w:numPr>
                                <w:ilvl w:val="0"/>
                                <w:numId w:val="5"/>
                              </w:numPr>
                              <w:tabs>
                                <w:tab w:val="left" w:pos="526"/>
                                <w:tab w:val="left" w:pos="527"/>
                              </w:tabs>
                              <w:spacing w:before="130"/>
                              <w:ind w:hanging="421"/>
                              <w:rPr>
                                <w:sz w:val="21"/>
                              </w:rPr>
                            </w:pPr>
                            <w:r>
                              <w:rPr>
                                <w:sz w:val="21"/>
                              </w:rPr>
                              <w:t>户型初稿方案</w:t>
                            </w:r>
                          </w:p>
                          <w:p>
                            <w:pPr>
                              <w:pStyle w:val="65"/>
                              <w:numPr>
                                <w:ilvl w:val="0"/>
                                <w:numId w:val="5"/>
                              </w:numPr>
                              <w:tabs>
                                <w:tab w:val="left" w:pos="526"/>
                                <w:tab w:val="left" w:pos="527"/>
                              </w:tabs>
                              <w:spacing w:before="131"/>
                              <w:ind w:hanging="421"/>
                              <w:rPr>
                                <w:sz w:val="21"/>
                                <w:lang w:eastAsia="zh-CN"/>
                              </w:rPr>
                            </w:pPr>
                            <w:r>
                              <w:rPr>
                                <w:sz w:val="21"/>
                                <w:lang w:eastAsia="zh-CN"/>
                              </w:rPr>
                              <w:t>生活馆平面方案概念初稿</w:t>
                            </w:r>
                          </w:p>
                          <w:p>
                            <w:pPr>
                              <w:pStyle w:val="65"/>
                              <w:numPr>
                                <w:ilvl w:val="0"/>
                                <w:numId w:val="5"/>
                              </w:numPr>
                              <w:tabs>
                                <w:tab w:val="left" w:pos="526"/>
                                <w:tab w:val="left" w:pos="527"/>
                              </w:tabs>
                              <w:spacing w:before="128"/>
                              <w:ind w:hanging="421"/>
                              <w:rPr>
                                <w:sz w:val="21"/>
                              </w:rPr>
                            </w:pPr>
                            <w:r>
                              <w:rPr>
                                <w:sz w:val="21"/>
                              </w:rPr>
                              <w:t>立面意向（</w:t>
                            </w:r>
                            <w:r>
                              <w:rPr>
                                <w:rFonts w:hint="eastAsia" w:ascii="Times New Roman" w:hAnsi="Times New Roman"/>
                                <w:sz w:val="21"/>
                                <w:lang w:eastAsia="zh-CN"/>
                              </w:rPr>
                              <w:t>2</w:t>
                            </w:r>
                            <w:r>
                              <w:rPr>
                                <w:spacing w:val="-15"/>
                                <w:sz w:val="21"/>
                              </w:rPr>
                              <w:t xml:space="preserve"> 稿以上</w:t>
                            </w:r>
                            <w:r>
                              <w:rPr>
                                <w:sz w:val="21"/>
                              </w:rPr>
                              <w:t>）</w:t>
                            </w:r>
                          </w:p>
                          <w:p>
                            <w:pPr>
                              <w:pStyle w:val="65"/>
                              <w:numPr>
                                <w:ilvl w:val="0"/>
                                <w:numId w:val="5"/>
                              </w:numPr>
                              <w:tabs>
                                <w:tab w:val="left" w:pos="526"/>
                                <w:tab w:val="left" w:pos="527"/>
                              </w:tabs>
                              <w:spacing w:before="131"/>
                              <w:ind w:hanging="421"/>
                              <w:rPr>
                                <w:sz w:val="21"/>
                              </w:rPr>
                            </w:pPr>
                            <w:r>
                              <w:rPr>
                                <w:spacing w:val="-6"/>
                                <w:sz w:val="21"/>
                              </w:rPr>
                              <w:t xml:space="preserve">表述建筑体量组合的 </w:t>
                            </w:r>
                            <w:r>
                              <w:rPr>
                                <w:rFonts w:hint="eastAsia" w:ascii="Times New Roman" w:hAnsi="Times New Roman"/>
                                <w:sz w:val="21"/>
                                <w:lang w:eastAsia="zh-CN"/>
                              </w:rPr>
                              <w:t>SketchUp</w:t>
                            </w:r>
                            <w:r>
                              <w:rPr>
                                <w:spacing w:val="-14"/>
                                <w:sz w:val="21"/>
                              </w:rPr>
                              <w:t xml:space="preserve"> 透视图</w:t>
                            </w:r>
                          </w:p>
                          <w:p>
                            <w:pPr>
                              <w:pStyle w:val="65"/>
                              <w:numPr>
                                <w:ilvl w:val="0"/>
                                <w:numId w:val="5"/>
                              </w:numPr>
                              <w:tabs>
                                <w:tab w:val="left" w:pos="526"/>
                                <w:tab w:val="left" w:pos="527"/>
                              </w:tabs>
                              <w:spacing w:before="130"/>
                              <w:ind w:hanging="421"/>
                              <w:rPr>
                                <w:sz w:val="21"/>
                              </w:rPr>
                            </w:pPr>
                            <w:r>
                              <w:rPr>
                                <w:sz w:val="21"/>
                              </w:rPr>
                              <w:t>规划鸟瞰图等</w:t>
                            </w:r>
                          </w:p>
                        </w:tc>
                        <w:tc>
                          <w:tcPr>
                            <w:tcW w:w="862" w:type="dxa"/>
                          </w:tcPr>
                          <w:p>
                            <w:pPr>
                              <w:pStyle w:val="65"/>
                              <w:rPr>
                                <w:b/>
                                <w:sz w:val="20"/>
                              </w:rPr>
                            </w:pPr>
                          </w:p>
                          <w:p>
                            <w:pPr>
                              <w:pStyle w:val="65"/>
                              <w:rPr>
                                <w:b/>
                                <w:sz w:val="20"/>
                              </w:rPr>
                            </w:pPr>
                          </w:p>
                          <w:p>
                            <w:pPr>
                              <w:pStyle w:val="65"/>
                              <w:rPr>
                                <w:b/>
                                <w:sz w:val="20"/>
                              </w:rPr>
                            </w:pPr>
                          </w:p>
                          <w:p>
                            <w:pPr>
                              <w:pStyle w:val="65"/>
                              <w:rPr>
                                <w:b/>
                                <w:sz w:val="20"/>
                              </w:rPr>
                            </w:pPr>
                          </w:p>
                          <w:p>
                            <w:pPr>
                              <w:pStyle w:val="65"/>
                              <w:rPr>
                                <w:b/>
                                <w:sz w:val="20"/>
                              </w:rPr>
                            </w:pPr>
                          </w:p>
                          <w:p>
                            <w:pPr>
                              <w:pStyle w:val="65"/>
                              <w:rPr>
                                <w:b/>
                                <w:sz w:val="20"/>
                              </w:rPr>
                            </w:pPr>
                          </w:p>
                          <w:p>
                            <w:pPr>
                              <w:pStyle w:val="65"/>
                              <w:rPr>
                                <w:b/>
                                <w:sz w:val="20"/>
                              </w:rPr>
                            </w:pPr>
                          </w:p>
                          <w:p>
                            <w:pPr>
                              <w:pStyle w:val="65"/>
                              <w:rPr>
                                <w:b/>
                                <w:sz w:val="20"/>
                              </w:rPr>
                            </w:pPr>
                          </w:p>
                          <w:p>
                            <w:pPr>
                              <w:pStyle w:val="65"/>
                              <w:rPr>
                                <w:b/>
                                <w:sz w:val="20"/>
                              </w:rPr>
                            </w:pPr>
                          </w:p>
                          <w:p>
                            <w:pPr>
                              <w:pStyle w:val="65"/>
                              <w:rPr>
                                <w:b/>
                                <w:sz w:val="20"/>
                              </w:rPr>
                            </w:pPr>
                          </w:p>
                          <w:p>
                            <w:pPr>
                              <w:pStyle w:val="65"/>
                              <w:spacing w:before="146"/>
                              <w:ind w:left="9"/>
                              <w:jc w:val="center"/>
                              <w:rPr>
                                <w:rFonts w:hint="eastAsia" w:eastAsia="宋体"/>
                                <w:sz w:val="21"/>
                                <w:lang w:eastAsia="zh-CN"/>
                              </w:rPr>
                            </w:pPr>
                            <w:r>
                              <w:rPr>
                                <w:rFonts w:hint="eastAsia" w:ascii="Times New Roman" w:hAnsi="Times New Roman"/>
                                <w:w w:val="99"/>
                                <w:sz w:val="21"/>
                                <w:lang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101" w:type="dxa"/>
                            <w:vMerge w:val="continue"/>
                            <w:tcBorders>
                              <w:top w:val="nil"/>
                            </w:tcBorders>
                          </w:tcPr>
                          <w:p>
                            <w:pPr>
                              <w:rPr>
                                <w:sz w:val="2"/>
                                <w:szCs w:val="2"/>
                              </w:rPr>
                            </w:pPr>
                          </w:p>
                        </w:tc>
                        <w:tc>
                          <w:tcPr>
                            <w:tcW w:w="6662" w:type="dxa"/>
                          </w:tcPr>
                          <w:p>
                            <w:pPr>
                              <w:pStyle w:val="65"/>
                              <w:spacing w:before="135"/>
                              <w:ind w:left="106"/>
                              <w:rPr>
                                <w:sz w:val="21"/>
                              </w:rPr>
                            </w:pPr>
                            <w:r>
                              <w:rPr>
                                <w:sz w:val="21"/>
                              </w:rPr>
                              <w:t>电子文档归档</w:t>
                            </w:r>
                          </w:p>
                        </w:tc>
                        <w:tc>
                          <w:tcPr>
                            <w:tcW w:w="862" w:type="dxa"/>
                          </w:tcPr>
                          <w:p>
                            <w:pPr>
                              <w:pStyle w:val="6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0" w:hRule="atLeast"/>
                        </w:trPr>
                        <w:tc>
                          <w:tcPr>
                            <w:tcW w:w="1101" w:type="dxa"/>
                            <w:vMerge w:val="restart"/>
                          </w:tcPr>
                          <w:p>
                            <w:pPr>
                              <w:pStyle w:val="65"/>
                              <w:rPr>
                                <w:b/>
                                <w:sz w:val="20"/>
                              </w:rPr>
                            </w:pPr>
                          </w:p>
                          <w:p>
                            <w:pPr>
                              <w:pStyle w:val="65"/>
                              <w:rPr>
                                <w:b/>
                                <w:sz w:val="20"/>
                              </w:rPr>
                            </w:pPr>
                          </w:p>
                          <w:p>
                            <w:pPr>
                              <w:pStyle w:val="65"/>
                              <w:rPr>
                                <w:b/>
                                <w:sz w:val="20"/>
                              </w:rPr>
                            </w:pPr>
                          </w:p>
                          <w:p>
                            <w:pPr>
                              <w:pStyle w:val="65"/>
                              <w:rPr>
                                <w:b/>
                                <w:sz w:val="20"/>
                              </w:rPr>
                            </w:pPr>
                          </w:p>
                          <w:p>
                            <w:pPr>
                              <w:pStyle w:val="65"/>
                              <w:rPr>
                                <w:b/>
                                <w:sz w:val="20"/>
                              </w:rPr>
                            </w:pPr>
                          </w:p>
                          <w:p>
                            <w:pPr>
                              <w:pStyle w:val="65"/>
                              <w:rPr>
                                <w:b/>
                                <w:sz w:val="20"/>
                              </w:rPr>
                            </w:pPr>
                          </w:p>
                          <w:p>
                            <w:pPr>
                              <w:pStyle w:val="65"/>
                              <w:rPr>
                                <w:b/>
                                <w:sz w:val="20"/>
                              </w:rPr>
                            </w:pPr>
                          </w:p>
                          <w:p>
                            <w:pPr>
                              <w:pStyle w:val="65"/>
                              <w:spacing w:before="154"/>
                              <w:ind w:left="89" w:right="82"/>
                              <w:jc w:val="center"/>
                              <w:rPr>
                                <w:sz w:val="21"/>
                              </w:rPr>
                            </w:pPr>
                            <w:r>
                              <w:rPr>
                                <w:sz w:val="21"/>
                              </w:rPr>
                              <w:t>方案设计</w:t>
                            </w:r>
                          </w:p>
                          <w:p>
                            <w:pPr>
                              <w:pStyle w:val="65"/>
                              <w:spacing w:before="132" w:line="357" w:lineRule="auto"/>
                              <w:ind w:left="130" w:right="121"/>
                              <w:jc w:val="center"/>
                              <w:rPr>
                                <w:sz w:val="21"/>
                              </w:rPr>
                            </w:pPr>
                            <w:r>
                              <w:rPr>
                                <w:sz w:val="21"/>
                              </w:rPr>
                              <w:t>（工作量占比</w:t>
                            </w:r>
                            <w:r>
                              <w:rPr>
                                <w:rFonts w:hint="eastAsia" w:ascii="Times New Roman" w:hAnsi="Times New Roman"/>
                                <w:sz w:val="21"/>
                                <w:lang w:eastAsia="zh-CN"/>
                              </w:rPr>
                              <w:t>20</w:t>
                            </w:r>
                            <w:r>
                              <w:rPr>
                                <w:sz w:val="21"/>
                              </w:rPr>
                              <w:t>%）</w:t>
                            </w:r>
                          </w:p>
                        </w:tc>
                        <w:tc>
                          <w:tcPr>
                            <w:tcW w:w="6662" w:type="dxa"/>
                          </w:tcPr>
                          <w:p>
                            <w:pPr>
                              <w:pStyle w:val="65"/>
                              <w:spacing w:before="109"/>
                              <w:ind w:left="106"/>
                              <w:rPr>
                                <w:sz w:val="21"/>
                              </w:rPr>
                            </w:pPr>
                            <w:r>
                              <w:rPr>
                                <w:sz w:val="21"/>
                              </w:rPr>
                              <w:t>方案文本</w:t>
                            </w:r>
                          </w:p>
                          <w:p>
                            <w:pPr>
                              <w:pStyle w:val="65"/>
                              <w:numPr>
                                <w:ilvl w:val="0"/>
                                <w:numId w:val="6"/>
                              </w:numPr>
                              <w:tabs>
                                <w:tab w:val="left" w:pos="526"/>
                                <w:tab w:val="left" w:pos="527"/>
                              </w:tabs>
                              <w:spacing w:before="131"/>
                              <w:ind w:hanging="421"/>
                              <w:rPr>
                                <w:sz w:val="21"/>
                              </w:rPr>
                            </w:pPr>
                            <w:r>
                              <w:rPr>
                                <w:sz w:val="21"/>
                              </w:rPr>
                              <w:t>各专业方案设计说明</w:t>
                            </w:r>
                          </w:p>
                          <w:p>
                            <w:pPr>
                              <w:pStyle w:val="65"/>
                              <w:numPr>
                                <w:ilvl w:val="0"/>
                                <w:numId w:val="6"/>
                              </w:numPr>
                              <w:tabs>
                                <w:tab w:val="left" w:pos="526"/>
                                <w:tab w:val="left" w:pos="527"/>
                              </w:tabs>
                              <w:spacing w:before="131"/>
                              <w:ind w:hanging="421"/>
                              <w:rPr>
                                <w:sz w:val="21"/>
                              </w:rPr>
                            </w:pPr>
                            <w:r>
                              <w:rPr>
                                <w:sz w:val="21"/>
                              </w:rPr>
                              <w:t>技术经济指标</w:t>
                            </w:r>
                          </w:p>
                          <w:p>
                            <w:pPr>
                              <w:pStyle w:val="65"/>
                              <w:numPr>
                                <w:ilvl w:val="0"/>
                                <w:numId w:val="6"/>
                              </w:numPr>
                              <w:tabs>
                                <w:tab w:val="left" w:pos="526"/>
                                <w:tab w:val="left" w:pos="527"/>
                              </w:tabs>
                              <w:spacing w:before="128"/>
                              <w:ind w:hanging="421"/>
                              <w:rPr>
                                <w:sz w:val="21"/>
                              </w:rPr>
                            </w:pPr>
                            <w:r>
                              <w:rPr>
                                <w:sz w:val="21"/>
                              </w:rPr>
                              <w:t>总平面图</w:t>
                            </w:r>
                          </w:p>
                          <w:p>
                            <w:pPr>
                              <w:pStyle w:val="65"/>
                              <w:numPr>
                                <w:ilvl w:val="0"/>
                                <w:numId w:val="6"/>
                              </w:numPr>
                              <w:tabs>
                                <w:tab w:val="left" w:pos="526"/>
                                <w:tab w:val="left" w:pos="527"/>
                              </w:tabs>
                              <w:spacing w:before="130"/>
                              <w:ind w:hanging="421"/>
                              <w:rPr>
                                <w:sz w:val="21"/>
                              </w:rPr>
                            </w:pPr>
                            <w:r>
                              <w:rPr>
                                <w:sz w:val="21"/>
                              </w:rPr>
                              <w:t>地下室</w:t>
                            </w:r>
                          </w:p>
                          <w:p>
                            <w:pPr>
                              <w:pStyle w:val="65"/>
                              <w:numPr>
                                <w:ilvl w:val="0"/>
                                <w:numId w:val="6"/>
                              </w:numPr>
                              <w:tabs>
                                <w:tab w:val="left" w:pos="526"/>
                                <w:tab w:val="left" w:pos="527"/>
                              </w:tabs>
                              <w:spacing w:before="131"/>
                              <w:ind w:hanging="421"/>
                              <w:rPr>
                                <w:sz w:val="21"/>
                              </w:rPr>
                            </w:pPr>
                            <w:r>
                              <w:rPr>
                                <w:w w:val="95"/>
                                <w:sz w:val="21"/>
                              </w:rPr>
                              <w:t>总平面分析彩图</w:t>
                            </w:r>
                          </w:p>
                          <w:p>
                            <w:pPr>
                              <w:pStyle w:val="65"/>
                              <w:numPr>
                                <w:ilvl w:val="0"/>
                                <w:numId w:val="6"/>
                              </w:numPr>
                              <w:tabs>
                                <w:tab w:val="left" w:pos="526"/>
                                <w:tab w:val="left" w:pos="527"/>
                              </w:tabs>
                              <w:spacing w:before="128"/>
                              <w:ind w:hanging="421"/>
                              <w:rPr>
                                <w:sz w:val="21"/>
                              </w:rPr>
                            </w:pPr>
                            <w:r>
                              <w:rPr>
                                <w:w w:val="95"/>
                                <w:sz w:val="21"/>
                              </w:rPr>
                              <w:t>典型透视效果图</w:t>
                            </w:r>
                          </w:p>
                          <w:p>
                            <w:pPr>
                              <w:pStyle w:val="65"/>
                              <w:numPr>
                                <w:ilvl w:val="0"/>
                                <w:numId w:val="6"/>
                              </w:numPr>
                              <w:tabs>
                                <w:tab w:val="left" w:pos="526"/>
                                <w:tab w:val="left" w:pos="527"/>
                              </w:tabs>
                              <w:spacing w:before="131"/>
                              <w:ind w:hanging="421"/>
                              <w:rPr>
                                <w:sz w:val="21"/>
                              </w:rPr>
                            </w:pPr>
                            <w:r>
                              <w:rPr>
                                <w:sz w:val="21"/>
                              </w:rPr>
                              <w:t>鸟瞰图</w:t>
                            </w:r>
                          </w:p>
                          <w:p>
                            <w:pPr>
                              <w:pStyle w:val="65"/>
                              <w:numPr>
                                <w:ilvl w:val="0"/>
                                <w:numId w:val="6"/>
                              </w:numPr>
                              <w:tabs>
                                <w:tab w:val="left" w:pos="526"/>
                                <w:tab w:val="left" w:pos="527"/>
                              </w:tabs>
                              <w:spacing w:before="130"/>
                              <w:ind w:hanging="421"/>
                              <w:rPr>
                                <w:sz w:val="21"/>
                              </w:rPr>
                            </w:pPr>
                            <w:r>
                              <w:rPr>
                                <w:sz w:val="21"/>
                              </w:rPr>
                              <w:t>单体主要平面图</w:t>
                            </w:r>
                          </w:p>
                          <w:p>
                            <w:pPr>
                              <w:pStyle w:val="65"/>
                              <w:numPr>
                                <w:ilvl w:val="0"/>
                                <w:numId w:val="6"/>
                              </w:numPr>
                              <w:tabs>
                                <w:tab w:val="left" w:pos="526"/>
                                <w:tab w:val="left" w:pos="527"/>
                              </w:tabs>
                              <w:spacing w:before="129"/>
                              <w:ind w:hanging="421"/>
                              <w:rPr>
                                <w:sz w:val="21"/>
                              </w:rPr>
                            </w:pPr>
                            <w:r>
                              <w:rPr>
                                <w:sz w:val="21"/>
                              </w:rPr>
                              <w:t>单体剖面图</w:t>
                            </w:r>
                          </w:p>
                          <w:p>
                            <w:pPr>
                              <w:pStyle w:val="65"/>
                              <w:numPr>
                                <w:ilvl w:val="0"/>
                                <w:numId w:val="6"/>
                              </w:numPr>
                              <w:tabs>
                                <w:tab w:val="left" w:pos="526"/>
                                <w:tab w:val="left" w:pos="527"/>
                              </w:tabs>
                              <w:spacing w:before="130"/>
                              <w:ind w:hanging="421"/>
                              <w:rPr>
                                <w:sz w:val="21"/>
                              </w:rPr>
                            </w:pPr>
                            <w:r>
                              <w:rPr>
                                <w:sz w:val="21"/>
                              </w:rPr>
                              <w:t>单体主要立面图</w:t>
                            </w:r>
                          </w:p>
                          <w:p>
                            <w:pPr>
                              <w:pStyle w:val="65"/>
                              <w:numPr>
                                <w:ilvl w:val="0"/>
                                <w:numId w:val="6"/>
                              </w:numPr>
                              <w:tabs>
                                <w:tab w:val="left" w:pos="526"/>
                                <w:tab w:val="left" w:pos="527"/>
                              </w:tabs>
                              <w:spacing w:before="131" w:line="270" w:lineRule="exact"/>
                              <w:ind w:hanging="421"/>
                              <w:rPr>
                                <w:sz w:val="21"/>
                              </w:rPr>
                            </w:pPr>
                            <w:r>
                              <w:rPr>
                                <w:sz w:val="21"/>
                              </w:rPr>
                              <w:t>其他所需要的图纸</w:t>
                            </w:r>
                          </w:p>
                        </w:tc>
                        <w:tc>
                          <w:tcPr>
                            <w:tcW w:w="862" w:type="dxa"/>
                          </w:tcPr>
                          <w:p>
                            <w:pPr>
                              <w:pStyle w:val="65"/>
                              <w:rPr>
                                <w:b/>
                                <w:sz w:val="20"/>
                              </w:rPr>
                            </w:pPr>
                          </w:p>
                          <w:p>
                            <w:pPr>
                              <w:pStyle w:val="65"/>
                              <w:rPr>
                                <w:b/>
                                <w:sz w:val="20"/>
                              </w:rPr>
                            </w:pPr>
                          </w:p>
                          <w:p>
                            <w:pPr>
                              <w:pStyle w:val="65"/>
                              <w:rPr>
                                <w:b/>
                                <w:sz w:val="20"/>
                              </w:rPr>
                            </w:pPr>
                          </w:p>
                          <w:p>
                            <w:pPr>
                              <w:pStyle w:val="65"/>
                              <w:rPr>
                                <w:b/>
                                <w:sz w:val="20"/>
                              </w:rPr>
                            </w:pPr>
                          </w:p>
                          <w:p>
                            <w:pPr>
                              <w:pStyle w:val="65"/>
                              <w:rPr>
                                <w:b/>
                                <w:sz w:val="20"/>
                              </w:rPr>
                            </w:pPr>
                          </w:p>
                          <w:p>
                            <w:pPr>
                              <w:pStyle w:val="65"/>
                              <w:rPr>
                                <w:b/>
                                <w:sz w:val="20"/>
                              </w:rPr>
                            </w:pPr>
                          </w:p>
                          <w:p>
                            <w:pPr>
                              <w:pStyle w:val="65"/>
                              <w:rPr>
                                <w:b/>
                                <w:sz w:val="20"/>
                              </w:rPr>
                            </w:pPr>
                          </w:p>
                          <w:p>
                            <w:pPr>
                              <w:pStyle w:val="65"/>
                              <w:rPr>
                                <w:b/>
                                <w:sz w:val="20"/>
                              </w:rPr>
                            </w:pPr>
                          </w:p>
                          <w:p>
                            <w:pPr>
                              <w:pStyle w:val="65"/>
                              <w:spacing w:before="4"/>
                              <w:rPr>
                                <w:b/>
                                <w:sz w:val="20"/>
                              </w:rPr>
                            </w:pPr>
                          </w:p>
                          <w:p>
                            <w:pPr>
                              <w:pStyle w:val="65"/>
                              <w:ind w:left="9"/>
                              <w:jc w:val="center"/>
                              <w:rPr>
                                <w:rFonts w:hint="eastAsia" w:eastAsia="宋体"/>
                                <w:sz w:val="21"/>
                                <w:lang w:eastAsia="zh-CN"/>
                              </w:rPr>
                            </w:pPr>
                            <w:r>
                              <w:rPr>
                                <w:rFonts w:hint="eastAsia" w:ascii="Times New Roman" w:hAnsi="Times New Roman"/>
                                <w:w w:val="99"/>
                                <w:sz w:val="21"/>
                                <w:lang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101" w:type="dxa"/>
                            <w:vMerge w:val="continue"/>
                            <w:tcBorders>
                              <w:top w:val="nil"/>
                            </w:tcBorders>
                          </w:tcPr>
                          <w:p>
                            <w:pPr>
                              <w:rPr>
                                <w:sz w:val="2"/>
                                <w:szCs w:val="2"/>
                              </w:rPr>
                            </w:pPr>
                          </w:p>
                        </w:tc>
                        <w:tc>
                          <w:tcPr>
                            <w:tcW w:w="6662" w:type="dxa"/>
                          </w:tcPr>
                          <w:p>
                            <w:pPr>
                              <w:pStyle w:val="65"/>
                              <w:spacing w:before="145"/>
                              <w:ind w:left="106"/>
                              <w:rPr>
                                <w:sz w:val="21"/>
                                <w:lang w:eastAsia="zh-CN"/>
                              </w:rPr>
                            </w:pPr>
                            <w:r>
                              <w:rPr>
                                <w:sz w:val="21"/>
                                <w:lang w:eastAsia="zh-CN"/>
                              </w:rPr>
                              <w:t>电子文档归档（平面图需设置单独的面积框线图层）</w:t>
                            </w:r>
                          </w:p>
                        </w:tc>
                        <w:tc>
                          <w:tcPr>
                            <w:tcW w:w="862" w:type="dxa"/>
                          </w:tcPr>
                          <w:p>
                            <w:pPr>
                              <w:pStyle w:val="65"/>
                              <w:rPr>
                                <w:rFonts w:ascii="Times New Roman"/>
                                <w:sz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7" w:hRule="atLeast"/>
                        </w:trPr>
                        <w:tc>
                          <w:tcPr>
                            <w:tcW w:w="1101" w:type="dxa"/>
                          </w:tcPr>
                          <w:p>
                            <w:pPr>
                              <w:pStyle w:val="65"/>
                              <w:spacing w:before="110"/>
                              <w:ind w:left="130"/>
                              <w:rPr>
                                <w:sz w:val="21"/>
                                <w:lang w:eastAsia="zh-CN"/>
                              </w:rPr>
                            </w:pPr>
                            <w:r>
                              <w:rPr>
                                <w:sz w:val="21"/>
                                <w:lang w:eastAsia="zh-CN"/>
                              </w:rPr>
                              <w:t>初步设计</w:t>
                            </w:r>
                          </w:p>
                          <w:p>
                            <w:pPr>
                              <w:pStyle w:val="65"/>
                              <w:spacing w:before="1" w:line="400" w:lineRule="atLeast"/>
                              <w:ind w:left="338" w:right="121" w:hanging="209"/>
                              <w:rPr>
                                <w:sz w:val="21"/>
                                <w:lang w:eastAsia="zh-CN"/>
                              </w:rPr>
                            </w:pPr>
                            <w:r>
                              <w:rPr>
                                <w:sz w:val="21"/>
                                <w:lang w:eastAsia="zh-CN"/>
                              </w:rPr>
                              <w:t>（工作量占比</w:t>
                            </w:r>
                          </w:p>
                        </w:tc>
                        <w:tc>
                          <w:tcPr>
                            <w:tcW w:w="6662" w:type="dxa"/>
                          </w:tcPr>
                          <w:p>
                            <w:pPr>
                              <w:pStyle w:val="65"/>
                              <w:spacing w:before="110"/>
                              <w:ind w:left="106"/>
                              <w:rPr>
                                <w:sz w:val="21"/>
                              </w:rPr>
                            </w:pPr>
                            <w:r>
                              <w:rPr>
                                <w:sz w:val="21"/>
                              </w:rPr>
                              <w:t>初步设计文本</w:t>
                            </w:r>
                          </w:p>
                          <w:p>
                            <w:pPr>
                              <w:pStyle w:val="65"/>
                              <w:numPr>
                                <w:ilvl w:val="0"/>
                                <w:numId w:val="7"/>
                              </w:numPr>
                              <w:tabs>
                                <w:tab w:val="left" w:pos="526"/>
                                <w:tab w:val="left" w:pos="527"/>
                              </w:tabs>
                              <w:spacing w:before="131"/>
                              <w:ind w:hanging="421"/>
                              <w:rPr>
                                <w:sz w:val="21"/>
                              </w:rPr>
                            </w:pPr>
                            <w:r>
                              <w:rPr>
                                <w:sz w:val="21"/>
                              </w:rPr>
                              <w:t>各专业初步设计说明</w:t>
                            </w:r>
                          </w:p>
                          <w:p>
                            <w:pPr>
                              <w:pStyle w:val="65"/>
                              <w:numPr>
                                <w:ilvl w:val="0"/>
                                <w:numId w:val="7"/>
                              </w:numPr>
                              <w:tabs>
                                <w:tab w:val="left" w:pos="526"/>
                                <w:tab w:val="left" w:pos="527"/>
                              </w:tabs>
                              <w:spacing w:before="128" w:line="270" w:lineRule="exact"/>
                              <w:ind w:hanging="421"/>
                              <w:rPr>
                                <w:sz w:val="21"/>
                              </w:rPr>
                            </w:pPr>
                            <w:r>
                              <w:rPr>
                                <w:sz w:val="21"/>
                              </w:rPr>
                              <w:t>技术经济指标</w:t>
                            </w:r>
                          </w:p>
                        </w:tc>
                        <w:tc>
                          <w:tcPr>
                            <w:tcW w:w="862" w:type="dxa"/>
                          </w:tcPr>
                          <w:p>
                            <w:pPr>
                              <w:pStyle w:val="65"/>
                              <w:rPr>
                                <w:b/>
                                <w:sz w:val="20"/>
                              </w:rPr>
                            </w:pPr>
                          </w:p>
                          <w:p>
                            <w:pPr>
                              <w:pStyle w:val="65"/>
                              <w:spacing w:before="11"/>
                              <w:rPr>
                                <w:b/>
                                <w:sz w:val="19"/>
                              </w:rPr>
                            </w:pPr>
                          </w:p>
                          <w:p>
                            <w:pPr>
                              <w:pStyle w:val="65"/>
                              <w:ind w:left="9"/>
                              <w:jc w:val="center"/>
                              <w:rPr>
                                <w:rFonts w:hint="eastAsia" w:eastAsia="宋体"/>
                                <w:sz w:val="21"/>
                                <w:lang w:eastAsia="zh-CN"/>
                              </w:rPr>
                            </w:pPr>
                            <w:r>
                              <w:rPr>
                                <w:rFonts w:hint="eastAsia" w:ascii="Times New Roman" w:hAnsi="Times New Roman"/>
                                <w:w w:val="99"/>
                                <w:sz w:val="21"/>
                                <w:lang w:eastAsia="zh-CN"/>
                              </w:rPr>
                              <w:t>6</w:t>
                            </w:r>
                          </w:p>
                        </w:tc>
                      </w:tr>
                    </w:tbl>
                    <w:p>
                      <w:pPr>
                        <w:pStyle w:val="17"/>
                        <w:ind w:left="0"/>
                      </w:pPr>
                    </w:p>
                  </w:txbxContent>
                </v:textbox>
              </v:shape>
            </w:pict>
          </mc:Fallback>
        </mc:AlternateContent>
      </w:r>
      <w:r>
        <w:rPr>
          <w:b/>
          <w:color w:val="auto"/>
          <w:sz w:val="21"/>
          <w:highlight w:val="none"/>
          <w:lang w:eastAsia="zh-CN"/>
        </w:rPr>
        <w:t>附件二：乙方的设计内容及范围</w:t>
      </w:r>
      <w:r>
        <w:rPr>
          <w:rFonts w:hint="eastAsia" w:ascii="Times New Roman" w:hAnsi="Times New Roman"/>
          <w:b/>
          <w:color w:val="auto"/>
          <w:sz w:val="21"/>
          <w:highlight w:val="none"/>
          <w:lang w:eastAsia="zh-CN"/>
        </w:rPr>
        <w:t>1</w:t>
      </w:r>
      <w:r>
        <w:rPr>
          <w:b/>
          <w:color w:val="auto"/>
          <w:sz w:val="21"/>
          <w:highlight w:val="none"/>
          <w:lang w:eastAsia="zh-CN"/>
        </w:rPr>
        <w:t>、建筑工程设计内容</w:t>
      </w:r>
    </w:p>
    <w:p>
      <w:pPr>
        <w:spacing w:line="357" w:lineRule="auto"/>
        <w:rPr>
          <w:color w:val="auto"/>
          <w:sz w:val="21"/>
          <w:highlight w:val="none"/>
          <w:lang w:eastAsia="zh-CN"/>
        </w:rPr>
        <w:sectPr>
          <w:pgSz w:w="11849" w:h="16792"/>
          <w:pgMar w:top="1417" w:right="850" w:bottom="1417" w:left="850" w:header="850" w:footer="850" w:gutter="0"/>
          <w:pgBorders>
            <w:top w:val="none" w:sz="0" w:space="0"/>
            <w:left w:val="none" w:sz="0" w:space="0"/>
            <w:bottom w:val="none" w:sz="0" w:space="0"/>
            <w:right w:val="none" w:sz="0" w:space="0"/>
          </w:pgBorders>
          <w:pgNumType w:fmt="decimal"/>
          <w:cols w:space="0" w:num="1"/>
          <w:rtlGutter w:val="0"/>
          <w:docGrid w:linePitch="0" w:charSpace="0"/>
        </w:sectPr>
      </w:pPr>
    </w:p>
    <w:tbl>
      <w:tblPr>
        <w:tblStyle w:val="104"/>
        <w:tblW w:w="0" w:type="auto"/>
        <w:tblInd w:w="7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1"/>
        <w:gridCol w:w="6662"/>
        <w:gridCol w:w="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0" w:hRule="atLeast"/>
        </w:trPr>
        <w:tc>
          <w:tcPr>
            <w:tcW w:w="1101" w:type="dxa"/>
            <w:vMerge w:val="restart"/>
          </w:tcPr>
          <w:p>
            <w:pPr>
              <w:pStyle w:val="65"/>
              <w:spacing w:before="107" w:line="357" w:lineRule="auto"/>
              <w:ind w:left="130" w:right="121" w:firstLine="52"/>
              <w:jc w:val="both"/>
              <w:rPr>
                <w:color w:val="auto"/>
                <w:sz w:val="21"/>
                <w:highlight w:val="none"/>
              </w:rPr>
            </w:pPr>
            <w:r>
              <w:rPr>
                <w:rFonts w:hint="eastAsia" w:ascii="Times New Roman" w:hAnsi="Times New Roman"/>
                <w:color w:val="auto"/>
                <w:sz w:val="21"/>
                <w:highlight w:val="none"/>
                <w:lang w:eastAsia="zh-CN"/>
              </w:rPr>
              <w:t>20</w:t>
            </w:r>
            <w:r>
              <w:rPr>
                <w:color w:val="auto"/>
                <w:sz w:val="21"/>
                <w:highlight w:val="none"/>
              </w:rPr>
              <w:t>%，包含工规证领取）</w:t>
            </w:r>
          </w:p>
        </w:tc>
        <w:tc>
          <w:tcPr>
            <w:tcW w:w="6662" w:type="dxa"/>
          </w:tcPr>
          <w:p>
            <w:pPr>
              <w:pStyle w:val="65"/>
              <w:numPr>
                <w:ilvl w:val="0"/>
                <w:numId w:val="8"/>
              </w:numPr>
              <w:tabs>
                <w:tab w:val="left" w:pos="526"/>
                <w:tab w:val="left" w:pos="527"/>
              </w:tabs>
              <w:spacing w:before="106"/>
              <w:ind w:hanging="421"/>
              <w:rPr>
                <w:color w:val="auto"/>
                <w:sz w:val="21"/>
                <w:highlight w:val="none"/>
              </w:rPr>
            </w:pPr>
            <w:r>
              <w:rPr>
                <w:color w:val="auto"/>
                <w:sz w:val="21"/>
                <w:highlight w:val="none"/>
              </w:rPr>
              <w:t>总平面图</w:t>
            </w:r>
          </w:p>
          <w:p>
            <w:pPr>
              <w:pStyle w:val="65"/>
              <w:numPr>
                <w:ilvl w:val="0"/>
                <w:numId w:val="8"/>
              </w:numPr>
              <w:tabs>
                <w:tab w:val="left" w:pos="526"/>
                <w:tab w:val="left" w:pos="527"/>
              </w:tabs>
              <w:spacing w:before="130"/>
              <w:ind w:hanging="421"/>
              <w:rPr>
                <w:color w:val="auto"/>
                <w:sz w:val="21"/>
                <w:highlight w:val="none"/>
              </w:rPr>
            </w:pPr>
            <w:r>
              <w:rPr>
                <w:color w:val="auto"/>
                <w:sz w:val="21"/>
                <w:highlight w:val="none"/>
              </w:rPr>
              <w:t>地下室</w:t>
            </w:r>
          </w:p>
          <w:p>
            <w:pPr>
              <w:pStyle w:val="65"/>
              <w:numPr>
                <w:ilvl w:val="0"/>
                <w:numId w:val="8"/>
              </w:numPr>
              <w:tabs>
                <w:tab w:val="left" w:pos="526"/>
                <w:tab w:val="left" w:pos="527"/>
              </w:tabs>
              <w:spacing w:before="128"/>
              <w:ind w:hanging="421"/>
              <w:rPr>
                <w:color w:val="auto"/>
                <w:sz w:val="21"/>
                <w:highlight w:val="none"/>
              </w:rPr>
            </w:pPr>
            <w:r>
              <w:rPr>
                <w:color w:val="auto"/>
                <w:w w:val="95"/>
                <w:sz w:val="21"/>
                <w:highlight w:val="none"/>
              </w:rPr>
              <w:t>总平面分析彩图</w:t>
            </w:r>
          </w:p>
          <w:p>
            <w:pPr>
              <w:pStyle w:val="65"/>
              <w:numPr>
                <w:ilvl w:val="0"/>
                <w:numId w:val="8"/>
              </w:numPr>
              <w:tabs>
                <w:tab w:val="left" w:pos="526"/>
                <w:tab w:val="left" w:pos="527"/>
              </w:tabs>
              <w:spacing w:before="131"/>
              <w:ind w:hanging="421"/>
              <w:rPr>
                <w:color w:val="auto"/>
                <w:sz w:val="21"/>
                <w:highlight w:val="none"/>
              </w:rPr>
            </w:pPr>
            <w:r>
              <w:rPr>
                <w:color w:val="auto"/>
                <w:w w:val="95"/>
                <w:sz w:val="21"/>
                <w:highlight w:val="none"/>
              </w:rPr>
              <w:t>典型透视效果图</w:t>
            </w:r>
          </w:p>
          <w:p>
            <w:pPr>
              <w:pStyle w:val="65"/>
              <w:numPr>
                <w:ilvl w:val="0"/>
                <w:numId w:val="8"/>
              </w:numPr>
              <w:tabs>
                <w:tab w:val="left" w:pos="526"/>
                <w:tab w:val="left" w:pos="527"/>
              </w:tabs>
              <w:spacing w:before="131"/>
              <w:ind w:hanging="421"/>
              <w:rPr>
                <w:color w:val="auto"/>
                <w:sz w:val="21"/>
                <w:highlight w:val="none"/>
                <w:lang w:eastAsia="zh-CN"/>
              </w:rPr>
            </w:pPr>
            <w:r>
              <w:rPr>
                <w:color w:val="auto"/>
                <w:sz w:val="21"/>
                <w:highlight w:val="none"/>
                <w:lang w:eastAsia="zh-CN"/>
              </w:rPr>
              <w:t>各单体建筑平、立、剖面图</w:t>
            </w:r>
          </w:p>
          <w:p>
            <w:pPr>
              <w:pStyle w:val="65"/>
              <w:numPr>
                <w:ilvl w:val="0"/>
                <w:numId w:val="8"/>
              </w:numPr>
              <w:tabs>
                <w:tab w:val="left" w:pos="526"/>
                <w:tab w:val="left" w:pos="527"/>
              </w:tabs>
              <w:spacing w:before="128"/>
              <w:ind w:hanging="421"/>
              <w:rPr>
                <w:color w:val="auto"/>
                <w:sz w:val="21"/>
                <w:highlight w:val="none"/>
                <w:lang w:eastAsia="zh-CN"/>
              </w:rPr>
            </w:pPr>
            <w:r>
              <w:rPr>
                <w:color w:val="auto"/>
                <w:sz w:val="21"/>
                <w:highlight w:val="none"/>
                <w:lang w:eastAsia="zh-CN"/>
              </w:rPr>
              <w:t>结构、设备专业初步设计图纸</w:t>
            </w:r>
          </w:p>
          <w:p>
            <w:pPr>
              <w:pStyle w:val="65"/>
              <w:numPr>
                <w:ilvl w:val="0"/>
                <w:numId w:val="8"/>
              </w:numPr>
              <w:tabs>
                <w:tab w:val="left" w:pos="526"/>
                <w:tab w:val="left" w:pos="527"/>
              </w:tabs>
              <w:spacing w:before="130"/>
              <w:ind w:hanging="421"/>
              <w:rPr>
                <w:color w:val="auto"/>
                <w:sz w:val="21"/>
                <w:highlight w:val="none"/>
                <w:lang w:eastAsia="zh-CN"/>
              </w:rPr>
            </w:pPr>
            <w:r>
              <w:rPr>
                <w:color w:val="auto"/>
                <w:w w:val="95"/>
                <w:sz w:val="21"/>
                <w:highlight w:val="none"/>
                <w:lang w:eastAsia="zh-CN"/>
              </w:rPr>
              <w:t>给排水、电气室外管线初步设计图纸</w:t>
            </w:r>
          </w:p>
          <w:p>
            <w:pPr>
              <w:pStyle w:val="65"/>
              <w:numPr>
                <w:ilvl w:val="0"/>
                <w:numId w:val="8"/>
              </w:numPr>
              <w:tabs>
                <w:tab w:val="left" w:pos="526"/>
                <w:tab w:val="left" w:pos="527"/>
              </w:tabs>
              <w:spacing w:before="131"/>
              <w:ind w:hanging="421"/>
              <w:rPr>
                <w:color w:val="auto"/>
                <w:sz w:val="21"/>
                <w:highlight w:val="none"/>
                <w:lang w:eastAsia="zh-CN"/>
              </w:rPr>
            </w:pPr>
            <w:r>
              <w:rPr>
                <w:color w:val="auto"/>
                <w:w w:val="95"/>
                <w:sz w:val="21"/>
                <w:highlight w:val="none"/>
                <w:lang w:eastAsia="zh-CN"/>
              </w:rPr>
              <w:t>结构超限评审文本（如有结构超限）</w:t>
            </w:r>
          </w:p>
          <w:p>
            <w:pPr>
              <w:pStyle w:val="65"/>
              <w:numPr>
                <w:ilvl w:val="0"/>
                <w:numId w:val="8"/>
              </w:numPr>
              <w:tabs>
                <w:tab w:val="left" w:pos="526"/>
                <w:tab w:val="left" w:pos="527"/>
              </w:tabs>
              <w:spacing w:before="128"/>
              <w:ind w:hanging="421"/>
              <w:rPr>
                <w:color w:val="auto"/>
                <w:sz w:val="21"/>
                <w:highlight w:val="none"/>
              </w:rPr>
            </w:pPr>
            <w:r>
              <w:rPr>
                <w:color w:val="auto"/>
                <w:sz w:val="21"/>
                <w:highlight w:val="none"/>
              </w:rPr>
              <w:t>抗震设计审查资料</w:t>
            </w:r>
          </w:p>
          <w:p>
            <w:pPr>
              <w:pStyle w:val="65"/>
              <w:numPr>
                <w:ilvl w:val="0"/>
                <w:numId w:val="8"/>
              </w:numPr>
              <w:tabs>
                <w:tab w:val="left" w:pos="526"/>
                <w:tab w:val="left" w:pos="527"/>
              </w:tabs>
              <w:spacing w:before="131"/>
              <w:ind w:hanging="421"/>
              <w:rPr>
                <w:color w:val="auto"/>
                <w:sz w:val="21"/>
                <w:highlight w:val="none"/>
              </w:rPr>
            </w:pPr>
            <w:r>
              <w:rPr>
                <w:color w:val="auto"/>
                <w:sz w:val="21"/>
                <w:highlight w:val="none"/>
              </w:rPr>
              <w:t>结构设计书</w:t>
            </w:r>
          </w:p>
          <w:p>
            <w:pPr>
              <w:pStyle w:val="65"/>
              <w:numPr>
                <w:ilvl w:val="0"/>
                <w:numId w:val="8"/>
              </w:numPr>
              <w:tabs>
                <w:tab w:val="left" w:pos="526"/>
                <w:tab w:val="left" w:pos="527"/>
              </w:tabs>
              <w:spacing w:before="1" w:line="400" w:lineRule="atLeast"/>
              <w:ind w:right="245"/>
              <w:rPr>
                <w:color w:val="auto"/>
                <w:sz w:val="21"/>
                <w:highlight w:val="none"/>
                <w:lang w:eastAsia="zh-CN"/>
              </w:rPr>
            </w:pPr>
            <w:r>
              <w:rPr>
                <w:color w:val="auto"/>
                <w:w w:val="95"/>
                <w:sz w:val="21"/>
                <w:highlight w:val="none"/>
                <w:lang w:eastAsia="zh-CN"/>
              </w:rPr>
              <w:t xml:space="preserve">园区围墙、门岗、门头等构筑物方案设计相关图纸（平、立、剖 </w:t>
            </w:r>
            <w:r>
              <w:rPr>
                <w:color w:val="auto"/>
                <w:sz w:val="21"/>
                <w:highlight w:val="none"/>
                <w:lang w:eastAsia="zh-CN"/>
              </w:rPr>
              <w:t>面图、效果图）</w:t>
            </w:r>
          </w:p>
        </w:tc>
        <w:tc>
          <w:tcPr>
            <w:tcW w:w="862" w:type="dxa"/>
          </w:tcPr>
          <w:p>
            <w:pPr>
              <w:pStyle w:val="65"/>
              <w:rPr>
                <w:rFonts w:ascii="Times New Roman"/>
                <w:color w:val="auto"/>
                <w:sz w:val="2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101" w:type="dxa"/>
            <w:vMerge w:val="continue"/>
            <w:tcBorders>
              <w:top w:val="nil"/>
            </w:tcBorders>
          </w:tcPr>
          <w:p>
            <w:pPr>
              <w:rPr>
                <w:color w:val="auto"/>
                <w:sz w:val="2"/>
                <w:szCs w:val="2"/>
                <w:highlight w:val="none"/>
                <w:lang w:eastAsia="zh-CN"/>
              </w:rPr>
            </w:pPr>
          </w:p>
        </w:tc>
        <w:tc>
          <w:tcPr>
            <w:tcW w:w="6662" w:type="dxa"/>
          </w:tcPr>
          <w:p>
            <w:pPr>
              <w:pStyle w:val="65"/>
              <w:spacing w:before="106"/>
              <w:ind w:left="106"/>
              <w:rPr>
                <w:color w:val="auto"/>
                <w:sz w:val="21"/>
                <w:highlight w:val="none"/>
                <w:lang w:eastAsia="zh-CN"/>
              </w:rPr>
            </w:pPr>
            <w:r>
              <w:rPr>
                <w:color w:val="auto"/>
                <w:sz w:val="21"/>
                <w:highlight w:val="none"/>
                <w:lang w:eastAsia="zh-CN"/>
              </w:rPr>
              <w:t>电子文档归档（在初步设计出图阶段费用支付后，提供全套可修改版</w:t>
            </w:r>
          </w:p>
          <w:p>
            <w:pPr>
              <w:pStyle w:val="65"/>
              <w:spacing w:before="132"/>
              <w:ind w:left="106"/>
              <w:rPr>
                <w:color w:val="auto"/>
                <w:sz w:val="21"/>
                <w:highlight w:val="none"/>
                <w:lang w:eastAsia="zh-CN"/>
              </w:rPr>
            </w:pPr>
            <w:r>
              <w:rPr>
                <w:rFonts w:hint="eastAsia" w:ascii="Times New Roman" w:hAnsi="Times New Roman"/>
                <w:color w:val="auto"/>
                <w:sz w:val="21"/>
                <w:highlight w:val="none"/>
                <w:lang w:eastAsia="zh-CN"/>
              </w:rPr>
              <w:t>DWG</w:t>
            </w:r>
            <w:r>
              <w:rPr>
                <w:color w:val="auto"/>
                <w:sz w:val="21"/>
                <w:highlight w:val="none"/>
                <w:lang w:eastAsia="zh-CN"/>
              </w:rPr>
              <w:t xml:space="preserve"> 格式图纸，平面图需设置单独的面积框线图层）</w:t>
            </w:r>
          </w:p>
        </w:tc>
        <w:tc>
          <w:tcPr>
            <w:tcW w:w="862" w:type="dxa"/>
          </w:tcPr>
          <w:p>
            <w:pPr>
              <w:pStyle w:val="65"/>
              <w:rPr>
                <w:rFonts w:ascii="Times New Roman"/>
                <w:color w:val="auto"/>
                <w:sz w:val="2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0" w:hRule="atLeast"/>
        </w:trPr>
        <w:tc>
          <w:tcPr>
            <w:tcW w:w="1101" w:type="dxa"/>
            <w:vMerge w:val="restart"/>
          </w:tcPr>
          <w:p>
            <w:pPr>
              <w:pStyle w:val="65"/>
              <w:rPr>
                <w:b/>
                <w:color w:val="auto"/>
                <w:sz w:val="20"/>
                <w:highlight w:val="none"/>
                <w:lang w:eastAsia="zh-CN"/>
              </w:rPr>
            </w:pPr>
          </w:p>
          <w:p>
            <w:pPr>
              <w:pStyle w:val="65"/>
              <w:rPr>
                <w:b/>
                <w:color w:val="auto"/>
                <w:sz w:val="20"/>
                <w:highlight w:val="none"/>
                <w:lang w:eastAsia="zh-CN"/>
              </w:rPr>
            </w:pPr>
          </w:p>
          <w:p>
            <w:pPr>
              <w:pStyle w:val="65"/>
              <w:rPr>
                <w:b/>
                <w:color w:val="auto"/>
                <w:sz w:val="20"/>
                <w:highlight w:val="none"/>
                <w:lang w:eastAsia="zh-CN"/>
              </w:rPr>
            </w:pPr>
          </w:p>
          <w:p>
            <w:pPr>
              <w:pStyle w:val="65"/>
              <w:rPr>
                <w:b/>
                <w:color w:val="auto"/>
                <w:sz w:val="20"/>
                <w:highlight w:val="none"/>
                <w:lang w:eastAsia="zh-CN"/>
              </w:rPr>
            </w:pPr>
          </w:p>
          <w:p>
            <w:pPr>
              <w:pStyle w:val="65"/>
              <w:rPr>
                <w:b/>
                <w:color w:val="auto"/>
                <w:sz w:val="20"/>
                <w:highlight w:val="none"/>
                <w:lang w:eastAsia="zh-CN"/>
              </w:rPr>
            </w:pPr>
          </w:p>
          <w:p>
            <w:pPr>
              <w:pStyle w:val="65"/>
              <w:rPr>
                <w:b/>
                <w:color w:val="auto"/>
                <w:sz w:val="20"/>
                <w:highlight w:val="none"/>
                <w:lang w:eastAsia="zh-CN"/>
              </w:rPr>
            </w:pPr>
          </w:p>
          <w:p>
            <w:pPr>
              <w:pStyle w:val="65"/>
              <w:spacing w:before="173" w:line="357" w:lineRule="auto"/>
              <w:ind w:left="130" w:right="121"/>
              <w:jc w:val="center"/>
              <w:rPr>
                <w:color w:val="auto"/>
                <w:sz w:val="21"/>
                <w:highlight w:val="none"/>
                <w:lang w:eastAsia="zh-CN"/>
              </w:rPr>
            </w:pPr>
            <w:r>
              <w:rPr>
                <w:color w:val="auto"/>
                <w:sz w:val="21"/>
                <w:highlight w:val="none"/>
                <w:lang w:eastAsia="zh-CN"/>
              </w:rPr>
              <w:t>施工图设计（工作量占比</w:t>
            </w:r>
            <w:r>
              <w:rPr>
                <w:rFonts w:hint="eastAsia" w:ascii="Times New Roman" w:hAnsi="Times New Roman"/>
                <w:color w:val="auto"/>
                <w:sz w:val="21"/>
                <w:highlight w:val="none"/>
                <w:lang w:eastAsia="zh-CN"/>
              </w:rPr>
              <w:t>45</w:t>
            </w:r>
            <w:r>
              <w:rPr>
                <w:color w:val="auto"/>
                <w:sz w:val="21"/>
                <w:highlight w:val="none"/>
                <w:lang w:eastAsia="zh-CN"/>
              </w:rPr>
              <w:t>%，包含图审通过）</w:t>
            </w:r>
          </w:p>
        </w:tc>
        <w:tc>
          <w:tcPr>
            <w:tcW w:w="6662" w:type="dxa"/>
          </w:tcPr>
          <w:p>
            <w:pPr>
              <w:pStyle w:val="65"/>
              <w:numPr>
                <w:ilvl w:val="0"/>
                <w:numId w:val="9"/>
              </w:numPr>
              <w:tabs>
                <w:tab w:val="left" w:pos="526"/>
                <w:tab w:val="left" w:pos="527"/>
              </w:tabs>
              <w:spacing w:before="106"/>
              <w:ind w:hanging="421"/>
              <w:rPr>
                <w:color w:val="auto"/>
                <w:sz w:val="21"/>
                <w:highlight w:val="none"/>
                <w:lang w:eastAsia="zh-CN"/>
              </w:rPr>
            </w:pPr>
            <w:r>
              <w:rPr>
                <w:color w:val="auto"/>
                <w:sz w:val="21"/>
                <w:highlight w:val="none"/>
                <w:lang w:eastAsia="zh-CN"/>
              </w:rPr>
              <w:t>建筑、结构、设备各专业施工图</w:t>
            </w:r>
          </w:p>
          <w:p>
            <w:pPr>
              <w:pStyle w:val="65"/>
              <w:numPr>
                <w:ilvl w:val="0"/>
                <w:numId w:val="9"/>
              </w:numPr>
              <w:tabs>
                <w:tab w:val="left" w:pos="526"/>
                <w:tab w:val="left" w:pos="527"/>
              </w:tabs>
              <w:spacing w:before="129"/>
              <w:ind w:hanging="421"/>
              <w:rPr>
                <w:color w:val="auto"/>
                <w:sz w:val="21"/>
                <w:highlight w:val="none"/>
                <w:lang w:eastAsia="zh-CN"/>
              </w:rPr>
            </w:pPr>
            <w:r>
              <w:rPr>
                <w:color w:val="auto"/>
                <w:sz w:val="21"/>
                <w:highlight w:val="none"/>
                <w:lang w:eastAsia="zh-CN"/>
              </w:rPr>
              <w:t>总平面各报批总图（竖向、绿地率、平面定位等分析图）</w:t>
            </w:r>
          </w:p>
          <w:p>
            <w:pPr>
              <w:pStyle w:val="65"/>
              <w:numPr>
                <w:ilvl w:val="0"/>
                <w:numId w:val="9"/>
              </w:numPr>
              <w:tabs>
                <w:tab w:val="left" w:pos="526"/>
                <w:tab w:val="left" w:pos="527"/>
              </w:tabs>
              <w:spacing w:before="130"/>
              <w:ind w:hanging="421"/>
              <w:rPr>
                <w:color w:val="auto"/>
                <w:sz w:val="21"/>
                <w:highlight w:val="none"/>
                <w:lang w:eastAsia="zh-CN"/>
              </w:rPr>
            </w:pPr>
            <w:r>
              <w:rPr>
                <w:color w:val="auto"/>
                <w:sz w:val="21"/>
                <w:highlight w:val="none"/>
                <w:lang w:eastAsia="zh-CN"/>
              </w:rPr>
              <w:t>结构设计计算书（按需提供）</w:t>
            </w:r>
          </w:p>
          <w:p>
            <w:pPr>
              <w:pStyle w:val="65"/>
              <w:numPr>
                <w:ilvl w:val="0"/>
                <w:numId w:val="9"/>
              </w:numPr>
              <w:tabs>
                <w:tab w:val="left" w:pos="526"/>
                <w:tab w:val="left" w:pos="527"/>
              </w:tabs>
              <w:spacing w:before="131"/>
              <w:ind w:hanging="421"/>
              <w:rPr>
                <w:color w:val="auto"/>
                <w:sz w:val="21"/>
                <w:highlight w:val="none"/>
                <w:lang w:eastAsia="zh-CN"/>
              </w:rPr>
            </w:pPr>
            <w:r>
              <w:rPr>
                <w:color w:val="auto"/>
                <w:sz w:val="21"/>
                <w:highlight w:val="none"/>
                <w:lang w:eastAsia="zh-CN"/>
              </w:rPr>
              <w:t>其他报批及验收需要的图纸（按需提供）</w:t>
            </w:r>
          </w:p>
          <w:p>
            <w:pPr>
              <w:pStyle w:val="65"/>
              <w:numPr>
                <w:ilvl w:val="0"/>
                <w:numId w:val="9"/>
              </w:numPr>
              <w:tabs>
                <w:tab w:val="left" w:pos="526"/>
                <w:tab w:val="left" w:pos="527"/>
              </w:tabs>
              <w:spacing w:before="128"/>
              <w:ind w:hanging="421"/>
              <w:rPr>
                <w:color w:val="auto"/>
                <w:sz w:val="21"/>
                <w:highlight w:val="none"/>
                <w:lang w:eastAsia="zh-CN"/>
              </w:rPr>
            </w:pPr>
            <w:r>
              <w:rPr>
                <w:color w:val="auto"/>
                <w:sz w:val="21"/>
                <w:highlight w:val="none"/>
                <w:lang w:eastAsia="zh-CN"/>
              </w:rPr>
              <w:t>园区围墙、门岗、门头等构筑物各专业施工图</w:t>
            </w:r>
          </w:p>
          <w:p>
            <w:pPr>
              <w:pStyle w:val="65"/>
              <w:numPr>
                <w:ilvl w:val="0"/>
                <w:numId w:val="9"/>
              </w:numPr>
              <w:tabs>
                <w:tab w:val="left" w:pos="526"/>
                <w:tab w:val="left" w:pos="527"/>
              </w:tabs>
              <w:spacing w:before="131"/>
              <w:ind w:hanging="421"/>
              <w:rPr>
                <w:color w:val="auto"/>
                <w:sz w:val="21"/>
                <w:highlight w:val="none"/>
                <w:lang w:eastAsia="zh-CN"/>
              </w:rPr>
            </w:pPr>
            <w:r>
              <w:rPr>
                <w:color w:val="auto"/>
                <w:sz w:val="21"/>
                <w:highlight w:val="none"/>
                <w:lang w:eastAsia="zh-CN"/>
              </w:rPr>
              <w:t>园区泳池结构专业施工图</w:t>
            </w:r>
          </w:p>
          <w:p>
            <w:pPr>
              <w:pStyle w:val="65"/>
              <w:numPr>
                <w:ilvl w:val="0"/>
                <w:numId w:val="9"/>
              </w:numPr>
              <w:tabs>
                <w:tab w:val="left" w:pos="526"/>
                <w:tab w:val="left" w:pos="527"/>
              </w:tabs>
              <w:spacing w:line="400" w:lineRule="atLeast"/>
              <w:ind w:right="245"/>
              <w:rPr>
                <w:color w:val="auto"/>
                <w:sz w:val="21"/>
                <w:highlight w:val="none"/>
                <w:lang w:eastAsia="zh-CN"/>
              </w:rPr>
            </w:pPr>
            <w:r>
              <w:rPr>
                <w:color w:val="auto"/>
                <w:w w:val="95"/>
                <w:sz w:val="21"/>
                <w:highlight w:val="none"/>
                <w:lang w:eastAsia="zh-CN"/>
              </w:rPr>
              <w:t xml:space="preserve">施工图版效果图（主要单体、重要公共部位、建筑形体关系复杂 </w:t>
            </w:r>
            <w:r>
              <w:rPr>
                <w:color w:val="auto"/>
                <w:sz w:val="21"/>
                <w:highlight w:val="none"/>
                <w:lang w:eastAsia="zh-CN"/>
              </w:rPr>
              <w:t>处等需要验证施工图立面效果的部位）</w:t>
            </w:r>
          </w:p>
        </w:tc>
        <w:tc>
          <w:tcPr>
            <w:tcW w:w="862" w:type="dxa"/>
          </w:tcPr>
          <w:p>
            <w:pPr>
              <w:pStyle w:val="65"/>
              <w:rPr>
                <w:b/>
                <w:color w:val="auto"/>
                <w:sz w:val="20"/>
                <w:highlight w:val="none"/>
                <w:lang w:eastAsia="zh-CN"/>
              </w:rPr>
            </w:pPr>
          </w:p>
          <w:p>
            <w:pPr>
              <w:pStyle w:val="65"/>
              <w:rPr>
                <w:b/>
                <w:color w:val="auto"/>
                <w:sz w:val="20"/>
                <w:highlight w:val="none"/>
                <w:lang w:eastAsia="zh-CN"/>
              </w:rPr>
            </w:pPr>
          </w:p>
          <w:p>
            <w:pPr>
              <w:pStyle w:val="65"/>
              <w:rPr>
                <w:b/>
                <w:color w:val="auto"/>
                <w:sz w:val="20"/>
                <w:highlight w:val="none"/>
                <w:lang w:eastAsia="zh-CN"/>
              </w:rPr>
            </w:pPr>
          </w:p>
          <w:p>
            <w:pPr>
              <w:pStyle w:val="65"/>
              <w:rPr>
                <w:b/>
                <w:color w:val="auto"/>
                <w:sz w:val="20"/>
                <w:highlight w:val="none"/>
                <w:lang w:eastAsia="zh-CN"/>
              </w:rPr>
            </w:pPr>
          </w:p>
          <w:p>
            <w:pPr>
              <w:pStyle w:val="65"/>
              <w:rPr>
                <w:b/>
                <w:color w:val="auto"/>
                <w:sz w:val="20"/>
                <w:highlight w:val="none"/>
                <w:lang w:eastAsia="zh-CN"/>
              </w:rPr>
            </w:pPr>
          </w:p>
          <w:p>
            <w:pPr>
              <w:pStyle w:val="65"/>
              <w:spacing w:before="7"/>
              <w:rPr>
                <w:b/>
                <w:color w:val="auto"/>
                <w:sz w:val="17"/>
                <w:highlight w:val="none"/>
                <w:lang w:eastAsia="zh-CN"/>
              </w:rPr>
            </w:pPr>
          </w:p>
          <w:p>
            <w:pPr>
              <w:pStyle w:val="65"/>
              <w:spacing w:before="1"/>
              <w:ind w:left="325"/>
              <w:rPr>
                <w:rFonts w:hint="eastAsia" w:eastAsia="宋体"/>
                <w:color w:val="auto"/>
                <w:sz w:val="21"/>
                <w:highlight w:val="none"/>
                <w:lang w:eastAsia="zh-CN"/>
              </w:rPr>
            </w:pPr>
            <w:r>
              <w:rPr>
                <w:rFonts w:hint="eastAsia" w:ascii="Times New Roman" w:hAnsi="Times New Roman"/>
                <w:color w:val="auto"/>
                <w:sz w:val="21"/>
                <w:highlight w:val="none"/>
                <w:lang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0" w:hRule="atLeast"/>
        </w:trPr>
        <w:tc>
          <w:tcPr>
            <w:tcW w:w="1101" w:type="dxa"/>
            <w:vMerge w:val="continue"/>
            <w:tcBorders>
              <w:top w:val="nil"/>
            </w:tcBorders>
          </w:tcPr>
          <w:p>
            <w:pPr>
              <w:rPr>
                <w:color w:val="auto"/>
                <w:sz w:val="2"/>
                <w:szCs w:val="2"/>
                <w:highlight w:val="none"/>
              </w:rPr>
            </w:pPr>
          </w:p>
        </w:tc>
        <w:tc>
          <w:tcPr>
            <w:tcW w:w="6662" w:type="dxa"/>
          </w:tcPr>
          <w:p>
            <w:pPr>
              <w:pStyle w:val="65"/>
              <w:spacing w:before="106" w:line="357" w:lineRule="auto"/>
              <w:ind w:left="106" w:right="137"/>
              <w:rPr>
                <w:color w:val="auto"/>
                <w:sz w:val="21"/>
                <w:highlight w:val="none"/>
                <w:lang w:eastAsia="zh-CN"/>
              </w:rPr>
            </w:pPr>
            <w:r>
              <w:rPr>
                <w:color w:val="auto"/>
                <w:sz w:val="21"/>
                <w:highlight w:val="none"/>
                <w:lang w:eastAsia="zh-CN"/>
              </w:rPr>
              <w:t>电子文档归档（</w:t>
            </w:r>
            <w:r>
              <w:rPr>
                <w:color w:val="auto"/>
                <w:spacing w:val="-11"/>
                <w:sz w:val="21"/>
                <w:highlight w:val="none"/>
                <w:lang w:eastAsia="zh-CN"/>
              </w:rPr>
              <w:t xml:space="preserve">提供全套 </w:t>
            </w:r>
            <w:r>
              <w:rPr>
                <w:rFonts w:hint="eastAsia" w:ascii="Times New Roman" w:hAnsi="Times New Roman"/>
                <w:color w:val="auto"/>
                <w:sz w:val="21"/>
                <w:highlight w:val="none"/>
                <w:lang w:eastAsia="zh-CN"/>
              </w:rPr>
              <w:t>PDF</w:t>
            </w:r>
            <w:r>
              <w:rPr>
                <w:color w:val="auto"/>
                <w:spacing w:val="-8"/>
                <w:sz w:val="21"/>
                <w:highlight w:val="none"/>
                <w:lang w:eastAsia="zh-CN"/>
              </w:rPr>
              <w:t xml:space="preserve"> 格式施工图；在施工图出图阶段费用支</w:t>
            </w:r>
            <w:r>
              <w:rPr>
                <w:color w:val="auto"/>
                <w:spacing w:val="-12"/>
                <w:sz w:val="21"/>
                <w:highlight w:val="none"/>
                <w:lang w:eastAsia="zh-CN"/>
              </w:rPr>
              <w:t xml:space="preserve">付后，提供建筑平、立、剖 </w:t>
            </w:r>
            <w:r>
              <w:rPr>
                <w:rFonts w:hint="eastAsia" w:ascii="Times New Roman" w:hAnsi="Times New Roman"/>
                <w:color w:val="auto"/>
                <w:sz w:val="21"/>
                <w:highlight w:val="none"/>
                <w:lang w:eastAsia="zh-CN"/>
              </w:rPr>
              <w:t>DWG</w:t>
            </w:r>
            <w:r>
              <w:rPr>
                <w:color w:val="auto"/>
                <w:spacing w:val="-8"/>
                <w:sz w:val="21"/>
                <w:highlight w:val="none"/>
                <w:lang w:eastAsia="zh-CN"/>
              </w:rPr>
              <w:t xml:space="preserve"> 格式施工图,及主要部分墙身大样、结</w:t>
            </w:r>
            <w:r>
              <w:rPr>
                <w:color w:val="auto"/>
                <w:spacing w:val="-10"/>
                <w:sz w:val="21"/>
                <w:highlight w:val="none"/>
                <w:lang w:eastAsia="zh-CN"/>
              </w:rPr>
              <w:t xml:space="preserve">构平面图、梁板配筋图、设备平面图、设备系统图 </w:t>
            </w:r>
            <w:r>
              <w:rPr>
                <w:rFonts w:hint="eastAsia" w:ascii="Times New Roman" w:hAnsi="Times New Roman"/>
                <w:color w:val="auto"/>
                <w:sz w:val="21"/>
                <w:highlight w:val="none"/>
                <w:lang w:eastAsia="zh-CN"/>
              </w:rPr>
              <w:t>DWG</w:t>
            </w:r>
            <w:r>
              <w:rPr>
                <w:color w:val="auto"/>
                <w:spacing w:val="-10"/>
                <w:sz w:val="21"/>
                <w:highlight w:val="none"/>
                <w:lang w:eastAsia="zh-CN"/>
              </w:rPr>
              <w:t xml:space="preserve"> 格式电子文</w:t>
            </w:r>
          </w:p>
          <w:p>
            <w:pPr>
              <w:pStyle w:val="65"/>
              <w:spacing w:line="357" w:lineRule="auto"/>
              <w:ind w:left="106" w:right="243"/>
              <w:rPr>
                <w:color w:val="auto"/>
                <w:sz w:val="21"/>
                <w:highlight w:val="none"/>
                <w:lang w:eastAsia="zh-CN"/>
              </w:rPr>
            </w:pPr>
            <w:r>
              <w:rPr>
                <w:color w:val="auto"/>
                <w:w w:val="95"/>
                <w:sz w:val="21"/>
                <w:highlight w:val="none"/>
                <w:lang w:eastAsia="zh-CN"/>
              </w:rPr>
              <w:t>件；结构设计计算书；平面图设置单独的面积框线图层；施工图版效  果图以及施工图资料为基础的建筑素模，在图审通过及付清该阶段费</w:t>
            </w:r>
          </w:p>
          <w:p>
            <w:pPr>
              <w:pStyle w:val="65"/>
              <w:ind w:left="106"/>
              <w:rPr>
                <w:color w:val="auto"/>
                <w:sz w:val="21"/>
                <w:highlight w:val="none"/>
              </w:rPr>
            </w:pPr>
            <w:r>
              <w:rPr>
                <w:color w:val="auto"/>
                <w:sz w:val="21"/>
                <w:highlight w:val="none"/>
                <w:lang w:eastAsia="zh-CN"/>
              </w:rPr>
              <w:t>用后安排，且仅提供一次。</w:t>
            </w:r>
            <w:r>
              <w:rPr>
                <w:color w:val="auto"/>
                <w:sz w:val="21"/>
                <w:highlight w:val="none"/>
              </w:rPr>
              <w:t>）</w:t>
            </w:r>
          </w:p>
        </w:tc>
        <w:tc>
          <w:tcPr>
            <w:tcW w:w="862" w:type="dxa"/>
          </w:tcPr>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spacing w:before="5"/>
              <w:rPr>
                <w:b/>
                <w:color w:val="auto"/>
                <w:sz w:val="26"/>
                <w:highlight w:val="none"/>
              </w:rPr>
            </w:pPr>
          </w:p>
          <w:p>
            <w:pPr>
              <w:pStyle w:val="65"/>
              <w:ind w:left="378"/>
              <w:rPr>
                <w:rFonts w:hint="eastAsia" w:eastAsia="宋体"/>
                <w:color w:val="auto"/>
                <w:sz w:val="21"/>
                <w:highlight w:val="none"/>
                <w:lang w:eastAsia="zh-CN"/>
              </w:rPr>
            </w:pPr>
            <w:r>
              <w:rPr>
                <w:rFonts w:hint="eastAsia" w:ascii="Times New Roman" w:hAnsi="Times New Roman"/>
                <w:color w:val="auto"/>
                <w:w w:val="99"/>
                <w:sz w:val="21"/>
                <w:highlight w:val="none"/>
                <w:lang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7" w:hRule="atLeast"/>
        </w:trPr>
        <w:tc>
          <w:tcPr>
            <w:tcW w:w="1101" w:type="dxa"/>
          </w:tcPr>
          <w:p>
            <w:pPr>
              <w:pStyle w:val="65"/>
              <w:rPr>
                <w:b/>
                <w:color w:val="auto"/>
                <w:sz w:val="20"/>
                <w:highlight w:val="none"/>
                <w:lang w:eastAsia="zh-CN"/>
              </w:rPr>
            </w:pPr>
          </w:p>
          <w:p>
            <w:pPr>
              <w:pStyle w:val="65"/>
              <w:rPr>
                <w:b/>
                <w:color w:val="auto"/>
                <w:sz w:val="20"/>
                <w:highlight w:val="none"/>
                <w:lang w:eastAsia="zh-CN"/>
              </w:rPr>
            </w:pPr>
          </w:p>
          <w:p>
            <w:pPr>
              <w:pStyle w:val="65"/>
              <w:spacing w:before="1"/>
              <w:rPr>
                <w:b/>
                <w:color w:val="auto"/>
                <w:sz w:val="15"/>
                <w:highlight w:val="none"/>
                <w:lang w:eastAsia="zh-CN"/>
              </w:rPr>
            </w:pPr>
          </w:p>
          <w:p>
            <w:pPr>
              <w:pStyle w:val="65"/>
              <w:ind w:left="130"/>
              <w:rPr>
                <w:color w:val="auto"/>
                <w:sz w:val="21"/>
                <w:highlight w:val="none"/>
                <w:lang w:eastAsia="zh-CN"/>
              </w:rPr>
            </w:pPr>
            <w:r>
              <w:rPr>
                <w:color w:val="auto"/>
                <w:sz w:val="21"/>
                <w:highlight w:val="none"/>
                <w:lang w:eastAsia="zh-CN"/>
              </w:rPr>
              <w:t>后期服务</w:t>
            </w:r>
          </w:p>
          <w:p>
            <w:pPr>
              <w:pStyle w:val="65"/>
              <w:spacing w:before="132" w:line="357" w:lineRule="auto"/>
              <w:ind w:left="338" w:right="121" w:hanging="209"/>
              <w:rPr>
                <w:color w:val="auto"/>
                <w:sz w:val="21"/>
                <w:highlight w:val="none"/>
                <w:lang w:eastAsia="zh-CN"/>
              </w:rPr>
            </w:pPr>
            <w:r>
              <w:rPr>
                <w:color w:val="auto"/>
                <w:sz w:val="21"/>
                <w:highlight w:val="none"/>
                <w:lang w:eastAsia="zh-CN"/>
              </w:rPr>
              <w:t>（工作量占比</w:t>
            </w:r>
            <w:r>
              <w:rPr>
                <w:rFonts w:hint="eastAsia" w:ascii="Times New Roman" w:hAnsi="Times New Roman"/>
                <w:color w:val="auto"/>
                <w:sz w:val="21"/>
                <w:highlight w:val="none"/>
                <w:lang w:eastAsia="zh-CN"/>
              </w:rPr>
              <w:t>5</w:t>
            </w:r>
            <w:r>
              <w:rPr>
                <w:color w:val="auto"/>
                <w:sz w:val="21"/>
                <w:highlight w:val="none"/>
                <w:lang w:eastAsia="zh-CN"/>
              </w:rPr>
              <w:t>%）</w:t>
            </w:r>
          </w:p>
        </w:tc>
        <w:tc>
          <w:tcPr>
            <w:tcW w:w="6662" w:type="dxa"/>
          </w:tcPr>
          <w:p>
            <w:pPr>
              <w:pStyle w:val="65"/>
              <w:spacing w:before="106"/>
              <w:ind w:left="526"/>
              <w:rPr>
                <w:color w:val="auto"/>
                <w:sz w:val="21"/>
                <w:highlight w:val="none"/>
                <w:lang w:eastAsia="zh-CN"/>
              </w:rPr>
            </w:pPr>
            <w:r>
              <w:rPr>
                <w:color w:val="auto"/>
                <w:sz w:val="21"/>
                <w:highlight w:val="none"/>
                <w:lang w:eastAsia="zh-CN"/>
              </w:rPr>
              <w:t>在项目设计、营造阶段，乙方应提供以下服务支持：</w:t>
            </w:r>
          </w:p>
          <w:p>
            <w:pPr>
              <w:pStyle w:val="65"/>
              <w:numPr>
                <w:ilvl w:val="0"/>
                <w:numId w:val="10"/>
              </w:numPr>
              <w:tabs>
                <w:tab w:val="left" w:pos="526"/>
                <w:tab w:val="left" w:pos="527"/>
              </w:tabs>
              <w:spacing w:before="131"/>
              <w:ind w:hanging="421"/>
              <w:rPr>
                <w:color w:val="auto"/>
                <w:sz w:val="21"/>
                <w:highlight w:val="none"/>
                <w:lang w:eastAsia="zh-CN"/>
              </w:rPr>
            </w:pPr>
            <w:r>
              <w:rPr>
                <w:color w:val="auto"/>
                <w:sz w:val="21"/>
                <w:highlight w:val="none"/>
                <w:lang w:eastAsia="zh-CN"/>
              </w:rPr>
              <w:t>乙方完成立面控制手册；</w:t>
            </w:r>
          </w:p>
          <w:p>
            <w:pPr>
              <w:pStyle w:val="65"/>
              <w:numPr>
                <w:ilvl w:val="0"/>
                <w:numId w:val="10"/>
              </w:numPr>
              <w:tabs>
                <w:tab w:val="left" w:pos="526"/>
                <w:tab w:val="left" w:pos="527"/>
              </w:tabs>
              <w:spacing w:before="130" w:line="355" w:lineRule="auto"/>
              <w:ind w:right="245"/>
              <w:rPr>
                <w:color w:val="auto"/>
                <w:sz w:val="21"/>
                <w:highlight w:val="none"/>
                <w:lang w:eastAsia="zh-CN"/>
              </w:rPr>
            </w:pPr>
            <w:r>
              <w:rPr>
                <w:color w:val="auto"/>
                <w:w w:val="95"/>
                <w:sz w:val="21"/>
                <w:highlight w:val="none"/>
                <w:lang w:eastAsia="zh-CN"/>
              </w:rPr>
              <w:t xml:space="preserve">乙方项目设计负责人及主要专业负责人按甲方要求出席甲方组织 </w:t>
            </w:r>
            <w:r>
              <w:rPr>
                <w:color w:val="auto"/>
                <w:sz w:val="21"/>
                <w:highlight w:val="none"/>
                <w:lang w:eastAsia="zh-CN"/>
              </w:rPr>
              <w:t>的产品说明会、客户座谈会等会议；</w:t>
            </w:r>
          </w:p>
          <w:p>
            <w:pPr>
              <w:pStyle w:val="65"/>
              <w:numPr>
                <w:ilvl w:val="0"/>
                <w:numId w:val="10"/>
              </w:numPr>
              <w:tabs>
                <w:tab w:val="left" w:pos="526"/>
                <w:tab w:val="left" w:pos="527"/>
              </w:tabs>
              <w:spacing w:before="2"/>
              <w:ind w:hanging="421"/>
              <w:rPr>
                <w:color w:val="auto"/>
                <w:sz w:val="21"/>
                <w:highlight w:val="none"/>
                <w:lang w:eastAsia="zh-CN"/>
              </w:rPr>
            </w:pPr>
            <w:r>
              <w:rPr>
                <w:color w:val="auto"/>
                <w:sz w:val="21"/>
                <w:highlight w:val="none"/>
                <w:lang w:eastAsia="zh-CN"/>
              </w:rPr>
              <w:t>参加与设计成果有关的各类各阶段的评审、汇报、交底等会议；</w:t>
            </w:r>
          </w:p>
          <w:p>
            <w:pPr>
              <w:pStyle w:val="65"/>
              <w:numPr>
                <w:ilvl w:val="0"/>
                <w:numId w:val="10"/>
              </w:numPr>
              <w:tabs>
                <w:tab w:val="left" w:pos="526"/>
                <w:tab w:val="left" w:pos="527"/>
              </w:tabs>
              <w:spacing w:before="1" w:line="400" w:lineRule="atLeast"/>
              <w:ind w:right="139"/>
              <w:rPr>
                <w:color w:val="auto"/>
                <w:sz w:val="21"/>
                <w:highlight w:val="none"/>
                <w:lang w:eastAsia="zh-CN"/>
              </w:rPr>
            </w:pPr>
            <w:r>
              <w:rPr>
                <w:color w:val="auto"/>
                <w:w w:val="95"/>
                <w:sz w:val="21"/>
                <w:highlight w:val="none"/>
                <w:lang w:eastAsia="zh-CN"/>
              </w:rPr>
              <w:t xml:space="preserve">协助甲方进行方案报建前期咨询工作,提供报建方案设计成果文本 </w:t>
            </w:r>
            <w:r>
              <w:rPr>
                <w:color w:val="auto"/>
                <w:sz w:val="21"/>
                <w:highlight w:val="none"/>
                <w:lang w:eastAsia="zh-CN"/>
              </w:rPr>
              <w:t>及电子文件。根据送审意见，进行调整完善，协助甲方完成方案</w:t>
            </w:r>
          </w:p>
        </w:tc>
        <w:tc>
          <w:tcPr>
            <w:tcW w:w="862" w:type="dxa"/>
          </w:tcPr>
          <w:p>
            <w:pPr>
              <w:pStyle w:val="65"/>
              <w:rPr>
                <w:b/>
                <w:color w:val="auto"/>
                <w:sz w:val="20"/>
                <w:highlight w:val="none"/>
                <w:lang w:eastAsia="zh-CN"/>
              </w:rPr>
            </w:pPr>
          </w:p>
          <w:p>
            <w:pPr>
              <w:pStyle w:val="65"/>
              <w:rPr>
                <w:b/>
                <w:color w:val="auto"/>
                <w:sz w:val="20"/>
                <w:highlight w:val="none"/>
                <w:lang w:eastAsia="zh-CN"/>
              </w:rPr>
            </w:pPr>
          </w:p>
          <w:p>
            <w:pPr>
              <w:pStyle w:val="65"/>
              <w:rPr>
                <w:b/>
                <w:color w:val="auto"/>
                <w:sz w:val="20"/>
                <w:highlight w:val="none"/>
                <w:lang w:eastAsia="zh-CN"/>
              </w:rPr>
            </w:pPr>
          </w:p>
          <w:p>
            <w:pPr>
              <w:pStyle w:val="65"/>
              <w:rPr>
                <w:b/>
                <w:color w:val="auto"/>
                <w:sz w:val="20"/>
                <w:highlight w:val="none"/>
                <w:lang w:eastAsia="zh-CN"/>
              </w:rPr>
            </w:pPr>
          </w:p>
          <w:p>
            <w:pPr>
              <w:pStyle w:val="65"/>
              <w:spacing w:before="12"/>
              <w:rPr>
                <w:b/>
                <w:color w:val="auto"/>
                <w:sz w:val="21"/>
                <w:highlight w:val="none"/>
                <w:lang w:eastAsia="zh-CN"/>
              </w:rPr>
            </w:pPr>
          </w:p>
          <w:p>
            <w:pPr>
              <w:pStyle w:val="65"/>
              <w:ind w:left="378"/>
              <w:rPr>
                <w:color w:val="auto"/>
                <w:sz w:val="21"/>
                <w:highlight w:val="none"/>
              </w:rPr>
            </w:pPr>
            <w:r>
              <w:rPr>
                <w:color w:val="auto"/>
                <w:w w:val="99"/>
                <w:sz w:val="21"/>
                <w:highlight w:val="none"/>
              </w:rPr>
              <w:t>/</w:t>
            </w:r>
          </w:p>
        </w:tc>
      </w:tr>
    </w:tbl>
    <w:p>
      <w:pPr>
        <w:rPr>
          <w:color w:val="auto"/>
          <w:sz w:val="21"/>
          <w:highlight w:val="none"/>
        </w:rPr>
        <w:sectPr>
          <w:pgSz w:w="11849" w:h="16792"/>
          <w:pgMar w:top="1417" w:right="850" w:bottom="1417" w:left="850" w:header="850" w:footer="850" w:gutter="0"/>
          <w:pgBorders>
            <w:top w:val="none" w:sz="0" w:space="0"/>
            <w:left w:val="none" w:sz="0" w:space="0"/>
            <w:bottom w:val="none" w:sz="0" w:space="0"/>
            <w:right w:val="none" w:sz="0" w:space="0"/>
          </w:pgBorders>
          <w:pgNumType w:fmt="decimal"/>
          <w:cols w:space="0" w:num="1"/>
          <w:rtlGutter w:val="0"/>
          <w:docGrid w:linePitch="0" w:charSpace="0"/>
        </w:sectPr>
      </w:pPr>
    </w:p>
    <w:tbl>
      <w:tblPr>
        <w:tblStyle w:val="104"/>
        <w:tblW w:w="0" w:type="auto"/>
        <w:tblInd w:w="7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1"/>
        <w:gridCol w:w="6662"/>
        <w:gridCol w:w="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0" w:hRule="atLeast"/>
        </w:trPr>
        <w:tc>
          <w:tcPr>
            <w:tcW w:w="1101" w:type="dxa"/>
          </w:tcPr>
          <w:p>
            <w:pPr>
              <w:pStyle w:val="65"/>
              <w:rPr>
                <w:rFonts w:ascii="Times New Roman"/>
                <w:color w:val="auto"/>
                <w:sz w:val="20"/>
                <w:highlight w:val="none"/>
              </w:rPr>
            </w:pPr>
          </w:p>
        </w:tc>
        <w:tc>
          <w:tcPr>
            <w:tcW w:w="6662" w:type="dxa"/>
          </w:tcPr>
          <w:p>
            <w:pPr>
              <w:pStyle w:val="65"/>
              <w:spacing w:before="107"/>
              <w:ind w:left="526"/>
              <w:rPr>
                <w:color w:val="auto"/>
                <w:sz w:val="21"/>
                <w:highlight w:val="none"/>
              </w:rPr>
            </w:pPr>
            <w:r>
              <w:rPr>
                <w:color w:val="auto"/>
                <w:sz w:val="21"/>
                <w:highlight w:val="none"/>
              </w:rPr>
              <w:t>报建工作；</w:t>
            </w:r>
          </w:p>
          <w:p>
            <w:pPr>
              <w:pStyle w:val="65"/>
              <w:numPr>
                <w:ilvl w:val="0"/>
                <w:numId w:val="11"/>
              </w:numPr>
              <w:tabs>
                <w:tab w:val="left" w:pos="527"/>
              </w:tabs>
              <w:spacing w:before="130" w:line="355" w:lineRule="auto"/>
              <w:ind w:right="245"/>
              <w:jc w:val="both"/>
              <w:rPr>
                <w:color w:val="auto"/>
                <w:sz w:val="21"/>
                <w:highlight w:val="none"/>
                <w:lang w:eastAsia="zh-CN"/>
              </w:rPr>
            </w:pPr>
            <w:r>
              <w:rPr>
                <w:color w:val="auto"/>
                <w:w w:val="95"/>
                <w:sz w:val="21"/>
                <w:highlight w:val="none"/>
                <w:lang w:eastAsia="zh-CN"/>
              </w:rPr>
              <w:t xml:space="preserve">依据批复意见进行各专业的初步设计，提供各专业初步设计成果 文本及电子文件。根据送审意见，进行调整完善，协助甲方完成 </w:t>
            </w:r>
            <w:r>
              <w:rPr>
                <w:color w:val="auto"/>
                <w:sz w:val="21"/>
                <w:highlight w:val="none"/>
                <w:lang w:eastAsia="zh-CN"/>
              </w:rPr>
              <w:t>初步设计报建工作；</w:t>
            </w:r>
          </w:p>
          <w:p>
            <w:pPr>
              <w:pStyle w:val="65"/>
              <w:numPr>
                <w:ilvl w:val="0"/>
                <w:numId w:val="11"/>
              </w:numPr>
              <w:tabs>
                <w:tab w:val="left" w:pos="527"/>
              </w:tabs>
              <w:spacing w:before="5" w:line="355" w:lineRule="auto"/>
              <w:ind w:right="245"/>
              <w:jc w:val="both"/>
              <w:rPr>
                <w:color w:val="auto"/>
                <w:sz w:val="21"/>
                <w:highlight w:val="none"/>
                <w:lang w:eastAsia="zh-CN"/>
              </w:rPr>
            </w:pPr>
            <w:r>
              <w:rPr>
                <w:color w:val="auto"/>
                <w:w w:val="95"/>
                <w:sz w:val="21"/>
                <w:highlight w:val="none"/>
                <w:lang w:eastAsia="zh-CN"/>
              </w:rPr>
              <w:t xml:space="preserve">营造阶段，乙方项目负责人及主要建筑设计师应参与建筑外立面 效果管控工作。提供单体建筑外立面控制手册、样板墙先行深化 图纸，配合甲方进行建筑外立面材料选择、立面深化图纸审核、 样板墙评审等工作，及时提供施工现场所需的与立面相关的设计 </w:t>
            </w:r>
            <w:r>
              <w:rPr>
                <w:color w:val="auto"/>
                <w:sz w:val="21"/>
                <w:highlight w:val="none"/>
                <w:lang w:eastAsia="zh-CN"/>
              </w:rPr>
              <w:t>补充或变更，参与关键环节立面相关验收；</w:t>
            </w:r>
          </w:p>
          <w:p>
            <w:pPr>
              <w:pStyle w:val="65"/>
              <w:numPr>
                <w:ilvl w:val="0"/>
                <w:numId w:val="11"/>
              </w:numPr>
              <w:tabs>
                <w:tab w:val="left" w:pos="526"/>
                <w:tab w:val="left" w:pos="527"/>
              </w:tabs>
              <w:spacing w:before="7" w:line="355" w:lineRule="auto"/>
              <w:ind w:right="245"/>
              <w:rPr>
                <w:color w:val="auto"/>
                <w:sz w:val="21"/>
                <w:highlight w:val="none"/>
                <w:lang w:eastAsia="zh-CN"/>
              </w:rPr>
            </w:pPr>
            <w:r>
              <w:rPr>
                <w:color w:val="auto"/>
                <w:sz w:val="21"/>
                <w:highlight w:val="none"/>
                <w:lang w:eastAsia="zh-CN"/>
              </w:rPr>
              <w:t xml:space="preserve">设计及营造阶段，项目设计负责人及主要建筑设计师应参与景 </w:t>
            </w:r>
            <w:r>
              <w:rPr>
                <w:color w:val="auto"/>
                <w:w w:val="95"/>
                <w:sz w:val="21"/>
                <w:highlight w:val="none"/>
                <w:lang w:eastAsia="zh-CN"/>
              </w:rPr>
              <w:t xml:space="preserve">观、室内等其他相关专业的设计图纸评审，协助甲方审核门窗幕 </w:t>
            </w:r>
            <w:r>
              <w:rPr>
                <w:color w:val="auto"/>
                <w:sz w:val="21"/>
                <w:highlight w:val="none"/>
                <w:lang w:eastAsia="zh-CN"/>
              </w:rPr>
              <w:t>墙、灯光、标识等专项设计成果；</w:t>
            </w:r>
          </w:p>
          <w:p>
            <w:pPr>
              <w:pStyle w:val="65"/>
              <w:numPr>
                <w:ilvl w:val="0"/>
                <w:numId w:val="11"/>
              </w:numPr>
              <w:tabs>
                <w:tab w:val="left" w:pos="526"/>
                <w:tab w:val="left" w:pos="527"/>
              </w:tabs>
              <w:spacing w:before="4" w:line="357" w:lineRule="auto"/>
              <w:ind w:right="245"/>
              <w:rPr>
                <w:color w:val="auto"/>
                <w:sz w:val="21"/>
                <w:highlight w:val="none"/>
                <w:lang w:eastAsia="zh-CN"/>
              </w:rPr>
            </w:pPr>
            <w:r>
              <w:rPr>
                <w:color w:val="auto"/>
                <w:w w:val="95"/>
                <w:sz w:val="21"/>
                <w:highlight w:val="none"/>
                <w:lang w:eastAsia="zh-CN"/>
              </w:rPr>
              <w:t xml:space="preserve">乙方项目设计负责人应参与销售沙盘效果把控、不利因素文件审 </w:t>
            </w:r>
            <w:r>
              <w:rPr>
                <w:color w:val="auto"/>
                <w:sz w:val="21"/>
                <w:highlight w:val="none"/>
                <w:lang w:eastAsia="zh-CN"/>
              </w:rPr>
              <w:t>核等。</w:t>
            </w:r>
          </w:p>
          <w:p>
            <w:pPr>
              <w:pStyle w:val="65"/>
              <w:numPr>
                <w:ilvl w:val="0"/>
                <w:numId w:val="11"/>
              </w:numPr>
              <w:tabs>
                <w:tab w:val="left" w:pos="527"/>
              </w:tabs>
              <w:spacing w:line="357" w:lineRule="auto"/>
              <w:ind w:right="245"/>
              <w:jc w:val="both"/>
              <w:rPr>
                <w:color w:val="auto"/>
                <w:sz w:val="21"/>
                <w:highlight w:val="none"/>
                <w:lang w:eastAsia="zh-CN"/>
              </w:rPr>
            </w:pPr>
            <w:r>
              <w:rPr>
                <w:color w:val="auto"/>
                <w:w w:val="95"/>
                <w:sz w:val="21"/>
                <w:highlight w:val="none"/>
                <w:lang w:eastAsia="zh-CN"/>
              </w:rPr>
              <w:t xml:space="preserve">为《住宅质量保证书》、《住宅使用说明书》、《管线分布竣工 图（水、强弱电、结构等）》、住宅销售合同附图等所涉及的图 纸以及项目销售所需的房型图、平面、文字说明等工作提供绘图 </w:t>
            </w:r>
            <w:r>
              <w:rPr>
                <w:color w:val="auto"/>
                <w:sz w:val="21"/>
                <w:highlight w:val="none"/>
                <w:lang w:eastAsia="zh-CN"/>
              </w:rPr>
              <w:t>等技术支持服务；</w:t>
            </w:r>
          </w:p>
          <w:p>
            <w:pPr>
              <w:pStyle w:val="65"/>
              <w:spacing w:line="266" w:lineRule="exact"/>
              <w:ind w:left="106"/>
              <w:rPr>
                <w:color w:val="auto"/>
                <w:sz w:val="21"/>
                <w:highlight w:val="none"/>
                <w:lang w:eastAsia="zh-CN"/>
              </w:rPr>
            </w:pPr>
            <w:r>
              <w:rPr>
                <w:color w:val="auto"/>
                <w:sz w:val="21"/>
                <w:highlight w:val="none"/>
                <w:lang w:eastAsia="zh-CN"/>
              </w:rPr>
              <w:t>乙方项目设计负责人组织各专业设计人员参加相关的工程验收工作。</w:t>
            </w:r>
          </w:p>
        </w:tc>
        <w:tc>
          <w:tcPr>
            <w:tcW w:w="862" w:type="dxa"/>
          </w:tcPr>
          <w:p>
            <w:pPr>
              <w:pStyle w:val="65"/>
              <w:rPr>
                <w:rFonts w:ascii="Times New Roman"/>
                <w:color w:val="auto"/>
                <w:sz w:val="20"/>
                <w:highlight w:val="none"/>
                <w:lang w:eastAsia="zh-CN"/>
              </w:rPr>
            </w:pPr>
          </w:p>
        </w:tc>
      </w:tr>
    </w:tbl>
    <w:p>
      <w:pPr>
        <w:spacing w:line="266" w:lineRule="exact"/>
        <w:ind w:left="820"/>
        <w:rPr>
          <w:color w:val="auto"/>
          <w:sz w:val="21"/>
          <w:highlight w:val="none"/>
          <w:lang w:eastAsia="zh-CN"/>
        </w:rPr>
      </w:pPr>
      <w:r>
        <w:rPr>
          <w:color w:val="auto"/>
          <w:sz w:val="21"/>
          <w:highlight w:val="none"/>
          <w:lang w:eastAsia="zh-CN"/>
        </w:rPr>
        <w:t>备注：</w:t>
      </w:r>
    </w:p>
    <w:p>
      <w:pPr>
        <w:spacing w:before="4" w:line="242" w:lineRule="auto"/>
        <w:ind w:left="820" w:right="829" w:firstLine="420"/>
        <w:jc w:val="both"/>
        <w:rPr>
          <w:color w:val="auto"/>
          <w:sz w:val="21"/>
          <w:highlight w:val="none"/>
          <w:lang w:eastAsia="zh-CN"/>
        </w:rPr>
      </w:pPr>
      <w:r>
        <w:rPr>
          <w:color w:val="auto"/>
          <w:w w:val="95"/>
          <w:sz w:val="21"/>
          <w:highlight w:val="none"/>
          <w:lang w:eastAsia="zh-CN"/>
        </w:rPr>
        <w:t xml:space="preserve">如建筑设计过程中，因非乙方原因造成项目重大设计修改、方案或施工图未落地、项目   暂停或终止时，需根据乙方实际已完成工作量对设计费进行核算，建筑设计占设计总包合同   </w:t>
      </w:r>
      <w:r>
        <w:rPr>
          <w:color w:val="auto"/>
          <w:spacing w:val="-8"/>
          <w:sz w:val="21"/>
          <w:highlight w:val="none"/>
          <w:lang w:eastAsia="zh-CN"/>
        </w:rPr>
        <w:t xml:space="preserve">总额工作量的 </w:t>
      </w:r>
      <w:r>
        <w:rPr>
          <w:rFonts w:hint="eastAsia" w:ascii="Times New Roman" w:hAnsi="Times New Roman" w:eastAsia="Times New Roman"/>
          <w:color w:val="auto"/>
          <w:sz w:val="21"/>
          <w:highlight w:val="none"/>
          <w:lang w:eastAsia="zh-CN"/>
        </w:rPr>
        <w:t>50</w:t>
      </w:r>
      <w:r>
        <w:rPr>
          <w:rFonts w:ascii="Times New Roman" w:eastAsia="Times New Roman"/>
          <w:color w:val="auto"/>
          <w:sz w:val="21"/>
          <w:highlight w:val="none"/>
          <w:lang w:eastAsia="zh-CN"/>
        </w:rPr>
        <w:t>%</w:t>
      </w:r>
      <w:r>
        <w:rPr>
          <w:color w:val="auto"/>
          <w:sz w:val="21"/>
          <w:highlight w:val="none"/>
          <w:lang w:eastAsia="zh-CN"/>
        </w:rPr>
        <w:t>。</w:t>
      </w:r>
    </w:p>
    <w:p>
      <w:pPr>
        <w:pStyle w:val="17"/>
        <w:ind w:left="0"/>
        <w:rPr>
          <w:color w:val="auto"/>
          <w:highlight w:val="none"/>
          <w:lang w:eastAsia="zh-CN"/>
        </w:rPr>
      </w:pPr>
    </w:p>
    <w:p>
      <w:pPr>
        <w:pStyle w:val="17"/>
        <w:spacing w:before="10"/>
        <w:ind w:left="0"/>
        <w:rPr>
          <w:color w:val="auto"/>
          <w:sz w:val="17"/>
          <w:highlight w:val="none"/>
          <w:lang w:eastAsia="zh-CN"/>
        </w:rPr>
      </w:pPr>
    </w:p>
    <w:p>
      <w:pPr>
        <w:ind w:left="375" w:right="6782"/>
        <w:jc w:val="center"/>
        <w:rPr>
          <w:b/>
          <w:color w:val="auto"/>
          <w:sz w:val="21"/>
          <w:highlight w:val="none"/>
          <w:lang w:eastAsia="zh-CN"/>
        </w:rPr>
      </w:pPr>
      <w:r>
        <w:rPr>
          <w:rFonts w:hint="eastAsia" w:ascii="Times New Roman" w:hAnsi="Times New Roman"/>
          <w:b/>
          <w:color w:val="auto"/>
          <w:sz w:val="21"/>
          <w:highlight w:val="none"/>
          <w:lang w:eastAsia="zh-CN"/>
        </w:rPr>
        <w:t>2</w:t>
      </w:r>
      <w:r>
        <w:rPr>
          <w:b/>
          <w:color w:val="auto"/>
          <w:sz w:val="21"/>
          <w:highlight w:val="none"/>
          <w:lang w:eastAsia="zh-CN"/>
        </w:rPr>
        <w:t>、景观专项设计内容</w:t>
      </w:r>
    </w:p>
    <w:p>
      <w:pPr>
        <w:spacing w:before="132"/>
        <w:ind w:left="409"/>
        <w:jc w:val="center"/>
        <w:rPr>
          <w:color w:val="auto"/>
          <w:sz w:val="21"/>
          <w:highlight w:val="none"/>
          <w:lang w:eastAsia="zh-CN"/>
        </w:rPr>
      </w:pPr>
      <w:r>
        <w:rPr>
          <w:color w:val="auto"/>
          <w:sz w:val="21"/>
          <w:highlight w:val="none"/>
          <w:lang w:eastAsia="zh-CN"/>
        </w:rPr>
        <w:t>用地红线范围内所有室外公共区域（含建筑架空层地面景观、屋顶花园），建筑灰空间</w:t>
      </w:r>
    </w:p>
    <w:p>
      <w:pPr>
        <w:spacing w:before="132" w:after="20"/>
        <w:ind w:left="375" w:right="1012"/>
        <w:jc w:val="center"/>
        <w:rPr>
          <w:color w:val="auto"/>
          <w:sz w:val="21"/>
          <w:highlight w:val="none"/>
          <w:lang w:eastAsia="zh-CN"/>
        </w:rPr>
      </w:pPr>
      <w:r>
        <w:rPr>
          <w:color w:val="auto"/>
          <w:sz w:val="21"/>
          <w:highlight w:val="none"/>
          <w:lang w:eastAsia="zh-CN"/>
        </w:rPr>
        <w:t>（含建筑入口、门廊区域）；红线外甲方指定区域（看项目，有些示范区在红线外）</w:t>
      </w:r>
    </w:p>
    <w:tbl>
      <w:tblPr>
        <w:tblStyle w:val="104"/>
        <w:tblW w:w="0" w:type="auto"/>
        <w:tblInd w:w="7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1"/>
        <w:gridCol w:w="6662"/>
        <w:gridCol w:w="8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101" w:type="dxa"/>
          </w:tcPr>
          <w:p>
            <w:pPr>
              <w:pStyle w:val="65"/>
              <w:spacing w:before="109"/>
              <w:ind w:left="128" w:right="121"/>
              <w:jc w:val="center"/>
              <w:rPr>
                <w:b/>
                <w:color w:val="auto"/>
                <w:sz w:val="21"/>
                <w:highlight w:val="none"/>
              </w:rPr>
            </w:pPr>
            <w:r>
              <w:rPr>
                <w:b/>
                <w:color w:val="auto"/>
                <w:sz w:val="21"/>
                <w:highlight w:val="none"/>
              </w:rPr>
              <w:t>阶段</w:t>
            </w:r>
          </w:p>
        </w:tc>
        <w:tc>
          <w:tcPr>
            <w:tcW w:w="6662" w:type="dxa"/>
          </w:tcPr>
          <w:p>
            <w:pPr>
              <w:pStyle w:val="65"/>
              <w:spacing w:before="109"/>
              <w:ind w:left="2572" w:right="2564"/>
              <w:jc w:val="center"/>
              <w:rPr>
                <w:b/>
                <w:color w:val="auto"/>
                <w:sz w:val="21"/>
                <w:highlight w:val="none"/>
              </w:rPr>
            </w:pPr>
            <w:r>
              <w:rPr>
                <w:b/>
                <w:color w:val="auto"/>
                <w:sz w:val="21"/>
                <w:highlight w:val="none"/>
              </w:rPr>
              <w:t>设计内容及范围</w:t>
            </w:r>
          </w:p>
        </w:tc>
        <w:tc>
          <w:tcPr>
            <w:tcW w:w="884" w:type="dxa"/>
          </w:tcPr>
          <w:p>
            <w:pPr>
              <w:pStyle w:val="65"/>
              <w:spacing w:before="109"/>
              <w:ind w:left="88" w:right="83"/>
              <w:jc w:val="center"/>
              <w:rPr>
                <w:b/>
                <w:color w:val="auto"/>
                <w:sz w:val="21"/>
                <w:highlight w:val="none"/>
              </w:rPr>
            </w:pPr>
            <w:r>
              <w:rPr>
                <w:b/>
                <w:color w:val="auto"/>
                <w:sz w:val="21"/>
                <w:highlight w:val="none"/>
              </w:rPr>
              <w:t>份数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7" w:hRule="atLeast"/>
        </w:trPr>
        <w:tc>
          <w:tcPr>
            <w:tcW w:w="1101" w:type="dxa"/>
          </w:tcPr>
          <w:p>
            <w:pPr>
              <w:pStyle w:val="65"/>
              <w:rPr>
                <w:color w:val="auto"/>
                <w:sz w:val="20"/>
                <w:highlight w:val="none"/>
              </w:rPr>
            </w:pPr>
          </w:p>
          <w:p>
            <w:pPr>
              <w:pStyle w:val="65"/>
              <w:rPr>
                <w:color w:val="auto"/>
                <w:sz w:val="20"/>
                <w:highlight w:val="none"/>
              </w:rPr>
            </w:pPr>
          </w:p>
          <w:p>
            <w:pPr>
              <w:pStyle w:val="65"/>
              <w:rPr>
                <w:color w:val="auto"/>
                <w:sz w:val="20"/>
                <w:highlight w:val="none"/>
              </w:rPr>
            </w:pPr>
          </w:p>
          <w:p>
            <w:pPr>
              <w:pStyle w:val="65"/>
              <w:rPr>
                <w:color w:val="auto"/>
                <w:sz w:val="20"/>
                <w:highlight w:val="none"/>
              </w:rPr>
            </w:pPr>
          </w:p>
          <w:p>
            <w:pPr>
              <w:pStyle w:val="65"/>
              <w:rPr>
                <w:color w:val="auto"/>
                <w:sz w:val="20"/>
                <w:highlight w:val="none"/>
              </w:rPr>
            </w:pPr>
          </w:p>
          <w:p>
            <w:pPr>
              <w:pStyle w:val="65"/>
              <w:spacing w:before="11"/>
              <w:rPr>
                <w:color w:val="auto"/>
                <w:sz w:val="17"/>
                <w:highlight w:val="none"/>
              </w:rPr>
            </w:pPr>
          </w:p>
          <w:p>
            <w:pPr>
              <w:pStyle w:val="65"/>
              <w:spacing w:before="1"/>
              <w:ind w:left="89" w:right="82"/>
              <w:jc w:val="center"/>
              <w:rPr>
                <w:color w:val="auto"/>
                <w:sz w:val="21"/>
                <w:highlight w:val="none"/>
              </w:rPr>
            </w:pPr>
            <w:r>
              <w:rPr>
                <w:color w:val="auto"/>
                <w:sz w:val="21"/>
                <w:highlight w:val="none"/>
              </w:rPr>
              <w:t>概念方案</w:t>
            </w:r>
          </w:p>
        </w:tc>
        <w:tc>
          <w:tcPr>
            <w:tcW w:w="6662" w:type="dxa"/>
          </w:tcPr>
          <w:p>
            <w:pPr>
              <w:pStyle w:val="65"/>
              <w:spacing w:before="109"/>
              <w:ind w:left="106"/>
              <w:rPr>
                <w:color w:val="auto"/>
                <w:sz w:val="21"/>
                <w:highlight w:val="none"/>
              </w:rPr>
            </w:pPr>
            <w:r>
              <w:rPr>
                <w:color w:val="auto"/>
                <w:sz w:val="21"/>
                <w:highlight w:val="none"/>
              </w:rPr>
              <w:t>设计内容：</w:t>
            </w:r>
          </w:p>
          <w:p>
            <w:pPr>
              <w:pStyle w:val="65"/>
              <w:numPr>
                <w:ilvl w:val="0"/>
                <w:numId w:val="12"/>
              </w:numPr>
              <w:tabs>
                <w:tab w:val="left" w:pos="526"/>
                <w:tab w:val="left" w:pos="527"/>
              </w:tabs>
              <w:spacing w:before="131"/>
              <w:ind w:hanging="421"/>
              <w:rPr>
                <w:color w:val="auto"/>
                <w:sz w:val="21"/>
                <w:highlight w:val="none"/>
                <w:lang w:eastAsia="zh-CN"/>
              </w:rPr>
            </w:pPr>
            <w:r>
              <w:rPr>
                <w:color w:val="auto"/>
                <w:w w:val="95"/>
                <w:sz w:val="21"/>
                <w:highlight w:val="none"/>
                <w:lang w:eastAsia="zh-CN"/>
              </w:rPr>
              <w:t>与甲方进行项目启动会议及现场勘查；</w:t>
            </w:r>
          </w:p>
          <w:p>
            <w:pPr>
              <w:pStyle w:val="65"/>
              <w:numPr>
                <w:ilvl w:val="0"/>
                <w:numId w:val="12"/>
              </w:numPr>
              <w:tabs>
                <w:tab w:val="left" w:pos="526"/>
                <w:tab w:val="left" w:pos="527"/>
              </w:tabs>
              <w:spacing w:before="130"/>
              <w:ind w:hanging="421"/>
              <w:rPr>
                <w:color w:val="auto"/>
                <w:sz w:val="21"/>
                <w:highlight w:val="none"/>
                <w:lang w:eastAsia="zh-CN"/>
              </w:rPr>
            </w:pPr>
            <w:r>
              <w:rPr>
                <w:color w:val="auto"/>
                <w:w w:val="95"/>
                <w:sz w:val="21"/>
                <w:highlight w:val="none"/>
                <w:lang w:eastAsia="zh-CN"/>
              </w:rPr>
              <w:t>基地、自然系统和项目开发内容分析；</w:t>
            </w:r>
          </w:p>
          <w:p>
            <w:pPr>
              <w:pStyle w:val="65"/>
              <w:numPr>
                <w:ilvl w:val="0"/>
                <w:numId w:val="12"/>
              </w:numPr>
              <w:tabs>
                <w:tab w:val="left" w:pos="526"/>
                <w:tab w:val="left" w:pos="527"/>
              </w:tabs>
              <w:spacing w:before="129"/>
              <w:ind w:hanging="421"/>
              <w:rPr>
                <w:color w:val="auto"/>
                <w:sz w:val="21"/>
                <w:highlight w:val="none"/>
                <w:lang w:eastAsia="zh-CN"/>
              </w:rPr>
            </w:pPr>
            <w:r>
              <w:rPr>
                <w:color w:val="auto"/>
                <w:sz w:val="21"/>
                <w:highlight w:val="none"/>
                <w:lang w:eastAsia="zh-CN"/>
              </w:rPr>
              <w:t>优化建筑总图布局，特别是消防通道及出入口开口方式；</w:t>
            </w:r>
          </w:p>
          <w:p>
            <w:pPr>
              <w:pStyle w:val="65"/>
              <w:numPr>
                <w:ilvl w:val="0"/>
                <w:numId w:val="12"/>
              </w:numPr>
              <w:tabs>
                <w:tab w:val="left" w:pos="526"/>
                <w:tab w:val="left" w:pos="527"/>
              </w:tabs>
              <w:spacing w:before="130"/>
              <w:ind w:hanging="421"/>
              <w:rPr>
                <w:color w:val="auto"/>
                <w:sz w:val="21"/>
                <w:highlight w:val="none"/>
                <w:lang w:eastAsia="zh-CN"/>
              </w:rPr>
            </w:pPr>
            <w:r>
              <w:rPr>
                <w:color w:val="auto"/>
                <w:sz w:val="21"/>
                <w:highlight w:val="none"/>
                <w:lang w:eastAsia="zh-CN"/>
              </w:rPr>
              <w:t>与甲方进行概念方案讨论会议。</w:t>
            </w:r>
          </w:p>
          <w:p>
            <w:pPr>
              <w:pStyle w:val="65"/>
              <w:numPr>
                <w:ilvl w:val="0"/>
                <w:numId w:val="12"/>
              </w:numPr>
              <w:tabs>
                <w:tab w:val="left" w:pos="526"/>
                <w:tab w:val="left" w:pos="527"/>
              </w:tabs>
              <w:spacing w:before="131"/>
              <w:ind w:hanging="421"/>
              <w:rPr>
                <w:color w:val="auto"/>
                <w:sz w:val="21"/>
                <w:highlight w:val="none"/>
                <w:lang w:eastAsia="zh-CN"/>
              </w:rPr>
            </w:pPr>
            <w:r>
              <w:rPr>
                <w:color w:val="auto"/>
                <w:sz w:val="21"/>
                <w:highlight w:val="none"/>
                <w:lang w:eastAsia="zh-CN"/>
              </w:rPr>
              <w:t>根据概念方案讨论，深入概念设计。</w:t>
            </w:r>
          </w:p>
          <w:p>
            <w:pPr>
              <w:pStyle w:val="65"/>
              <w:numPr>
                <w:ilvl w:val="0"/>
                <w:numId w:val="12"/>
              </w:numPr>
              <w:tabs>
                <w:tab w:val="left" w:pos="526"/>
                <w:tab w:val="left" w:pos="527"/>
              </w:tabs>
              <w:spacing w:before="128"/>
              <w:ind w:hanging="421"/>
              <w:rPr>
                <w:color w:val="auto"/>
                <w:sz w:val="21"/>
                <w:highlight w:val="none"/>
                <w:lang w:eastAsia="zh-CN"/>
              </w:rPr>
            </w:pPr>
            <w:r>
              <w:rPr>
                <w:color w:val="auto"/>
                <w:sz w:val="21"/>
                <w:highlight w:val="none"/>
                <w:lang w:eastAsia="zh-CN"/>
              </w:rPr>
              <w:t>向甲方汇报概念设计，并进行设计讨论工作会议设计成果：</w:t>
            </w:r>
          </w:p>
          <w:p>
            <w:pPr>
              <w:pStyle w:val="65"/>
              <w:numPr>
                <w:ilvl w:val="0"/>
                <w:numId w:val="12"/>
              </w:numPr>
              <w:tabs>
                <w:tab w:val="left" w:pos="526"/>
                <w:tab w:val="left" w:pos="527"/>
              </w:tabs>
              <w:spacing w:before="131" w:line="269" w:lineRule="exact"/>
              <w:ind w:hanging="421"/>
              <w:rPr>
                <w:color w:val="auto"/>
                <w:sz w:val="21"/>
                <w:highlight w:val="none"/>
              </w:rPr>
            </w:pPr>
            <w:r>
              <w:rPr>
                <w:color w:val="auto"/>
                <w:sz w:val="21"/>
                <w:highlight w:val="none"/>
              </w:rPr>
              <w:t>基地分析图：</w:t>
            </w:r>
          </w:p>
        </w:tc>
        <w:tc>
          <w:tcPr>
            <w:tcW w:w="884" w:type="dxa"/>
          </w:tcPr>
          <w:p>
            <w:pPr>
              <w:pStyle w:val="65"/>
              <w:spacing w:before="109"/>
              <w:ind w:left="88" w:right="116"/>
              <w:jc w:val="center"/>
              <w:rPr>
                <w:color w:val="auto"/>
                <w:sz w:val="21"/>
                <w:highlight w:val="none"/>
              </w:rPr>
            </w:pPr>
            <w:bookmarkStart w:id="165" w:name="电子版"/>
            <w:bookmarkEnd w:id="165"/>
            <w:r>
              <w:rPr>
                <w:color w:val="auto"/>
                <w:sz w:val="21"/>
                <w:highlight w:val="none"/>
              </w:rPr>
              <w:t>电子版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1101" w:type="dxa"/>
          </w:tcPr>
          <w:p>
            <w:pPr>
              <w:pStyle w:val="65"/>
              <w:rPr>
                <w:rFonts w:ascii="Times New Roman"/>
                <w:color w:val="auto"/>
                <w:sz w:val="20"/>
                <w:highlight w:val="none"/>
              </w:rPr>
            </w:pPr>
          </w:p>
        </w:tc>
        <w:tc>
          <w:tcPr>
            <w:tcW w:w="6662" w:type="dxa"/>
          </w:tcPr>
          <w:p>
            <w:pPr>
              <w:pStyle w:val="65"/>
              <w:numPr>
                <w:ilvl w:val="0"/>
                <w:numId w:val="13"/>
              </w:numPr>
              <w:tabs>
                <w:tab w:val="left" w:pos="526"/>
                <w:tab w:val="left" w:pos="527"/>
              </w:tabs>
              <w:spacing w:before="106"/>
              <w:ind w:hanging="421"/>
              <w:rPr>
                <w:color w:val="auto"/>
                <w:sz w:val="21"/>
                <w:highlight w:val="none"/>
                <w:lang w:eastAsia="zh-CN"/>
              </w:rPr>
            </w:pPr>
            <w:r>
              <w:rPr>
                <w:color w:val="auto"/>
                <w:sz w:val="21"/>
                <w:highlight w:val="none"/>
                <w:lang w:eastAsia="zh-CN"/>
              </w:rPr>
              <w:t>景观总体规划设计概念；</w:t>
            </w:r>
          </w:p>
          <w:p>
            <w:pPr>
              <w:pStyle w:val="65"/>
              <w:numPr>
                <w:ilvl w:val="0"/>
                <w:numId w:val="13"/>
              </w:numPr>
              <w:tabs>
                <w:tab w:val="left" w:pos="526"/>
                <w:tab w:val="left" w:pos="527"/>
              </w:tabs>
              <w:spacing w:before="130"/>
              <w:ind w:hanging="421"/>
              <w:rPr>
                <w:color w:val="auto"/>
                <w:sz w:val="21"/>
                <w:highlight w:val="none"/>
                <w:lang w:eastAsia="zh-CN"/>
              </w:rPr>
            </w:pPr>
            <w:r>
              <w:rPr>
                <w:color w:val="auto"/>
                <w:sz w:val="21"/>
                <w:highlight w:val="none"/>
                <w:lang w:eastAsia="zh-CN"/>
              </w:rPr>
              <w:t>整个区域的彩色概念平面图(≥</w:t>
            </w:r>
            <w:r>
              <w:rPr>
                <w:rFonts w:hint="eastAsia" w:ascii="Times New Roman" w:hAnsi="Times New Roman"/>
                <w:color w:val="auto"/>
                <w:sz w:val="21"/>
                <w:highlight w:val="none"/>
                <w:lang w:eastAsia="zh-CN"/>
              </w:rPr>
              <w:t>1</w:t>
            </w:r>
            <w:r>
              <w:rPr>
                <w:color w:val="auto"/>
                <w:sz w:val="21"/>
                <w:highlight w:val="none"/>
                <w:lang w:eastAsia="zh-CN"/>
              </w:rPr>
              <w:t>:</w:t>
            </w:r>
            <w:r>
              <w:rPr>
                <w:rFonts w:hint="eastAsia" w:ascii="Times New Roman" w:hAnsi="Times New Roman"/>
                <w:color w:val="auto"/>
                <w:sz w:val="21"/>
                <w:highlight w:val="none"/>
                <w:lang w:eastAsia="zh-CN"/>
              </w:rPr>
              <w:t>500</w:t>
            </w:r>
            <w:r>
              <w:rPr>
                <w:color w:val="auto"/>
                <w:sz w:val="21"/>
                <w:highlight w:val="none"/>
                <w:lang w:eastAsia="zh-CN"/>
              </w:rPr>
              <w:t>)</w:t>
            </w:r>
          </w:p>
          <w:p>
            <w:pPr>
              <w:pStyle w:val="65"/>
              <w:numPr>
                <w:ilvl w:val="0"/>
                <w:numId w:val="13"/>
              </w:numPr>
              <w:tabs>
                <w:tab w:val="left" w:pos="526"/>
                <w:tab w:val="left" w:pos="527"/>
              </w:tabs>
              <w:spacing w:before="128"/>
              <w:ind w:hanging="421"/>
              <w:rPr>
                <w:color w:val="auto"/>
                <w:sz w:val="21"/>
                <w:highlight w:val="none"/>
              </w:rPr>
            </w:pPr>
            <w:r>
              <w:rPr>
                <w:color w:val="auto"/>
                <w:sz w:val="21"/>
                <w:highlight w:val="none"/>
              </w:rPr>
              <w:t>参考图片</w:t>
            </w:r>
          </w:p>
        </w:tc>
        <w:tc>
          <w:tcPr>
            <w:tcW w:w="884" w:type="dxa"/>
          </w:tcPr>
          <w:p>
            <w:pPr>
              <w:pStyle w:val="6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00" w:hRule="atLeast"/>
        </w:trPr>
        <w:tc>
          <w:tcPr>
            <w:tcW w:w="1101" w:type="dxa"/>
          </w:tcPr>
          <w:p>
            <w:pPr>
              <w:pStyle w:val="65"/>
              <w:rPr>
                <w:color w:val="auto"/>
                <w:sz w:val="20"/>
                <w:highlight w:val="none"/>
              </w:rPr>
            </w:pPr>
          </w:p>
          <w:p>
            <w:pPr>
              <w:pStyle w:val="65"/>
              <w:rPr>
                <w:color w:val="auto"/>
                <w:sz w:val="20"/>
                <w:highlight w:val="none"/>
              </w:rPr>
            </w:pPr>
          </w:p>
          <w:p>
            <w:pPr>
              <w:pStyle w:val="65"/>
              <w:rPr>
                <w:color w:val="auto"/>
                <w:sz w:val="20"/>
                <w:highlight w:val="none"/>
              </w:rPr>
            </w:pPr>
          </w:p>
          <w:p>
            <w:pPr>
              <w:pStyle w:val="65"/>
              <w:rPr>
                <w:color w:val="auto"/>
                <w:sz w:val="20"/>
                <w:highlight w:val="none"/>
              </w:rPr>
            </w:pPr>
          </w:p>
          <w:p>
            <w:pPr>
              <w:pStyle w:val="65"/>
              <w:rPr>
                <w:color w:val="auto"/>
                <w:sz w:val="20"/>
                <w:highlight w:val="none"/>
              </w:rPr>
            </w:pPr>
          </w:p>
          <w:p>
            <w:pPr>
              <w:pStyle w:val="65"/>
              <w:rPr>
                <w:color w:val="auto"/>
                <w:sz w:val="20"/>
                <w:highlight w:val="none"/>
              </w:rPr>
            </w:pPr>
          </w:p>
          <w:p>
            <w:pPr>
              <w:pStyle w:val="65"/>
              <w:rPr>
                <w:color w:val="auto"/>
                <w:sz w:val="20"/>
                <w:highlight w:val="none"/>
              </w:rPr>
            </w:pPr>
          </w:p>
          <w:p>
            <w:pPr>
              <w:pStyle w:val="65"/>
              <w:rPr>
                <w:color w:val="auto"/>
                <w:sz w:val="20"/>
                <w:highlight w:val="none"/>
              </w:rPr>
            </w:pPr>
          </w:p>
          <w:p>
            <w:pPr>
              <w:pStyle w:val="65"/>
              <w:rPr>
                <w:color w:val="auto"/>
                <w:sz w:val="20"/>
                <w:highlight w:val="none"/>
              </w:rPr>
            </w:pPr>
          </w:p>
          <w:p>
            <w:pPr>
              <w:pStyle w:val="65"/>
              <w:rPr>
                <w:color w:val="auto"/>
                <w:sz w:val="20"/>
                <w:highlight w:val="none"/>
              </w:rPr>
            </w:pPr>
          </w:p>
          <w:p>
            <w:pPr>
              <w:pStyle w:val="65"/>
              <w:rPr>
                <w:color w:val="auto"/>
                <w:sz w:val="20"/>
                <w:highlight w:val="none"/>
              </w:rPr>
            </w:pPr>
          </w:p>
          <w:p>
            <w:pPr>
              <w:pStyle w:val="65"/>
              <w:rPr>
                <w:color w:val="auto"/>
                <w:sz w:val="20"/>
                <w:highlight w:val="none"/>
              </w:rPr>
            </w:pPr>
          </w:p>
          <w:p>
            <w:pPr>
              <w:pStyle w:val="65"/>
              <w:rPr>
                <w:color w:val="auto"/>
                <w:sz w:val="20"/>
                <w:highlight w:val="none"/>
              </w:rPr>
            </w:pPr>
          </w:p>
          <w:p>
            <w:pPr>
              <w:pStyle w:val="65"/>
              <w:rPr>
                <w:color w:val="auto"/>
                <w:sz w:val="20"/>
                <w:highlight w:val="none"/>
              </w:rPr>
            </w:pPr>
          </w:p>
          <w:p>
            <w:pPr>
              <w:pStyle w:val="65"/>
              <w:rPr>
                <w:color w:val="auto"/>
                <w:sz w:val="20"/>
                <w:highlight w:val="none"/>
              </w:rPr>
            </w:pPr>
          </w:p>
          <w:p>
            <w:pPr>
              <w:pStyle w:val="65"/>
              <w:rPr>
                <w:color w:val="auto"/>
                <w:sz w:val="20"/>
                <w:highlight w:val="none"/>
              </w:rPr>
            </w:pPr>
          </w:p>
          <w:p>
            <w:pPr>
              <w:pStyle w:val="65"/>
              <w:rPr>
                <w:color w:val="auto"/>
                <w:sz w:val="20"/>
                <w:highlight w:val="none"/>
              </w:rPr>
            </w:pPr>
          </w:p>
          <w:p>
            <w:pPr>
              <w:pStyle w:val="65"/>
              <w:rPr>
                <w:color w:val="auto"/>
                <w:sz w:val="20"/>
                <w:highlight w:val="none"/>
              </w:rPr>
            </w:pPr>
          </w:p>
          <w:p>
            <w:pPr>
              <w:pStyle w:val="65"/>
              <w:rPr>
                <w:color w:val="auto"/>
                <w:sz w:val="20"/>
                <w:highlight w:val="none"/>
              </w:rPr>
            </w:pPr>
          </w:p>
          <w:p>
            <w:pPr>
              <w:pStyle w:val="65"/>
              <w:rPr>
                <w:color w:val="auto"/>
                <w:sz w:val="20"/>
                <w:highlight w:val="none"/>
              </w:rPr>
            </w:pPr>
          </w:p>
          <w:p>
            <w:pPr>
              <w:pStyle w:val="65"/>
              <w:rPr>
                <w:color w:val="auto"/>
                <w:sz w:val="20"/>
                <w:highlight w:val="none"/>
              </w:rPr>
            </w:pPr>
          </w:p>
          <w:p>
            <w:pPr>
              <w:pStyle w:val="65"/>
              <w:spacing w:before="6"/>
              <w:rPr>
                <w:color w:val="auto"/>
                <w:sz w:val="25"/>
                <w:highlight w:val="none"/>
              </w:rPr>
            </w:pPr>
          </w:p>
          <w:p>
            <w:pPr>
              <w:pStyle w:val="65"/>
              <w:ind w:left="89" w:right="82"/>
              <w:jc w:val="center"/>
              <w:rPr>
                <w:color w:val="auto"/>
                <w:sz w:val="21"/>
                <w:highlight w:val="none"/>
              </w:rPr>
            </w:pPr>
            <w:r>
              <w:rPr>
                <w:color w:val="auto"/>
                <w:sz w:val="21"/>
                <w:highlight w:val="none"/>
              </w:rPr>
              <w:t>方案深化</w:t>
            </w:r>
          </w:p>
        </w:tc>
        <w:tc>
          <w:tcPr>
            <w:tcW w:w="6662" w:type="dxa"/>
          </w:tcPr>
          <w:p>
            <w:pPr>
              <w:pStyle w:val="65"/>
              <w:spacing w:before="106"/>
              <w:ind w:left="106"/>
              <w:rPr>
                <w:color w:val="auto"/>
                <w:sz w:val="21"/>
                <w:highlight w:val="none"/>
              </w:rPr>
            </w:pPr>
            <w:r>
              <w:rPr>
                <w:color w:val="auto"/>
                <w:sz w:val="21"/>
                <w:highlight w:val="none"/>
              </w:rPr>
              <w:t>设计内容：</w:t>
            </w:r>
          </w:p>
          <w:p>
            <w:pPr>
              <w:pStyle w:val="65"/>
              <w:numPr>
                <w:ilvl w:val="0"/>
                <w:numId w:val="14"/>
              </w:numPr>
              <w:tabs>
                <w:tab w:val="left" w:pos="526"/>
                <w:tab w:val="left" w:pos="527"/>
              </w:tabs>
              <w:spacing w:before="131"/>
              <w:ind w:hanging="421"/>
              <w:rPr>
                <w:color w:val="auto"/>
                <w:sz w:val="21"/>
                <w:highlight w:val="none"/>
                <w:lang w:eastAsia="zh-CN"/>
              </w:rPr>
            </w:pPr>
            <w:r>
              <w:rPr>
                <w:color w:val="auto"/>
                <w:sz w:val="21"/>
                <w:highlight w:val="none"/>
                <w:lang w:eastAsia="zh-CN"/>
              </w:rPr>
              <w:t>基于建筑的深化，深入精炼基地的开发内容；</w:t>
            </w:r>
          </w:p>
          <w:p>
            <w:pPr>
              <w:pStyle w:val="65"/>
              <w:numPr>
                <w:ilvl w:val="0"/>
                <w:numId w:val="14"/>
              </w:numPr>
              <w:tabs>
                <w:tab w:val="left" w:pos="526"/>
                <w:tab w:val="left" w:pos="527"/>
              </w:tabs>
              <w:spacing w:before="131" w:line="355" w:lineRule="auto"/>
              <w:ind w:right="137"/>
              <w:rPr>
                <w:color w:val="auto"/>
                <w:sz w:val="21"/>
                <w:highlight w:val="none"/>
                <w:lang w:eastAsia="zh-CN"/>
              </w:rPr>
            </w:pPr>
            <w:r>
              <w:rPr>
                <w:color w:val="auto"/>
                <w:w w:val="95"/>
                <w:sz w:val="21"/>
                <w:highlight w:val="none"/>
                <w:lang w:eastAsia="zh-CN"/>
              </w:rPr>
              <w:t xml:space="preserve">根据概念汇报及讨论会议的反馈意见，修改深化概念设计,及制作 </w:t>
            </w:r>
            <w:r>
              <w:rPr>
                <w:rFonts w:hint="eastAsia" w:ascii="Times New Roman" w:hAnsi="Times New Roman"/>
                <w:color w:val="auto"/>
                <w:sz w:val="21"/>
                <w:highlight w:val="none"/>
                <w:lang w:eastAsia="zh-CN"/>
              </w:rPr>
              <w:t>SU</w:t>
            </w:r>
            <w:r>
              <w:rPr>
                <w:color w:val="auto"/>
                <w:spacing w:val="-14"/>
                <w:sz w:val="21"/>
                <w:highlight w:val="none"/>
                <w:lang w:eastAsia="zh-CN"/>
              </w:rPr>
              <w:t xml:space="preserve"> 全模。</w:t>
            </w:r>
          </w:p>
          <w:p>
            <w:pPr>
              <w:pStyle w:val="65"/>
              <w:numPr>
                <w:ilvl w:val="0"/>
                <w:numId w:val="14"/>
              </w:numPr>
              <w:tabs>
                <w:tab w:val="left" w:pos="526"/>
                <w:tab w:val="left" w:pos="527"/>
              </w:tabs>
              <w:spacing w:before="1"/>
              <w:ind w:hanging="421"/>
              <w:rPr>
                <w:color w:val="auto"/>
                <w:sz w:val="21"/>
                <w:highlight w:val="none"/>
                <w:lang w:eastAsia="zh-CN"/>
              </w:rPr>
            </w:pPr>
            <w:r>
              <w:rPr>
                <w:color w:val="auto"/>
                <w:spacing w:val="-9"/>
                <w:sz w:val="21"/>
                <w:highlight w:val="none"/>
                <w:lang w:eastAsia="zh-CN"/>
              </w:rPr>
              <w:t xml:space="preserve">与甲方进行 </w:t>
            </w:r>
            <w:r>
              <w:rPr>
                <w:rFonts w:hint="eastAsia" w:ascii="Times New Roman" w:hAnsi="Times New Roman"/>
                <w:color w:val="auto"/>
                <w:sz w:val="21"/>
                <w:highlight w:val="none"/>
                <w:lang w:eastAsia="zh-CN"/>
              </w:rPr>
              <w:t>50</w:t>
            </w:r>
            <w:r>
              <w:rPr>
                <w:color w:val="auto"/>
                <w:sz w:val="21"/>
                <w:highlight w:val="none"/>
                <w:lang w:eastAsia="zh-CN"/>
              </w:rPr>
              <w:t>%方案设计会议</w:t>
            </w:r>
          </w:p>
          <w:p>
            <w:pPr>
              <w:pStyle w:val="65"/>
              <w:numPr>
                <w:ilvl w:val="0"/>
                <w:numId w:val="14"/>
              </w:numPr>
              <w:tabs>
                <w:tab w:val="left" w:pos="526"/>
                <w:tab w:val="left" w:pos="527"/>
              </w:tabs>
              <w:spacing w:before="131"/>
              <w:ind w:hanging="421"/>
              <w:rPr>
                <w:color w:val="auto"/>
                <w:sz w:val="21"/>
                <w:highlight w:val="none"/>
                <w:lang w:eastAsia="zh-CN"/>
              </w:rPr>
            </w:pPr>
            <w:r>
              <w:rPr>
                <w:color w:val="auto"/>
                <w:spacing w:val="-9"/>
                <w:sz w:val="21"/>
                <w:highlight w:val="none"/>
                <w:lang w:eastAsia="zh-CN"/>
              </w:rPr>
              <w:t xml:space="preserve">向甲方汇报 </w:t>
            </w:r>
            <w:r>
              <w:rPr>
                <w:rFonts w:hint="eastAsia" w:ascii="Times New Roman" w:hAnsi="Times New Roman"/>
                <w:color w:val="auto"/>
                <w:sz w:val="21"/>
                <w:highlight w:val="none"/>
                <w:lang w:eastAsia="zh-CN"/>
              </w:rPr>
              <w:t>100</w:t>
            </w:r>
            <w:r>
              <w:rPr>
                <w:color w:val="auto"/>
                <w:sz w:val="21"/>
                <w:highlight w:val="none"/>
                <w:lang w:eastAsia="zh-CN"/>
              </w:rPr>
              <w:t>%最终景观设计</w:t>
            </w:r>
          </w:p>
          <w:p>
            <w:pPr>
              <w:pStyle w:val="65"/>
              <w:numPr>
                <w:ilvl w:val="0"/>
                <w:numId w:val="14"/>
              </w:numPr>
              <w:tabs>
                <w:tab w:val="left" w:pos="526"/>
                <w:tab w:val="left" w:pos="527"/>
              </w:tabs>
              <w:spacing w:before="128" w:line="357" w:lineRule="auto"/>
              <w:ind w:right="245"/>
              <w:rPr>
                <w:color w:val="auto"/>
                <w:sz w:val="21"/>
                <w:highlight w:val="none"/>
                <w:lang w:eastAsia="zh-CN"/>
              </w:rPr>
            </w:pPr>
            <w:r>
              <w:rPr>
                <w:color w:val="auto"/>
                <w:w w:val="95"/>
                <w:sz w:val="21"/>
                <w:highlight w:val="none"/>
                <w:lang w:eastAsia="zh-CN"/>
              </w:rPr>
              <w:t xml:space="preserve">根据方案汇报的反馈意见，完成方案设计修改并将最终成果提供 </w:t>
            </w:r>
            <w:r>
              <w:rPr>
                <w:color w:val="auto"/>
                <w:sz w:val="21"/>
                <w:highlight w:val="none"/>
                <w:lang w:eastAsia="zh-CN"/>
              </w:rPr>
              <w:t>给甲方。</w:t>
            </w:r>
          </w:p>
          <w:p>
            <w:pPr>
              <w:pStyle w:val="65"/>
              <w:spacing w:line="269" w:lineRule="exact"/>
              <w:ind w:left="106"/>
              <w:rPr>
                <w:color w:val="auto"/>
                <w:sz w:val="21"/>
                <w:highlight w:val="none"/>
              </w:rPr>
            </w:pPr>
            <w:r>
              <w:rPr>
                <w:color w:val="auto"/>
                <w:sz w:val="21"/>
                <w:highlight w:val="none"/>
              </w:rPr>
              <w:t>设计成果：</w:t>
            </w:r>
          </w:p>
          <w:p>
            <w:pPr>
              <w:pStyle w:val="65"/>
              <w:numPr>
                <w:ilvl w:val="0"/>
                <w:numId w:val="14"/>
              </w:numPr>
              <w:tabs>
                <w:tab w:val="left" w:pos="526"/>
                <w:tab w:val="left" w:pos="527"/>
              </w:tabs>
              <w:spacing w:before="128"/>
              <w:ind w:hanging="421"/>
              <w:rPr>
                <w:color w:val="auto"/>
                <w:sz w:val="21"/>
                <w:highlight w:val="none"/>
                <w:lang w:eastAsia="zh-CN"/>
              </w:rPr>
            </w:pPr>
            <w:r>
              <w:rPr>
                <w:color w:val="auto"/>
                <w:sz w:val="21"/>
                <w:highlight w:val="none"/>
                <w:lang w:eastAsia="zh-CN"/>
              </w:rPr>
              <w:t>整个区域的彩色平面图(≥</w:t>
            </w:r>
            <w:r>
              <w:rPr>
                <w:rFonts w:hint="eastAsia" w:ascii="Times New Roman" w:hAnsi="Times New Roman"/>
                <w:color w:val="auto"/>
                <w:sz w:val="21"/>
                <w:highlight w:val="none"/>
                <w:lang w:eastAsia="zh-CN"/>
              </w:rPr>
              <w:t>1</w:t>
            </w:r>
            <w:r>
              <w:rPr>
                <w:color w:val="auto"/>
                <w:sz w:val="21"/>
                <w:highlight w:val="none"/>
                <w:lang w:eastAsia="zh-CN"/>
              </w:rPr>
              <w:t>:</w:t>
            </w:r>
            <w:r>
              <w:rPr>
                <w:rFonts w:hint="eastAsia" w:ascii="Times New Roman" w:hAnsi="Times New Roman"/>
                <w:color w:val="auto"/>
                <w:sz w:val="21"/>
                <w:highlight w:val="none"/>
                <w:lang w:eastAsia="zh-CN"/>
              </w:rPr>
              <w:t>500</w:t>
            </w:r>
            <w:r>
              <w:rPr>
                <w:color w:val="auto"/>
                <w:sz w:val="21"/>
                <w:highlight w:val="none"/>
                <w:lang w:eastAsia="zh-CN"/>
              </w:rPr>
              <w:t>)</w:t>
            </w:r>
          </w:p>
          <w:p>
            <w:pPr>
              <w:pStyle w:val="65"/>
              <w:numPr>
                <w:ilvl w:val="0"/>
                <w:numId w:val="14"/>
              </w:numPr>
              <w:tabs>
                <w:tab w:val="left" w:pos="526"/>
                <w:tab w:val="left" w:pos="527"/>
              </w:tabs>
              <w:spacing w:before="131"/>
              <w:ind w:hanging="421"/>
              <w:rPr>
                <w:color w:val="auto"/>
                <w:sz w:val="21"/>
                <w:highlight w:val="none"/>
                <w:lang w:eastAsia="zh-CN"/>
              </w:rPr>
            </w:pPr>
            <w:r>
              <w:rPr>
                <w:color w:val="auto"/>
                <w:sz w:val="21"/>
                <w:highlight w:val="none"/>
                <w:lang w:eastAsia="zh-CN"/>
              </w:rPr>
              <w:t>深化后重点区域的放大平面图、立面及剖面图(</w:t>
            </w:r>
            <w:r>
              <w:rPr>
                <w:rFonts w:hint="eastAsia" w:ascii="Times New Roman" w:hAnsi="Times New Roman"/>
                <w:color w:val="auto"/>
                <w:sz w:val="21"/>
                <w:highlight w:val="none"/>
                <w:lang w:eastAsia="zh-CN"/>
              </w:rPr>
              <w:t>1</w:t>
            </w:r>
            <w:r>
              <w:rPr>
                <w:color w:val="auto"/>
                <w:sz w:val="21"/>
                <w:highlight w:val="none"/>
                <w:lang w:eastAsia="zh-CN"/>
              </w:rPr>
              <w:t>:</w:t>
            </w:r>
            <w:r>
              <w:rPr>
                <w:rFonts w:hint="eastAsia" w:ascii="Times New Roman" w:hAnsi="Times New Roman"/>
                <w:color w:val="auto"/>
                <w:sz w:val="21"/>
                <w:highlight w:val="none"/>
                <w:lang w:eastAsia="zh-CN"/>
              </w:rPr>
              <w:t>100</w:t>
            </w:r>
            <w:r>
              <w:rPr>
                <w:color w:val="auto"/>
                <w:sz w:val="21"/>
                <w:highlight w:val="none"/>
                <w:lang w:eastAsia="zh-CN"/>
              </w:rPr>
              <w:t>~</w:t>
            </w:r>
            <w:r>
              <w:rPr>
                <w:rFonts w:hint="eastAsia" w:ascii="Times New Roman" w:hAnsi="Times New Roman"/>
                <w:color w:val="auto"/>
                <w:sz w:val="21"/>
                <w:highlight w:val="none"/>
                <w:lang w:eastAsia="zh-CN"/>
              </w:rPr>
              <w:t>1</w:t>
            </w:r>
            <w:r>
              <w:rPr>
                <w:color w:val="auto"/>
                <w:sz w:val="21"/>
                <w:highlight w:val="none"/>
                <w:lang w:eastAsia="zh-CN"/>
              </w:rPr>
              <w:t>:</w:t>
            </w:r>
            <w:r>
              <w:rPr>
                <w:rFonts w:hint="eastAsia" w:ascii="Times New Roman" w:hAnsi="Times New Roman"/>
                <w:color w:val="auto"/>
                <w:sz w:val="21"/>
                <w:highlight w:val="none"/>
                <w:lang w:eastAsia="zh-CN"/>
              </w:rPr>
              <w:t>200</w:t>
            </w:r>
            <w:r>
              <w:rPr>
                <w:color w:val="auto"/>
                <w:sz w:val="21"/>
                <w:highlight w:val="none"/>
                <w:lang w:eastAsia="zh-CN"/>
              </w:rPr>
              <w:t>)</w:t>
            </w:r>
          </w:p>
          <w:p>
            <w:pPr>
              <w:pStyle w:val="65"/>
              <w:numPr>
                <w:ilvl w:val="0"/>
                <w:numId w:val="14"/>
              </w:numPr>
              <w:tabs>
                <w:tab w:val="left" w:pos="526"/>
                <w:tab w:val="left" w:pos="527"/>
              </w:tabs>
              <w:spacing w:before="130"/>
              <w:ind w:hanging="421"/>
              <w:rPr>
                <w:color w:val="auto"/>
                <w:sz w:val="21"/>
                <w:highlight w:val="none"/>
              </w:rPr>
            </w:pPr>
            <w:r>
              <w:rPr>
                <w:color w:val="auto"/>
                <w:sz w:val="21"/>
                <w:highlight w:val="none"/>
              </w:rPr>
              <w:t>深化后彩色剖面图若干</w:t>
            </w:r>
          </w:p>
          <w:p>
            <w:pPr>
              <w:pStyle w:val="65"/>
              <w:numPr>
                <w:ilvl w:val="0"/>
                <w:numId w:val="14"/>
              </w:numPr>
              <w:tabs>
                <w:tab w:val="left" w:pos="526"/>
                <w:tab w:val="left" w:pos="527"/>
              </w:tabs>
              <w:spacing w:before="129"/>
              <w:ind w:hanging="421"/>
              <w:rPr>
                <w:color w:val="auto"/>
                <w:sz w:val="21"/>
                <w:highlight w:val="none"/>
              </w:rPr>
            </w:pPr>
            <w:r>
              <w:rPr>
                <w:color w:val="auto"/>
                <w:spacing w:val="-18"/>
                <w:sz w:val="21"/>
                <w:highlight w:val="none"/>
              </w:rPr>
              <w:t xml:space="preserve">全区 </w:t>
            </w:r>
            <w:r>
              <w:rPr>
                <w:rFonts w:hint="eastAsia" w:ascii="Times New Roman" w:hAnsi="Times New Roman"/>
                <w:color w:val="auto"/>
                <w:sz w:val="21"/>
                <w:highlight w:val="none"/>
                <w:lang w:eastAsia="zh-CN"/>
              </w:rPr>
              <w:t>SU</w:t>
            </w:r>
            <w:r>
              <w:rPr>
                <w:color w:val="auto"/>
                <w:spacing w:val="-12"/>
                <w:sz w:val="21"/>
                <w:highlight w:val="none"/>
              </w:rPr>
              <w:t xml:space="preserve"> 模型及深化后重点区域视点 </w:t>
            </w:r>
            <w:r>
              <w:rPr>
                <w:rFonts w:hint="eastAsia" w:ascii="Times New Roman" w:hAnsi="Times New Roman"/>
                <w:color w:val="auto"/>
                <w:sz w:val="21"/>
                <w:highlight w:val="none"/>
                <w:lang w:eastAsia="zh-CN"/>
              </w:rPr>
              <w:t>Sketch</w:t>
            </w:r>
            <w:r>
              <w:rPr>
                <w:color w:val="auto"/>
                <w:spacing w:val="-1"/>
                <w:sz w:val="21"/>
                <w:highlight w:val="none"/>
              </w:rPr>
              <w:t xml:space="preserve"> </w:t>
            </w:r>
            <w:r>
              <w:rPr>
                <w:rFonts w:hint="eastAsia" w:ascii="Times New Roman" w:hAnsi="Times New Roman"/>
                <w:color w:val="auto"/>
                <w:sz w:val="21"/>
                <w:highlight w:val="none"/>
                <w:lang w:eastAsia="zh-CN"/>
              </w:rPr>
              <w:t>up</w:t>
            </w:r>
            <w:r>
              <w:rPr>
                <w:color w:val="auto"/>
                <w:spacing w:val="-9"/>
                <w:sz w:val="21"/>
                <w:highlight w:val="none"/>
              </w:rPr>
              <w:t xml:space="preserve"> 效果图若干张</w:t>
            </w:r>
          </w:p>
          <w:p>
            <w:pPr>
              <w:pStyle w:val="65"/>
              <w:numPr>
                <w:ilvl w:val="0"/>
                <w:numId w:val="14"/>
              </w:numPr>
              <w:tabs>
                <w:tab w:val="left" w:pos="526"/>
                <w:tab w:val="left" w:pos="527"/>
              </w:tabs>
              <w:spacing w:before="130"/>
              <w:ind w:hanging="421"/>
              <w:rPr>
                <w:color w:val="auto"/>
                <w:sz w:val="21"/>
                <w:highlight w:val="none"/>
              </w:rPr>
            </w:pPr>
            <w:r>
              <w:rPr>
                <w:color w:val="auto"/>
                <w:sz w:val="21"/>
                <w:highlight w:val="none"/>
              </w:rPr>
              <w:t>参考图片若干</w:t>
            </w:r>
          </w:p>
          <w:p>
            <w:pPr>
              <w:pStyle w:val="65"/>
              <w:numPr>
                <w:ilvl w:val="0"/>
                <w:numId w:val="14"/>
              </w:numPr>
              <w:tabs>
                <w:tab w:val="left" w:pos="526"/>
                <w:tab w:val="left" w:pos="527"/>
              </w:tabs>
              <w:spacing w:before="131"/>
              <w:ind w:hanging="421"/>
              <w:rPr>
                <w:color w:val="auto"/>
                <w:sz w:val="21"/>
                <w:highlight w:val="none"/>
                <w:lang w:eastAsia="zh-CN"/>
              </w:rPr>
            </w:pPr>
            <w:r>
              <w:rPr>
                <w:color w:val="auto"/>
                <w:sz w:val="21"/>
                <w:highlight w:val="none"/>
                <w:lang w:eastAsia="zh-CN"/>
              </w:rPr>
              <w:t>修改深化后车辆和行人硬质景观设计彩图</w:t>
            </w:r>
          </w:p>
          <w:p>
            <w:pPr>
              <w:pStyle w:val="65"/>
              <w:numPr>
                <w:ilvl w:val="0"/>
                <w:numId w:val="14"/>
              </w:numPr>
              <w:tabs>
                <w:tab w:val="left" w:pos="526"/>
                <w:tab w:val="left" w:pos="527"/>
              </w:tabs>
              <w:spacing w:before="128" w:line="357" w:lineRule="auto"/>
              <w:ind w:right="245"/>
              <w:rPr>
                <w:color w:val="auto"/>
                <w:sz w:val="21"/>
                <w:highlight w:val="none"/>
                <w:lang w:eastAsia="zh-CN"/>
              </w:rPr>
            </w:pPr>
            <w:r>
              <w:rPr>
                <w:color w:val="auto"/>
                <w:w w:val="95"/>
                <w:sz w:val="21"/>
                <w:highlight w:val="none"/>
                <w:lang w:eastAsia="zh-CN"/>
              </w:rPr>
              <w:t xml:space="preserve">竖向关系设计分析图、交通系统分析图、消防系统分析图、功能 </w:t>
            </w:r>
            <w:r>
              <w:rPr>
                <w:color w:val="auto"/>
                <w:sz w:val="21"/>
                <w:highlight w:val="none"/>
                <w:lang w:eastAsia="zh-CN"/>
              </w:rPr>
              <w:t>分析图、景观分区图</w:t>
            </w:r>
          </w:p>
          <w:p>
            <w:pPr>
              <w:pStyle w:val="65"/>
              <w:numPr>
                <w:ilvl w:val="0"/>
                <w:numId w:val="14"/>
              </w:numPr>
              <w:tabs>
                <w:tab w:val="left" w:pos="526"/>
                <w:tab w:val="left" w:pos="527"/>
              </w:tabs>
              <w:spacing w:line="269" w:lineRule="exact"/>
              <w:ind w:hanging="421"/>
              <w:rPr>
                <w:color w:val="auto"/>
                <w:sz w:val="21"/>
                <w:highlight w:val="none"/>
                <w:lang w:eastAsia="zh-CN"/>
              </w:rPr>
            </w:pPr>
            <w:r>
              <w:rPr>
                <w:color w:val="auto"/>
                <w:sz w:val="21"/>
                <w:highlight w:val="none"/>
                <w:lang w:eastAsia="zh-CN"/>
              </w:rPr>
              <w:t>植物种植意向设计彩色平面图、分析图</w:t>
            </w:r>
          </w:p>
          <w:p>
            <w:pPr>
              <w:pStyle w:val="65"/>
              <w:numPr>
                <w:ilvl w:val="0"/>
                <w:numId w:val="14"/>
              </w:numPr>
              <w:tabs>
                <w:tab w:val="left" w:pos="526"/>
                <w:tab w:val="left" w:pos="527"/>
              </w:tabs>
              <w:spacing w:before="128"/>
              <w:ind w:hanging="421"/>
              <w:rPr>
                <w:color w:val="auto"/>
                <w:sz w:val="21"/>
                <w:highlight w:val="none"/>
                <w:lang w:eastAsia="zh-CN"/>
              </w:rPr>
            </w:pPr>
            <w:r>
              <w:rPr>
                <w:color w:val="auto"/>
                <w:sz w:val="21"/>
                <w:highlight w:val="none"/>
                <w:lang w:eastAsia="zh-CN"/>
              </w:rPr>
              <w:t>基地照明分析图、意向设计</w:t>
            </w:r>
          </w:p>
          <w:p>
            <w:pPr>
              <w:pStyle w:val="65"/>
              <w:numPr>
                <w:ilvl w:val="0"/>
                <w:numId w:val="14"/>
              </w:numPr>
              <w:tabs>
                <w:tab w:val="left" w:pos="526"/>
                <w:tab w:val="left" w:pos="527"/>
              </w:tabs>
              <w:spacing w:before="131"/>
              <w:ind w:hanging="421"/>
              <w:rPr>
                <w:color w:val="auto"/>
                <w:sz w:val="21"/>
                <w:highlight w:val="none"/>
                <w:lang w:eastAsia="zh-CN"/>
              </w:rPr>
            </w:pPr>
            <w:r>
              <w:rPr>
                <w:color w:val="auto"/>
                <w:sz w:val="21"/>
                <w:highlight w:val="none"/>
                <w:lang w:eastAsia="zh-CN"/>
              </w:rPr>
              <w:t>基地室外家具平面及标识系统意向设计</w:t>
            </w:r>
          </w:p>
          <w:p>
            <w:pPr>
              <w:pStyle w:val="65"/>
              <w:numPr>
                <w:ilvl w:val="0"/>
                <w:numId w:val="14"/>
              </w:numPr>
              <w:tabs>
                <w:tab w:val="left" w:pos="527"/>
              </w:tabs>
              <w:spacing w:before="130" w:line="355" w:lineRule="auto"/>
              <w:ind w:right="137"/>
              <w:jc w:val="both"/>
              <w:rPr>
                <w:color w:val="auto"/>
                <w:sz w:val="21"/>
                <w:highlight w:val="none"/>
                <w:lang w:eastAsia="zh-CN"/>
              </w:rPr>
            </w:pPr>
            <w:r>
              <w:rPr>
                <w:color w:val="auto"/>
                <w:sz w:val="21"/>
                <w:highlight w:val="none"/>
                <w:lang w:eastAsia="zh-CN"/>
              </w:rPr>
              <w:t>水景方案设计、景观小品、构筑物（含机动车车库入口、非机动车库入口廊架）</w:t>
            </w:r>
            <w:r>
              <w:rPr>
                <w:color w:val="auto"/>
                <w:spacing w:val="-4"/>
                <w:sz w:val="21"/>
                <w:highlight w:val="none"/>
                <w:lang w:eastAsia="zh-CN"/>
              </w:rPr>
              <w:t xml:space="preserve">、项目周界围墙方案设计、项目 </w:t>
            </w:r>
            <w:r>
              <w:rPr>
                <w:rFonts w:hint="eastAsia" w:ascii="Times New Roman" w:hAnsi="Times New Roman"/>
                <w:color w:val="auto"/>
                <w:sz w:val="21"/>
                <w:highlight w:val="none"/>
                <w:lang w:eastAsia="zh-CN"/>
              </w:rPr>
              <w:t>LOGO</w:t>
            </w:r>
            <w:r>
              <w:rPr>
                <w:color w:val="auto"/>
                <w:spacing w:val="-10"/>
                <w:sz w:val="21"/>
                <w:highlight w:val="none"/>
                <w:lang w:eastAsia="zh-CN"/>
              </w:rPr>
              <w:t xml:space="preserve"> 墙方案设计</w:t>
            </w:r>
          </w:p>
          <w:p>
            <w:pPr>
              <w:pStyle w:val="65"/>
              <w:numPr>
                <w:ilvl w:val="0"/>
                <w:numId w:val="14"/>
              </w:numPr>
              <w:tabs>
                <w:tab w:val="left" w:pos="527"/>
              </w:tabs>
              <w:spacing w:before="2" w:line="357" w:lineRule="auto"/>
              <w:ind w:right="245"/>
              <w:jc w:val="both"/>
              <w:rPr>
                <w:color w:val="auto"/>
                <w:sz w:val="21"/>
                <w:highlight w:val="none"/>
                <w:lang w:eastAsia="zh-CN"/>
              </w:rPr>
            </w:pPr>
            <w:r>
              <w:rPr>
                <w:color w:val="auto"/>
                <w:w w:val="95"/>
                <w:sz w:val="21"/>
                <w:highlight w:val="none"/>
                <w:lang w:eastAsia="zh-CN"/>
              </w:rPr>
              <w:t xml:space="preserve">入户花园、下沉式私家花园、通风采光井、下沉式网球场、临时 </w:t>
            </w:r>
            <w:r>
              <w:rPr>
                <w:color w:val="auto"/>
                <w:sz w:val="21"/>
                <w:highlight w:val="none"/>
                <w:lang w:eastAsia="zh-CN"/>
              </w:rPr>
              <w:t>性的售楼处及看房通道之概念设计及相关意向图(如果有)</w:t>
            </w:r>
          </w:p>
          <w:p>
            <w:pPr>
              <w:pStyle w:val="65"/>
              <w:numPr>
                <w:ilvl w:val="0"/>
                <w:numId w:val="14"/>
              </w:numPr>
              <w:tabs>
                <w:tab w:val="left" w:pos="527"/>
              </w:tabs>
              <w:spacing w:line="357" w:lineRule="auto"/>
              <w:ind w:right="245"/>
              <w:jc w:val="both"/>
              <w:rPr>
                <w:color w:val="auto"/>
                <w:sz w:val="21"/>
                <w:highlight w:val="none"/>
                <w:lang w:eastAsia="zh-CN"/>
              </w:rPr>
            </w:pPr>
            <w:r>
              <w:rPr>
                <w:color w:val="auto"/>
                <w:w w:val="95"/>
                <w:sz w:val="21"/>
                <w:highlight w:val="none"/>
                <w:lang w:eastAsia="zh-CN"/>
              </w:rPr>
              <w:t xml:space="preserve">设计说明，包含详细表达设计理念的草图及相关图片，引述建筑 形态、景观平台及户外空间的关系，阐明对主要设计方案的处理 手法。分析景观规划设计内的景观系统包括建筑形态、户外空间 </w:t>
            </w:r>
            <w:r>
              <w:rPr>
                <w:color w:val="auto"/>
                <w:sz w:val="21"/>
                <w:highlight w:val="none"/>
                <w:lang w:eastAsia="zh-CN"/>
              </w:rPr>
              <w:t>及基地现状的相互关系。</w:t>
            </w:r>
          </w:p>
          <w:p>
            <w:pPr>
              <w:pStyle w:val="65"/>
              <w:numPr>
                <w:ilvl w:val="0"/>
                <w:numId w:val="14"/>
              </w:numPr>
              <w:tabs>
                <w:tab w:val="left" w:pos="527"/>
              </w:tabs>
              <w:spacing w:line="266" w:lineRule="exact"/>
              <w:ind w:hanging="421"/>
              <w:jc w:val="both"/>
              <w:rPr>
                <w:color w:val="auto"/>
                <w:sz w:val="21"/>
                <w:highlight w:val="none"/>
              </w:rPr>
            </w:pPr>
            <w:r>
              <w:rPr>
                <w:color w:val="auto"/>
                <w:sz w:val="21"/>
                <w:highlight w:val="none"/>
              </w:rPr>
              <w:t>景观设计估算</w:t>
            </w:r>
          </w:p>
        </w:tc>
        <w:tc>
          <w:tcPr>
            <w:tcW w:w="884" w:type="dxa"/>
          </w:tcPr>
          <w:p>
            <w:pPr>
              <w:pStyle w:val="65"/>
              <w:spacing w:before="106"/>
              <w:ind w:left="107"/>
              <w:rPr>
                <w:rFonts w:hint="eastAsia" w:eastAsia="宋体"/>
                <w:color w:val="auto"/>
                <w:sz w:val="21"/>
                <w:highlight w:val="none"/>
                <w:lang w:eastAsia="zh-CN"/>
              </w:rPr>
            </w:pPr>
            <w:r>
              <w:rPr>
                <w:rFonts w:hint="eastAsia" w:ascii="Times New Roman" w:hAnsi="Times New Roman"/>
                <w:color w:val="auto"/>
                <w:w w:val="99"/>
                <w:sz w:val="21"/>
                <w:highlight w:val="none"/>
                <w:lang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7" w:hRule="atLeast"/>
        </w:trPr>
        <w:tc>
          <w:tcPr>
            <w:tcW w:w="1101" w:type="dxa"/>
          </w:tcPr>
          <w:p>
            <w:pPr>
              <w:pStyle w:val="65"/>
              <w:rPr>
                <w:color w:val="auto"/>
                <w:sz w:val="20"/>
                <w:highlight w:val="none"/>
              </w:rPr>
            </w:pPr>
          </w:p>
          <w:p>
            <w:pPr>
              <w:pStyle w:val="65"/>
              <w:spacing w:before="6"/>
              <w:rPr>
                <w:color w:val="auto"/>
                <w:sz w:val="19"/>
                <w:highlight w:val="none"/>
              </w:rPr>
            </w:pPr>
          </w:p>
          <w:p>
            <w:pPr>
              <w:pStyle w:val="65"/>
              <w:ind w:left="89" w:right="82"/>
              <w:jc w:val="center"/>
              <w:rPr>
                <w:color w:val="auto"/>
                <w:sz w:val="21"/>
                <w:highlight w:val="none"/>
              </w:rPr>
            </w:pPr>
            <w:r>
              <w:rPr>
                <w:color w:val="auto"/>
                <w:sz w:val="21"/>
                <w:highlight w:val="none"/>
              </w:rPr>
              <w:t>扩初设计</w:t>
            </w:r>
          </w:p>
        </w:tc>
        <w:tc>
          <w:tcPr>
            <w:tcW w:w="6662" w:type="dxa"/>
          </w:tcPr>
          <w:p>
            <w:pPr>
              <w:pStyle w:val="65"/>
              <w:spacing w:before="107"/>
              <w:ind w:left="106"/>
              <w:rPr>
                <w:color w:val="auto"/>
                <w:sz w:val="21"/>
                <w:highlight w:val="none"/>
              </w:rPr>
            </w:pPr>
            <w:r>
              <w:rPr>
                <w:color w:val="auto"/>
                <w:w w:val="95"/>
                <w:sz w:val="21"/>
                <w:highlight w:val="none"/>
              </w:rPr>
              <w:t>设计内容：</w:t>
            </w:r>
          </w:p>
          <w:p>
            <w:pPr>
              <w:pStyle w:val="65"/>
              <w:numPr>
                <w:ilvl w:val="0"/>
                <w:numId w:val="15"/>
              </w:numPr>
              <w:tabs>
                <w:tab w:val="left" w:pos="526"/>
                <w:tab w:val="left" w:pos="527"/>
              </w:tabs>
              <w:spacing w:before="20" w:line="400" w:lineRule="exact"/>
              <w:ind w:right="245"/>
              <w:rPr>
                <w:color w:val="auto"/>
                <w:sz w:val="21"/>
                <w:highlight w:val="none"/>
                <w:lang w:eastAsia="zh-CN"/>
              </w:rPr>
            </w:pPr>
            <w:r>
              <w:rPr>
                <w:color w:val="auto"/>
                <w:w w:val="95"/>
                <w:sz w:val="21"/>
                <w:highlight w:val="none"/>
                <w:lang w:eastAsia="zh-CN"/>
              </w:rPr>
              <w:t>根据被批准的景观方案设计，乙方将设计基地景观扩初设计深度 的平面、剖面、立面，并标明各设计元素的形式、尺寸、比例、</w:t>
            </w:r>
          </w:p>
        </w:tc>
        <w:tc>
          <w:tcPr>
            <w:tcW w:w="884" w:type="dxa"/>
          </w:tcPr>
          <w:p>
            <w:pPr>
              <w:pStyle w:val="65"/>
              <w:spacing w:before="107"/>
              <w:ind w:left="107"/>
              <w:rPr>
                <w:rFonts w:hint="eastAsia" w:eastAsia="宋体"/>
                <w:color w:val="auto"/>
                <w:sz w:val="21"/>
                <w:highlight w:val="none"/>
                <w:lang w:eastAsia="zh-CN"/>
              </w:rPr>
            </w:pPr>
            <w:bookmarkStart w:id="166" w:name="4"/>
            <w:bookmarkEnd w:id="166"/>
            <w:r>
              <w:rPr>
                <w:rFonts w:hint="eastAsia" w:ascii="Times New Roman" w:hAnsi="Times New Roman"/>
                <w:color w:val="auto"/>
                <w:w w:val="99"/>
                <w:sz w:val="21"/>
                <w:highlight w:val="none"/>
                <w:lang w:eastAsia="zh-CN"/>
              </w:rPr>
              <w:t>4</w:t>
            </w:r>
          </w:p>
        </w:tc>
      </w:tr>
    </w:tbl>
    <w:p>
      <w:pPr>
        <w:rPr>
          <w:color w:val="auto"/>
          <w:sz w:val="21"/>
          <w:highlight w:val="none"/>
        </w:rPr>
        <w:sectPr>
          <w:pgSz w:w="11849" w:h="16792"/>
          <w:pgMar w:top="1417" w:right="850" w:bottom="1417" w:left="850" w:header="850" w:footer="850" w:gutter="0"/>
          <w:pgBorders>
            <w:top w:val="none" w:sz="0" w:space="0"/>
            <w:left w:val="none" w:sz="0" w:space="0"/>
            <w:bottom w:val="none" w:sz="0" w:space="0"/>
            <w:right w:val="none" w:sz="0" w:space="0"/>
          </w:pgBorders>
          <w:pgNumType w:fmt="decimal"/>
          <w:cols w:space="0" w:num="1"/>
          <w:rtlGutter w:val="0"/>
          <w:docGrid w:linePitch="0" w:charSpace="0"/>
        </w:sectPr>
      </w:pPr>
    </w:p>
    <w:tbl>
      <w:tblPr>
        <w:tblStyle w:val="104"/>
        <w:tblW w:w="0" w:type="auto"/>
        <w:tblInd w:w="7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1"/>
        <w:gridCol w:w="6662"/>
        <w:gridCol w:w="8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00" w:hRule="atLeast"/>
        </w:trPr>
        <w:tc>
          <w:tcPr>
            <w:tcW w:w="1101" w:type="dxa"/>
          </w:tcPr>
          <w:p>
            <w:pPr>
              <w:pStyle w:val="65"/>
              <w:rPr>
                <w:rFonts w:ascii="Times New Roman"/>
                <w:color w:val="auto"/>
                <w:sz w:val="20"/>
                <w:highlight w:val="none"/>
              </w:rPr>
            </w:pPr>
          </w:p>
        </w:tc>
        <w:tc>
          <w:tcPr>
            <w:tcW w:w="6662" w:type="dxa"/>
          </w:tcPr>
          <w:p>
            <w:pPr>
              <w:pStyle w:val="65"/>
              <w:spacing w:before="107"/>
              <w:ind w:left="526"/>
              <w:rPr>
                <w:color w:val="auto"/>
                <w:sz w:val="21"/>
                <w:highlight w:val="none"/>
              </w:rPr>
            </w:pPr>
            <w:r>
              <w:rPr>
                <w:color w:val="auto"/>
                <w:sz w:val="21"/>
                <w:highlight w:val="none"/>
              </w:rPr>
              <w:t>材质和表面处理。</w:t>
            </w:r>
          </w:p>
          <w:p>
            <w:pPr>
              <w:pStyle w:val="65"/>
              <w:numPr>
                <w:ilvl w:val="0"/>
                <w:numId w:val="16"/>
              </w:numPr>
              <w:tabs>
                <w:tab w:val="left" w:pos="526"/>
                <w:tab w:val="left" w:pos="527"/>
              </w:tabs>
              <w:spacing w:before="130" w:line="357" w:lineRule="auto"/>
              <w:ind w:right="137"/>
              <w:rPr>
                <w:color w:val="auto"/>
                <w:sz w:val="21"/>
                <w:highlight w:val="none"/>
                <w:lang w:eastAsia="zh-CN"/>
              </w:rPr>
            </w:pPr>
            <w:r>
              <w:rPr>
                <w:color w:val="auto"/>
                <w:sz w:val="21"/>
                <w:highlight w:val="none"/>
                <w:lang w:eastAsia="zh-CN"/>
              </w:rPr>
              <w:t>为了遵守项目的日程安排的设计文件，乙方将制作两个景观扩初设计图集。图集#</w:t>
            </w:r>
            <w:r>
              <w:rPr>
                <w:rFonts w:hint="eastAsia" w:ascii="Times New Roman" w:hAnsi="Times New Roman"/>
                <w:color w:val="auto"/>
                <w:sz w:val="21"/>
                <w:highlight w:val="none"/>
                <w:lang w:eastAsia="zh-CN"/>
              </w:rPr>
              <w:t>1</w:t>
            </w:r>
            <w:r>
              <w:rPr>
                <w:color w:val="auto"/>
                <w:spacing w:val="-4"/>
                <w:sz w:val="21"/>
                <w:highlight w:val="none"/>
                <w:lang w:eastAsia="zh-CN"/>
              </w:rPr>
              <w:t xml:space="preserve"> 包含软硬景基本总平面和竖向</w:t>
            </w:r>
            <w:r>
              <w:rPr>
                <w:color w:val="auto"/>
                <w:sz w:val="21"/>
                <w:highlight w:val="none"/>
                <w:lang w:eastAsia="zh-CN"/>
              </w:rPr>
              <w:t>/排水/照明点位平面图。图集#</w:t>
            </w:r>
            <w:r>
              <w:rPr>
                <w:rFonts w:hint="eastAsia" w:ascii="Times New Roman" w:hAnsi="Times New Roman"/>
                <w:color w:val="auto"/>
                <w:sz w:val="21"/>
                <w:highlight w:val="none"/>
                <w:lang w:eastAsia="zh-CN"/>
              </w:rPr>
              <w:t>2</w:t>
            </w:r>
            <w:r>
              <w:rPr>
                <w:color w:val="auto"/>
                <w:spacing w:val="-3"/>
                <w:sz w:val="21"/>
                <w:highlight w:val="none"/>
                <w:lang w:eastAsia="zh-CN"/>
              </w:rPr>
              <w:t xml:space="preserve"> 包括扩初说明、目录以及主要区域、标准段及重点构筑物之尺寸、剖面、材料样式图及材料小样。</w:t>
            </w:r>
          </w:p>
          <w:p>
            <w:pPr>
              <w:pStyle w:val="65"/>
              <w:numPr>
                <w:ilvl w:val="0"/>
                <w:numId w:val="16"/>
              </w:numPr>
              <w:tabs>
                <w:tab w:val="left" w:pos="526"/>
                <w:tab w:val="left" w:pos="527"/>
              </w:tabs>
              <w:spacing w:line="264" w:lineRule="exact"/>
              <w:ind w:hanging="421"/>
              <w:rPr>
                <w:color w:val="auto"/>
                <w:sz w:val="21"/>
                <w:highlight w:val="none"/>
                <w:lang w:eastAsia="zh-CN"/>
              </w:rPr>
            </w:pPr>
            <w:r>
              <w:rPr>
                <w:color w:val="auto"/>
                <w:sz w:val="21"/>
                <w:highlight w:val="none"/>
                <w:lang w:eastAsia="zh-CN"/>
              </w:rPr>
              <w:t>为重点设计元素的实样制作细部详图及彩图；</w:t>
            </w:r>
          </w:p>
          <w:p>
            <w:pPr>
              <w:pStyle w:val="65"/>
              <w:numPr>
                <w:ilvl w:val="0"/>
                <w:numId w:val="16"/>
              </w:numPr>
              <w:tabs>
                <w:tab w:val="left" w:pos="526"/>
                <w:tab w:val="left" w:pos="527"/>
              </w:tabs>
              <w:spacing w:before="131"/>
              <w:ind w:hanging="421"/>
              <w:rPr>
                <w:color w:val="auto"/>
                <w:sz w:val="21"/>
                <w:highlight w:val="none"/>
                <w:lang w:eastAsia="zh-CN"/>
              </w:rPr>
            </w:pPr>
            <w:r>
              <w:rPr>
                <w:color w:val="auto"/>
                <w:sz w:val="21"/>
                <w:highlight w:val="none"/>
                <w:lang w:eastAsia="zh-CN"/>
              </w:rPr>
              <w:t>与水景水电工程师协调达到水景要求有关水景系统及泵房位置等</w:t>
            </w:r>
          </w:p>
          <w:p>
            <w:pPr>
              <w:pStyle w:val="65"/>
              <w:numPr>
                <w:ilvl w:val="0"/>
                <w:numId w:val="16"/>
              </w:numPr>
              <w:tabs>
                <w:tab w:val="left" w:pos="526"/>
                <w:tab w:val="left" w:pos="527"/>
              </w:tabs>
              <w:spacing w:before="131"/>
              <w:ind w:hanging="421"/>
              <w:rPr>
                <w:color w:val="auto"/>
                <w:sz w:val="21"/>
                <w:highlight w:val="none"/>
                <w:lang w:eastAsia="zh-CN"/>
              </w:rPr>
            </w:pPr>
            <w:r>
              <w:rPr>
                <w:color w:val="auto"/>
                <w:spacing w:val="-26"/>
                <w:sz w:val="21"/>
                <w:highlight w:val="none"/>
                <w:lang w:eastAsia="zh-CN"/>
              </w:rPr>
              <w:t xml:space="preserve">在 </w:t>
            </w:r>
            <w:r>
              <w:rPr>
                <w:rFonts w:hint="eastAsia" w:ascii="Times New Roman" w:hAnsi="Times New Roman"/>
                <w:color w:val="auto"/>
                <w:sz w:val="21"/>
                <w:highlight w:val="none"/>
                <w:lang w:eastAsia="zh-CN"/>
              </w:rPr>
              <w:t>50</w:t>
            </w:r>
            <w:r>
              <w:rPr>
                <w:color w:val="auto"/>
                <w:sz w:val="21"/>
                <w:highlight w:val="none"/>
                <w:lang w:eastAsia="zh-CN"/>
              </w:rPr>
              <w:t>%完成阶段与甲方进行设计过程和协调会议。</w:t>
            </w:r>
          </w:p>
          <w:p>
            <w:pPr>
              <w:pStyle w:val="65"/>
              <w:numPr>
                <w:ilvl w:val="0"/>
                <w:numId w:val="16"/>
              </w:numPr>
              <w:tabs>
                <w:tab w:val="left" w:pos="526"/>
                <w:tab w:val="left" w:pos="527"/>
              </w:tabs>
              <w:spacing w:before="128"/>
              <w:ind w:hanging="421"/>
              <w:rPr>
                <w:color w:val="auto"/>
                <w:sz w:val="21"/>
                <w:highlight w:val="none"/>
                <w:lang w:eastAsia="zh-CN"/>
              </w:rPr>
            </w:pPr>
            <w:r>
              <w:rPr>
                <w:color w:val="auto"/>
                <w:spacing w:val="-26"/>
                <w:sz w:val="21"/>
                <w:highlight w:val="none"/>
                <w:lang w:eastAsia="zh-CN"/>
              </w:rPr>
              <w:t xml:space="preserve">在 </w:t>
            </w:r>
            <w:r>
              <w:rPr>
                <w:rFonts w:hint="eastAsia" w:ascii="Times New Roman" w:hAnsi="Times New Roman"/>
                <w:color w:val="auto"/>
                <w:sz w:val="21"/>
                <w:highlight w:val="none"/>
                <w:lang w:eastAsia="zh-CN"/>
              </w:rPr>
              <w:t>100</w:t>
            </w:r>
            <w:r>
              <w:rPr>
                <w:color w:val="auto"/>
                <w:sz w:val="21"/>
                <w:highlight w:val="none"/>
                <w:lang w:eastAsia="zh-CN"/>
              </w:rPr>
              <w:t>%完成阶段向甲方汇报景观扩初设计及进行工作会议。</w:t>
            </w:r>
          </w:p>
          <w:p>
            <w:pPr>
              <w:pStyle w:val="65"/>
              <w:numPr>
                <w:ilvl w:val="0"/>
                <w:numId w:val="16"/>
              </w:numPr>
              <w:tabs>
                <w:tab w:val="left" w:pos="526"/>
                <w:tab w:val="left" w:pos="527"/>
              </w:tabs>
              <w:spacing w:before="130" w:line="357" w:lineRule="auto"/>
              <w:ind w:right="245"/>
              <w:rPr>
                <w:color w:val="auto"/>
                <w:sz w:val="21"/>
                <w:highlight w:val="none"/>
                <w:lang w:eastAsia="zh-CN"/>
              </w:rPr>
            </w:pPr>
            <w:r>
              <w:rPr>
                <w:color w:val="auto"/>
                <w:w w:val="95"/>
                <w:sz w:val="21"/>
                <w:highlight w:val="none"/>
                <w:lang w:eastAsia="zh-CN"/>
              </w:rPr>
              <w:t xml:space="preserve">根据扩初汇报的反馈意见，完成扩初设计修改并将最终成果提供 </w:t>
            </w:r>
            <w:r>
              <w:rPr>
                <w:color w:val="auto"/>
                <w:sz w:val="21"/>
                <w:highlight w:val="none"/>
                <w:lang w:eastAsia="zh-CN"/>
              </w:rPr>
              <w:t>给甲方。</w:t>
            </w:r>
          </w:p>
          <w:p>
            <w:pPr>
              <w:pStyle w:val="65"/>
              <w:spacing w:line="266" w:lineRule="exact"/>
              <w:ind w:left="106"/>
              <w:rPr>
                <w:color w:val="auto"/>
                <w:sz w:val="21"/>
                <w:highlight w:val="none"/>
              </w:rPr>
            </w:pPr>
            <w:r>
              <w:rPr>
                <w:color w:val="auto"/>
                <w:sz w:val="21"/>
                <w:highlight w:val="none"/>
              </w:rPr>
              <w:t>设计成果：</w:t>
            </w:r>
          </w:p>
          <w:p>
            <w:pPr>
              <w:pStyle w:val="65"/>
              <w:numPr>
                <w:ilvl w:val="0"/>
                <w:numId w:val="16"/>
              </w:numPr>
              <w:tabs>
                <w:tab w:val="left" w:pos="526"/>
                <w:tab w:val="left" w:pos="527"/>
              </w:tabs>
              <w:spacing w:before="131"/>
              <w:ind w:hanging="421"/>
              <w:rPr>
                <w:color w:val="auto"/>
                <w:sz w:val="21"/>
                <w:highlight w:val="none"/>
                <w:lang w:eastAsia="zh-CN"/>
              </w:rPr>
            </w:pPr>
            <w:r>
              <w:rPr>
                <w:color w:val="auto"/>
                <w:sz w:val="21"/>
                <w:highlight w:val="none"/>
                <w:lang w:eastAsia="zh-CN"/>
              </w:rPr>
              <w:t>材料平面图(硬景元素)、尺寸图、索引图(≥</w:t>
            </w:r>
            <w:r>
              <w:rPr>
                <w:rFonts w:hint="eastAsia" w:ascii="Times New Roman" w:hAnsi="Times New Roman"/>
                <w:color w:val="auto"/>
                <w:sz w:val="21"/>
                <w:highlight w:val="none"/>
                <w:lang w:eastAsia="zh-CN"/>
              </w:rPr>
              <w:t>1</w:t>
            </w:r>
            <w:r>
              <w:rPr>
                <w:color w:val="auto"/>
                <w:sz w:val="21"/>
                <w:highlight w:val="none"/>
                <w:lang w:eastAsia="zh-CN"/>
              </w:rPr>
              <w:t>:</w:t>
            </w:r>
            <w:r>
              <w:rPr>
                <w:rFonts w:hint="eastAsia" w:ascii="Times New Roman" w:hAnsi="Times New Roman"/>
                <w:color w:val="auto"/>
                <w:sz w:val="21"/>
                <w:highlight w:val="none"/>
                <w:lang w:eastAsia="zh-CN"/>
              </w:rPr>
              <w:t>500</w:t>
            </w:r>
            <w:r>
              <w:rPr>
                <w:color w:val="auto"/>
                <w:sz w:val="21"/>
                <w:highlight w:val="none"/>
                <w:lang w:eastAsia="zh-CN"/>
              </w:rPr>
              <w:t>)</w:t>
            </w:r>
          </w:p>
          <w:p>
            <w:pPr>
              <w:pStyle w:val="65"/>
              <w:numPr>
                <w:ilvl w:val="0"/>
                <w:numId w:val="16"/>
              </w:numPr>
              <w:tabs>
                <w:tab w:val="left" w:pos="526"/>
                <w:tab w:val="left" w:pos="527"/>
              </w:tabs>
              <w:spacing w:before="131"/>
              <w:ind w:hanging="421"/>
              <w:rPr>
                <w:color w:val="auto"/>
                <w:sz w:val="21"/>
                <w:highlight w:val="none"/>
                <w:lang w:eastAsia="zh-CN"/>
              </w:rPr>
            </w:pPr>
            <w:r>
              <w:rPr>
                <w:color w:val="auto"/>
                <w:spacing w:val="-1"/>
                <w:sz w:val="21"/>
                <w:highlight w:val="none"/>
                <w:lang w:eastAsia="zh-CN"/>
              </w:rPr>
              <w:t>竖向和排水点位布置平面图(硬景和软景) (≥</w:t>
            </w:r>
            <w:r>
              <w:rPr>
                <w:rFonts w:hint="eastAsia" w:ascii="Times New Roman" w:hAnsi="Times New Roman"/>
                <w:color w:val="auto"/>
                <w:sz w:val="21"/>
                <w:highlight w:val="none"/>
                <w:lang w:eastAsia="zh-CN"/>
              </w:rPr>
              <w:t>1</w:t>
            </w:r>
            <w:r>
              <w:rPr>
                <w:color w:val="auto"/>
                <w:sz w:val="21"/>
                <w:highlight w:val="none"/>
                <w:lang w:eastAsia="zh-CN"/>
              </w:rPr>
              <w:t>:</w:t>
            </w:r>
            <w:r>
              <w:rPr>
                <w:rFonts w:hint="eastAsia" w:ascii="Times New Roman" w:hAnsi="Times New Roman"/>
                <w:color w:val="auto"/>
                <w:sz w:val="21"/>
                <w:highlight w:val="none"/>
                <w:lang w:eastAsia="zh-CN"/>
              </w:rPr>
              <w:t>500</w:t>
            </w:r>
            <w:r>
              <w:rPr>
                <w:color w:val="auto"/>
                <w:sz w:val="21"/>
                <w:highlight w:val="none"/>
                <w:lang w:eastAsia="zh-CN"/>
              </w:rPr>
              <w:t>)</w:t>
            </w:r>
          </w:p>
          <w:p>
            <w:pPr>
              <w:pStyle w:val="65"/>
              <w:numPr>
                <w:ilvl w:val="0"/>
                <w:numId w:val="16"/>
              </w:numPr>
              <w:tabs>
                <w:tab w:val="left" w:pos="526"/>
                <w:tab w:val="left" w:pos="527"/>
              </w:tabs>
              <w:spacing w:before="128"/>
              <w:ind w:hanging="421"/>
              <w:rPr>
                <w:color w:val="auto"/>
                <w:sz w:val="21"/>
                <w:highlight w:val="none"/>
                <w:lang w:eastAsia="zh-CN"/>
              </w:rPr>
            </w:pPr>
            <w:r>
              <w:rPr>
                <w:color w:val="auto"/>
                <w:sz w:val="21"/>
                <w:highlight w:val="none"/>
                <w:lang w:eastAsia="zh-CN"/>
              </w:rPr>
              <w:t>水景和水文平面图、立面图、剖面图(≥</w:t>
            </w:r>
            <w:r>
              <w:rPr>
                <w:rFonts w:hint="eastAsia" w:ascii="Times New Roman" w:hAnsi="Times New Roman"/>
                <w:color w:val="auto"/>
                <w:sz w:val="21"/>
                <w:highlight w:val="none"/>
                <w:lang w:eastAsia="zh-CN"/>
              </w:rPr>
              <w:t>1</w:t>
            </w:r>
            <w:r>
              <w:rPr>
                <w:color w:val="auto"/>
                <w:sz w:val="21"/>
                <w:highlight w:val="none"/>
                <w:lang w:eastAsia="zh-CN"/>
              </w:rPr>
              <w:t>:</w:t>
            </w:r>
            <w:r>
              <w:rPr>
                <w:rFonts w:hint="eastAsia" w:ascii="Times New Roman" w:hAnsi="Times New Roman"/>
                <w:color w:val="auto"/>
                <w:sz w:val="21"/>
                <w:highlight w:val="none"/>
                <w:lang w:eastAsia="zh-CN"/>
              </w:rPr>
              <w:t>500</w:t>
            </w:r>
            <w:r>
              <w:rPr>
                <w:color w:val="auto"/>
                <w:sz w:val="21"/>
                <w:highlight w:val="none"/>
                <w:lang w:eastAsia="zh-CN"/>
              </w:rPr>
              <w:t>)</w:t>
            </w:r>
          </w:p>
          <w:p>
            <w:pPr>
              <w:pStyle w:val="65"/>
              <w:numPr>
                <w:ilvl w:val="0"/>
                <w:numId w:val="16"/>
              </w:numPr>
              <w:tabs>
                <w:tab w:val="left" w:pos="526"/>
                <w:tab w:val="left" w:pos="527"/>
              </w:tabs>
              <w:spacing w:before="130" w:line="357" w:lineRule="auto"/>
              <w:ind w:right="190"/>
              <w:rPr>
                <w:color w:val="auto"/>
                <w:sz w:val="21"/>
                <w:highlight w:val="none"/>
                <w:lang w:eastAsia="zh-CN"/>
              </w:rPr>
            </w:pPr>
            <w:r>
              <w:rPr>
                <w:color w:val="auto"/>
                <w:spacing w:val="-4"/>
                <w:sz w:val="21"/>
                <w:highlight w:val="none"/>
                <w:lang w:eastAsia="zh-CN"/>
              </w:rPr>
              <w:t xml:space="preserve">景观小品、构筑物、围墙、小区出入口 </w:t>
            </w:r>
            <w:r>
              <w:rPr>
                <w:rFonts w:hint="eastAsia" w:ascii="Times New Roman" w:hAnsi="Times New Roman"/>
                <w:color w:val="auto"/>
                <w:sz w:val="21"/>
                <w:highlight w:val="none"/>
                <w:lang w:eastAsia="zh-CN"/>
              </w:rPr>
              <w:t>LOGO</w:t>
            </w:r>
            <w:r>
              <w:rPr>
                <w:color w:val="auto"/>
                <w:sz w:val="21"/>
                <w:highlight w:val="none"/>
                <w:lang w:eastAsia="zh-CN"/>
              </w:rPr>
              <w:t>、室外泳池、地下车库入口景观、非机动车坡道入口景观平、立、剖面图</w:t>
            </w:r>
          </w:p>
          <w:p>
            <w:pPr>
              <w:pStyle w:val="65"/>
              <w:numPr>
                <w:ilvl w:val="0"/>
                <w:numId w:val="16"/>
              </w:numPr>
              <w:tabs>
                <w:tab w:val="left" w:pos="526"/>
                <w:tab w:val="left" w:pos="527"/>
              </w:tabs>
              <w:spacing w:line="266" w:lineRule="exact"/>
              <w:ind w:hanging="421"/>
              <w:rPr>
                <w:color w:val="auto"/>
                <w:sz w:val="21"/>
                <w:highlight w:val="none"/>
                <w:lang w:eastAsia="zh-CN"/>
              </w:rPr>
            </w:pPr>
            <w:r>
              <w:rPr>
                <w:color w:val="auto"/>
                <w:sz w:val="21"/>
                <w:highlight w:val="none"/>
                <w:lang w:eastAsia="zh-CN"/>
              </w:rPr>
              <w:t>基地照明点位布置平面图(不包括电气系统图)(≥</w:t>
            </w:r>
            <w:r>
              <w:rPr>
                <w:rFonts w:hint="eastAsia" w:ascii="Times New Roman" w:hAnsi="Times New Roman"/>
                <w:color w:val="auto"/>
                <w:sz w:val="21"/>
                <w:highlight w:val="none"/>
                <w:lang w:eastAsia="zh-CN"/>
              </w:rPr>
              <w:t>1</w:t>
            </w:r>
            <w:r>
              <w:rPr>
                <w:color w:val="auto"/>
                <w:sz w:val="21"/>
                <w:highlight w:val="none"/>
                <w:lang w:eastAsia="zh-CN"/>
              </w:rPr>
              <w:t>:</w:t>
            </w:r>
            <w:r>
              <w:rPr>
                <w:rFonts w:hint="eastAsia" w:ascii="Times New Roman" w:hAnsi="Times New Roman"/>
                <w:color w:val="auto"/>
                <w:sz w:val="21"/>
                <w:highlight w:val="none"/>
                <w:lang w:eastAsia="zh-CN"/>
              </w:rPr>
              <w:t>500</w:t>
            </w:r>
            <w:r>
              <w:rPr>
                <w:color w:val="auto"/>
                <w:sz w:val="21"/>
                <w:highlight w:val="none"/>
                <w:lang w:eastAsia="zh-CN"/>
              </w:rPr>
              <w:t>)</w:t>
            </w:r>
          </w:p>
          <w:p>
            <w:pPr>
              <w:pStyle w:val="65"/>
              <w:numPr>
                <w:ilvl w:val="0"/>
                <w:numId w:val="16"/>
              </w:numPr>
              <w:tabs>
                <w:tab w:val="left" w:pos="526"/>
                <w:tab w:val="left" w:pos="527"/>
              </w:tabs>
              <w:spacing w:before="131" w:line="357" w:lineRule="auto"/>
              <w:ind w:right="139"/>
              <w:rPr>
                <w:color w:val="auto"/>
                <w:sz w:val="21"/>
                <w:highlight w:val="none"/>
                <w:lang w:eastAsia="zh-CN"/>
              </w:rPr>
            </w:pPr>
            <w:r>
              <w:rPr>
                <w:color w:val="auto"/>
                <w:w w:val="95"/>
                <w:sz w:val="21"/>
                <w:highlight w:val="none"/>
                <w:lang w:eastAsia="zh-CN"/>
              </w:rPr>
              <w:t xml:space="preserve">植栽结构平面图、苗木规格(不包括植物数量，含苗木规格、政府 </w:t>
            </w:r>
            <w:r>
              <w:rPr>
                <w:color w:val="auto"/>
                <w:sz w:val="21"/>
                <w:highlight w:val="none"/>
                <w:lang w:eastAsia="zh-CN"/>
              </w:rPr>
              <w:t>部门报批需要时，应提供树苗数量)(≥</w:t>
            </w:r>
            <w:r>
              <w:rPr>
                <w:rFonts w:hint="eastAsia" w:ascii="Times New Roman" w:hAnsi="Times New Roman"/>
                <w:color w:val="auto"/>
                <w:sz w:val="21"/>
                <w:highlight w:val="none"/>
                <w:lang w:eastAsia="zh-CN"/>
              </w:rPr>
              <w:t>1</w:t>
            </w:r>
            <w:r>
              <w:rPr>
                <w:color w:val="auto"/>
                <w:sz w:val="21"/>
                <w:highlight w:val="none"/>
                <w:lang w:eastAsia="zh-CN"/>
              </w:rPr>
              <w:t>:</w:t>
            </w:r>
            <w:r>
              <w:rPr>
                <w:rFonts w:hint="eastAsia" w:ascii="Times New Roman" w:hAnsi="Times New Roman"/>
                <w:color w:val="auto"/>
                <w:sz w:val="21"/>
                <w:highlight w:val="none"/>
                <w:lang w:eastAsia="zh-CN"/>
              </w:rPr>
              <w:t>500</w:t>
            </w:r>
            <w:r>
              <w:rPr>
                <w:color w:val="auto"/>
                <w:sz w:val="21"/>
                <w:highlight w:val="none"/>
                <w:lang w:eastAsia="zh-CN"/>
              </w:rPr>
              <w:t>)</w:t>
            </w:r>
          </w:p>
          <w:p>
            <w:pPr>
              <w:pStyle w:val="65"/>
              <w:numPr>
                <w:ilvl w:val="0"/>
                <w:numId w:val="16"/>
              </w:numPr>
              <w:tabs>
                <w:tab w:val="left" w:pos="526"/>
                <w:tab w:val="left" w:pos="527"/>
              </w:tabs>
              <w:spacing w:line="266" w:lineRule="exact"/>
              <w:ind w:hanging="421"/>
              <w:rPr>
                <w:color w:val="auto"/>
                <w:sz w:val="21"/>
                <w:highlight w:val="none"/>
              </w:rPr>
            </w:pPr>
            <w:r>
              <w:rPr>
                <w:color w:val="auto"/>
                <w:w w:val="95"/>
                <w:sz w:val="21"/>
                <w:highlight w:val="none"/>
              </w:rPr>
              <w:t>基地室外家具布局图</w:t>
            </w:r>
          </w:p>
          <w:p>
            <w:pPr>
              <w:pStyle w:val="65"/>
              <w:numPr>
                <w:ilvl w:val="0"/>
                <w:numId w:val="16"/>
              </w:numPr>
              <w:tabs>
                <w:tab w:val="left" w:pos="526"/>
                <w:tab w:val="left" w:pos="527"/>
              </w:tabs>
              <w:spacing w:before="131"/>
              <w:ind w:hanging="421"/>
              <w:rPr>
                <w:color w:val="auto"/>
                <w:sz w:val="21"/>
                <w:highlight w:val="none"/>
              </w:rPr>
            </w:pPr>
            <w:r>
              <w:rPr>
                <w:color w:val="auto"/>
                <w:w w:val="95"/>
                <w:sz w:val="21"/>
                <w:highlight w:val="none"/>
              </w:rPr>
              <w:t>公共艺术布置点位图</w:t>
            </w:r>
          </w:p>
          <w:p>
            <w:pPr>
              <w:pStyle w:val="65"/>
              <w:numPr>
                <w:ilvl w:val="0"/>
                <w:numId w:val="16"/>
              </w:numPr>
              <w:tabs>
                <w:tab w:val="left" w:pos="526"/>
                <w:tab w:val="left" w:pos="527"/>
              </w:tabs>
              <w:spacing w:before="130"/>
              <w:ind w:hanging="421"/>
              <w:rPr>
                <w:color w:val="auto"/>
                <w:sz w:val="21"/>
                <w:highlight w:val="none"/>
                <w:lang w:eastAsia="zh-CN"/>
              </w:rPr>
            </w:pPr>
            <w:r>
              <w:rPr>
                <w:color w:val="auto"/>
                <w:sz w:val="21"/>
                <w:highlight w:val="none"/>
                <w:lang w:eastAsia="zh-CN"/>
              </w:rPr>
              <w:t>重点区域纵向、横向剖面图、立面图、</w:t>
            </w:r>
          </w:p>
          <w:p>
            <w:pPr>
              <w:pStyle w:val="65"/>
              <w:numPr>
                <w:ilvl w:val="0"/>
                <w:numId w:val="16"/>
              </w:numPr>
              <w:tabs>
                <w:tab w:val="left" w:pos="526"/>
                <w:tab w:val="left" w:pos="527"/>
              </w:tabs>
              <w:spacing w:before="128"/>
              <w:ind w:hanging="421"/>
              <w:rPr>
                <w:color w:val="auto"/>
                <w:sz w:val="21"/>
                <w:highlight w:val="none"/>
                <w:lang w:eastAsia="zh-CN"/>
              </w:rPr>
            </w:pPr>
            <w:r>
              <w:rPr>
                <w:color w:val="auto"/>
                <w:spacing w:val="-6"/>
                <w:sz w:val="21"/>
                <w:highlight w:val="none"/>
                <w:lang w:eastAsia="zh-CN"/>
              </w:rPr>
              <w:t xml:space="preserve">重点区域扩初深度 </w:t>
            </w:r>
            <w:r>
              <w:rPr>
                <w:rFonts w:hint="eastAsia" w:ascii="Times New Roman" w:hAnsi="Times New Roman"/>
                <w:color w:val="auto"/>
                <w:sz w:val="21"/>
                <w:highlight w:val="none"/>
                <w:lang w:eastAsia="zh-CN"/>
              </w:rPr>
              <w:t>SU</w:t>
            </w:r>
            <w:r>
              <w:rPr>
                <w:color w:val="auto"/>
                <w:spacing w:val="-18"/>
                <w:sz w:val="21"/>
                <w:highlight w:val="none"/>
                <w:lang w:eastAsia="zh-CN"/>
              </w:rPr>
              <w:t xml:space="preserve"> 模型</w:t>
            </w:r>
          </w:p>
          <w:p>
            <w:pPr>
              <w:pStyle w:val="65"/>
              <w:numPr>
                <w:ilvl w:val="0"/>
                <w:numId w:val="16"/>
              </w:numPr>
              <w:tabs>
                <w:tab w:val="left" w:pos="526"/>
                <w:tab w:val="left" w:pos="527"/>
              </w:tabs>
              <w:spacing w:before="131"/>
              <w:ind w:hanging="421"/>
              <w:rPr>
                <w:color w:val="auto"/>
                <w:sz w:val="21"/>
                <w:highlight w:val="none"/>
                <w:lang w:eastAsia="zh-CN"/>
              </w:rPr>
            </w:pPr>
            <w:r>
              <w:rPr>
                <w:color w:val="auto"/>
                <w:sz w:val="21"/>
                <w:highlight w:val="none"/>
                <w:lang w:eastAsia="zh-CN"/>
              </w:rPr>
              <w:t>材料选择和规格列表(附带参考图片)</w:t>
            </w:r>
          </w:p>
          <w:p>
            <w:pPr>
              <w:pStyle w:val="65"/>
              <w:numPr>
                <w:ilvl w:val="0"/>
                <w:numId w:val="16"/>
              </w:numPr>
              <w:tabs>
                <w:tab w:val="left" w:pos="526"/>
                <w:tab w:val="left" w:pos="527"/>
              </w:tabs>
              <w:spacing w:before="131"/>
              <w:ind w:hanging="421"/>
              <w:rPr>
                <w:color w:val="auto"/>
                <w:sz w:val="21"/>
                <w:highlight w:val="none"/>
              </w:rPr>
            </w:pPr>
            <w:r>
              <w:rPr>
                <w:color w:val="auto"/>
                <w:sz w:val="21"/>
                <w:highlight w:val="none"/>
              </w:rPr>
              <w:t>景观设计估算</w:t>
            </w:r>
          </w:p>
        </w:tc>
        <w:tc>
          <w:tcPr>
            <w:tcW w:w="884" w:type="dxa"/>
          </w:tcPr>
          <w:p>
            <w:pPr>
              <w:pStyle w:val="6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7" w:hRule="atLeast"/>
        </w:trPr>
        <w:tc>
          <w:tcPr>
            <w:tcW w:w="1101" w:type="dxa"/>
          </w:tcPr>
          <w:p>
            <w:pPr>
              <w:pStyle w:val="65"/>
              <w:rPr>
                <w:color w:val="auto"/>
                <w:sz w:val="20"/>
                <w:highlight w:val="none"/>
              </w:rPr>
            </w:pPr>
          </w:p>
          <w:p>
            <w:pPr>
              <w:pStyle w:val="65"/>
              <w:rPr>
                <w:color w:val="auto"/>
                <w:sz w:val="20"/>
                <w:highlight w:val="none"/>
              </w:rPr>
            </w:pPr>
          </w:p>
          <w:p>
            <w:pPr>
              <w:pStyle w:val="65"/>
              <w:rPr>
                <w:color w:val="auto"/>
                <w:sz w:val="20"/>
                <w:highlight w:val="none"/>
              </w:rPr>
            </w:pPr>
          </w:p>
          <w:p>
            <w:pPr>
              <w:pStyle w:val="65"/>
              <w:rPr>
                <w:color w:val="auto"/>
                <w:sz w:val="20"/>
                <w:highlight w:val="none"/>
              </w:rPr>
            </w:pPr>
          </w:p>
          <w:p>
            <w:pPr>
              <w:pStyle w:val="65"/>
              <w:rPr>
                <w:color w:val="auto"/>
                <w:sz w:val="20"/>
                <w:highlight w:val="none"/>
              </w:rPr>
            </w:pPr>
          </w:p>
          <w:p>
            <w:pPr>
              <w:pStyle w:val="65"/>
              <w:rPr>
                <w:color w:val="auto"/>
                <w:sz w:val="20"/>
                <w:highlight w:val="none"/>
              </w:rPr>
            </w:pPr>
          </w:p>
          <w:p>
            <w:pPr>
              <w:pStyle w:val="65"/>
              <w:spacing w:before="169"/>
              <w:ind w:left="235"/>
              <w:rPr>
                <w:color w:val="auto"/>
                <w:sz w:val="21"/>
                <w:highlight w:val="none"/>
              </w:rPr>
            </w:pPr>
            <w:r>
              <w:rPr>
                <w:color w:val="auto"/>
                <w:sz w:val="21"/>
                <w:highlight w:val="none"/>
              </w:rPr>
              <w:t>施工图</w:t>
            </w:r>
          </w:p>
        </w:tc>
        <w:tc>
          <w:tcPr>
            <w:tcW w:w="6662" w:type="dxa"/>
          </w:tcPr>
          <w:p>
            <w:pPr>
              <w:pStyle w:val="65"/>
              <w:spacing w:before="108"/>
              <w:ind w:left="106"/>
              <w:rPr>
                <w:color w:val="auto"/>
                <w:sz w:val="21"/>
                <w:highlight w:val="none"/>
              </w:rPr>
            </w:pPr>
            <w:r>
              <w:rPr>
                <w:color w:val="auto"/>
                <w:sz w:val="21"/>
                <w:highlight w:val="none"/>
              </w:rPr>
              <w:t>设计内容：</w:t>
            </w:r>
          </w:p>
          <w:p>
            <w:pPr>
              <w:pStyle w:val="65"/>
              <w:numPr>
                <w:ilvl w:val="0"/>
                <w:numId w:val="17"/>
              </w:numPr>
              <w:tabs>
                <w:tab w:val="left" w:pos="526"/>
                <w:tab w:val="left" w:pos="527"/>
              </w:tabs>
              <w:spacing w:before="128"/>
              <w:ind w:hanging="421"/>
              <w:rPr>
                <w:color w:val="auto"/>
                <w:sz w:val="21"/>
                <w:highlight w:val="none"/>
                <w:lang w:eastAsia="zh-CN"/>
              </w:rPr>
            </w:pPr>
            <w:r>
              <w:rPr>
                <w:color w:val="auto"/>
                <w:sz w:val="21"/>
                <w:highlight w:val="none"/>
                <w:lang w:eastAsia="zh-CN"/>
              </w:rPr>
              <w:t>根据被批准的景观扩初设计，乙方将进行景观施工图设计。</w:t>
            </w:r>
          </w:p>
          <w:p>
            <w:pPr>
              <w:pStyle w:val="65"/>
              <w:numPr>
                <w:ilvl w:val="0"/>
                <w:numId w:val="17"/>
              </w:numPr>
              <w:tabs>
                <w:tab w:val="left" w:pos="526"/>
                <w:tab w:val="left" w:pos="527"/>
              </w:tabs>
              <w:spacing w:before="131" w:line="357" w:lineRule="auto"/>
              <w:ind w:right="139"/>
              <w:rPr>
                <w:color w:val="auto"/>
                <w:sz w:val="21"/>
                <w:highlight w:val="none"/>
                <w:lang w:eastAsia="zh-CN"/>
              </w:rPr>
            </w:pPr>
            <w:r>
              <w:rPr>
                <w:color w:val="auto"/>
                <w:sz w:val="21"/>
                <w:highlight w:val="none"/>
                <w:lang w:eastAsia="zh-CN"/>
              </w:rPr>
              <w:t>为了遵守项目的日程安排和及时提供符合施工次序的设计文件， 乙方将制作两个景观施工图设计图集。图集#</w:t>
            </w:r>
            <w:r>
              <w:rPr>
                <w:rFonts w:hint="eastAsia" w:ascii="Times New Roman" w:hAnsi="Times New Roman"/>
                <w:color w:val="auto"/>
                <w:sz w:val="21"/>
                <w:highlight w:val="none"/>
                <w:lang w:eastAsia="zh-CN"/>
              </w:rPr>
              <w:t>1</w:t>
            </w:r>
            <w:r>
              <w:rPr>
                <w:color w:val="auto"/>
                <w:spacing w:val="-2"/>
                <w:sz w:val="21"/>
                <w:highlight w:val="none"/>
                <w:lang w:eastAsia="zh-CN"/>
              </w:rPr>
              <w:t xml:space="preserve"> 包含总图和竖向</w:t>
            </w:r>
            <w:r>
              <w:rPr>
                <w:color w:val="auto"/>
                <w:sz w:val="21"/>
                <w:highlight w:val="none"/>
                <w:lang w:eastAsia="zh-CN"/>
              </w:rPr>
              <w:t>/ 排水和照明系统平面图。图集#</w:t>
            </w:r>
            <w:r>
              <w:rPr>
                <w:rFonts w:hint="eastAsia" w:ascii="Times New Roman" w:hAnsi="Times New Roman"/>
                <w:color w:val="auto"/>
                <w:sz w:val="21"/>
                <w:highlight w:val="none"/>
                <w:lang w:eastAsia="zh-CN"/>
              </w:rPr>
              <w:t>2</w:t>
            </w:r>
            <w:r>
              <w:rPr>
                <w:color w:val="auto"/>
                <w:spacing w:val="-4"/>
                <w:sz w:val="21"/>
                <w:highlight w:val="none"/>
                <w:lang w:eastAsia="zh-CN"/>
              </w:rPr>
              <w:t xml:space="preserve"> 包括施工说明、目录、重点区域放大、软硬景详图和基地室外照明及家具元素。</w:t>
            </w:r>
          </w:p>
          <w:p>
            <w:pPr>
              <w:pStyle w:val="65"/>
              <w:numPr>
                <w:ilvl w:val="0"/>
                <w:numId w:val="17"/>
              </w:numPr>
              <w:tabs>
                <w:tab w:val="left" w:pos="526"/>
                <w:tab w:val="left" w:pos="527"/>
              </w:tabs>
              <w:spacing w:line="266" w:lineRule="exact"/>
              <w:ind w:hanging="421"/>
              <w:rPr>
                <w:color w:val="auto"/>
                <w:sz w:val="21"/>
                <w:highlight w:val="none"/>
              </w:rPr>
            </w:pPr>
            <w:r>
              <w:rPr>
                <w:color w:val="auto"/>
                <w:sz w:val="21"/>
                <w:highlight w:val="none"/>
              </w:rPr>
              <w:t>水景深入设计。</w:t>
            </w:r>
          </w:p>
          <w:p>
            <w:pPr>
              <w:pStyle w:val="65"/>
              <w:numPr>
                <w:ilvl w:val="0"/>
                <w:numId w:val="17"/>
              </w:numPr>
              <w:tabs>
                <w:tab w:val="left" w:pos="526"/>
                <w:tab w:val="left" w:pos="527"/>
              </w:tabs>
              <w:spacing w:before="19" w:line="400" w:lineRule="exact"/>
              <w:ind w:right="245"/>
              <w:rPr>
                <w:color w:val="auto"/>
                <w:sz w:val="21"/>
                <w:highlight w:val="none"/>
                <w:lang w:eastAsia="zh-CN"/>
              </w:rPr>
            </w:pPr>
            <w:r>
              <w:rPr>
                <w:color w:val="auto"/>
                <w:w w:val="95"/>
                <w:sz w:val="21"/>
                <w:highlight w:val="none"/>
                <w:lang w:eastAsia="zh-CN"/>
              </w:rPr>
              <w:t xml:space="preserve">重点设计元素的细部详图；审查批准实样以使得材料的切实可行 </w:t>
            </w:r>
            <w:r>
              <w:rPr>
                <w:color w:val="auto"/>
                <w:sz w:val="21"/>
                <w:highlight w:val="none"/>
                <w:lang w:eastAsia="zh-CN"/>
              </w:rPr>
              <w:t>的购买。</w:t>
            </w:r>
          </w:p>
        </w:tc>
        <w:tc>
          <w:tcPr>
            <w:tcW w:w="884" w:type="dxa"/>
          </w:tcPr>
          <w:p>
            <w:pPr>
              <w:pStyle w:val="65"/>
              <w:spacing w:before="108"/>
              <w:ind w:left="107"/>
              <w:rPr>
                <w:rFonts w:hint="eastAsia" w:eastAsia="宋体"/>
                <w:color w:val="auto"/>
                <w:sz w:val="21"/>
                <w:highlight w:val="none"/>
                <w:lang w:eastAsia="zh-CN"/>
              </w:rPr>
            </w:pPr>
            <w:bookmarkStart w:id="167" w:name="8"/>
            <w:bookmarkEnd w:id="167"/>
            <w:r>
              <w:rPr>
                <w:rFonts w:hint="eastAsia" w:ascii="Times New Roman" w:hAnsi="Times New Roman"/>
                <w:color w:val="auto"/>
                <w:w w:val="99"/>
                <w:sz w:val="21"/>
                <w:highlight w:val="none"/>
                <w:lang w:eastAsia="zh-CN"/>
              </w:rPr>
              <w:t>8</w:t>
            </w:r>
          </w:p>
        </w:tc>
      </w:tr>
    </w:tbl>
    <w:p>
      <w:pPr>
        <w:rPr>
          <w:color w:val="auto"/>
          <w:sz w:val="21"/>
          <w:highlight w:val="none"/>
        </w:rPr>
        <w:sectPr>
          <w:pgSz w:w="11849" w:h="16792"/>
          <w:pgMar w:top="1417" w:right="850" w:bottom="1417" w:left="850" w:header="850" w:footer="850" w:gutter="0"/>
          <w:pgBorders>
            <w:top w:val="none" w:sz="0" w:space="0"/>
            <w:left w:val="none" w:sz="0" w:space="0"/>
            <w:bottom w:val="none" w:sz="0" w:space="0"/>
            <w:right w:val="none" w:sz="0" w:space="0"/>
          </w:pgBorders>
          <w:pgNumType w:fmt="decimal"/>
          <w:cols w:space="0" w:num="1"/>
          <w:rtlGutter w:val="0"/>
          <w:docGrid w:linePitch="0" w:charSpace="0"/>
        </w:sectPr>
      </w:pPr>
    </w:p>
    <w:tbl>
      <w:tblPr>
        <w:tblStyle w:val="104"/>
        <w:tblW w:w="0" w:type="auto"/>
        <w:tblInd w:w="7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1"/>
        <w:gridCol w:w="6662"/>
        <w:gridCol w:w="8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0" w:hRule="atLeast"/>
        </w:trPr>
        <w:tc>
          <w:tcPr>
            <w:tcW w:w="1101" w:type="dxa"/>
          </w:tcPr>
          <w:p>
            <w:pPr>
              <w:pStyle w:val="65"/>
              <w:rPr>
                <w:rFonts w:ascii="Times New Roman"/>
                <w:color w:val="auto"/>
                <w:sz w:val="20"/>
                <w:highlight w:val="none"/>
              </w:rPr>
            </w:pPr>
          </w:p>
        </w:tc>
        <w:tc>
          <w:tcPr>
            <w:tcW w:w="6662" w:type="dxa"/>
          </w:tcPr>
          <w:p>
            <w:pPr>
              <w:pStyle w:val="65"/>
              <w:numPr>
                <w:ilvl w:val="0"/>
                <w:numId w:val="18"/>
              </w:numPr>
              <w:tabs>
                <w:tab w:val="left" w:pos="526"/>
                <w:tab w:val="left" w:pos="527"/>
              </w:tabs>
              <w:spacing w:before="106"/>
              <w:ind w:hanging="421"/>
              <w:rPr>
                <w:color w:val="auto"/>
                <w:sz w:val="21"/>
                <w:highlight w:val="none"/>
                <w:lang w:eastAsia="zh-CN"/>
              </w:rPr>
            </w:pPr>
            <w:r>
              <w:rPr>
                <w:color w:val="auto"/>
                <w:spacing w:val="-26"/>
                <w:sz w:val="21"/>
                <w:highlight w:val="none"/>
                <w:lang w:eastAsia="zh-CN"/>
              </w:rPr>
              <w:t xml:space="preserve">在 </w:t>
            </w:r>
            <w:r>
              <w:rPr>
                <w:rFonts w:hint="eastAsia" w:ascii="Times New Roman" w:hAnsi="Times New Roman"/>
                <w:color w:val="auto"/>
                <w:sz w:val="21"/>
                <w:highlight w:val="none"/>
                <w:lang w:eastAsia="zh-CN"/>
              </w:rPr>
              <w:t>50</w:t>
            </w:r>
            <w:r>
              <w:rPr>
                <w:color w:val="auto"/>
                <w:sz w:val="21"/>
                <w:highlight w:val="none"/>
                <w:lang w:eastAsia="zh-CN"/>
              </w:rPr>
              <w:t>%完成阶段与甲方进行设计过程和协调会议。</w:t>
            </w:r>
          </w:p>
          <w:p>
            <w:pPr>
              <w:pStyle w:val="65"/>
              <w:numPr>
                <w:ilvl w:val="0"/>
                <w:numId w:val="18"/>
              </w:numPr>
              <w:tabs>
                <w:tab w:val="left" w:pos="526"/>
                <w:tab w:val="left" w:pos="527"/>
              </w:tabs>
              <w:spacing w:before="130"/>
              <w:ind w:hanging="421"/>
              <w:rPr>
                <w:color w:val="auto"/>
                <w:sz w:val="21"/>
                <w:highlight w:val="none"/>
                <w:lang w:eastAsia="zh-CN"/>
              </w:rPr>
            </w:pPr>
            <w:r>
              <w:rPr>
                <w:color w:val="auto"/>
                <w:spacing w:val="-26"/>
                <w:sz w:val="21"/>
                <w:highlight w:val="none"/>
                <w:lang w:eastAsia="zh-CN"/>
              </w:rPr>
              <w:t xml:space="preserve">在 </w:t>
            </w:r>
            <w:r>
              <w:rPr>
                <w:rFonts w:hint="eastAsia" w:ascii="Times New Roman" w:hAnsi="Times New Roman"/>
                <w:color w:val="auto"/>
                <w:sz w:val="21"/>
                <w:highlight w:val="none"/>
                <w:lang w:eastAsia="zh-CN"/>
              </w:rPr>
              <w:t>100</w:t>
            </w:r>
            <w:r>
              <w:rPr>
                <w:color w:val="auto"/>
                <w:sz w:val="21"/>
                <w:highlight w:val="none"/>
                <w:lang w:eastAsia="zh-CN"/>
              </w:rPr>
              <w:t>%完成阶段向甲方汇报景观施工图设计及进行工作会议。</w:t>
            </w:r>
          </w:p>
          <w:p>
            <w:pPr>
              <w:pStyle w:val="65"/>
              <w:numPr>
                <w:ilvl w:val="0"/>
                <w:numId w:val="18"/>
              </w:numPr>
              <w:tabs>
                <w:tab w:val="left" w:pos="526"/>
                <w:tab w:val="left" w:pos="527"/>
              </w:tabs>
              <w:spacing w:before="128" w:line="357" w:lineRule="auto"/>
              <w:ind w:right="245"/>
              <w:rPr>
                <w:color w:val="auto"/>
                <w:sz w:val="21"/>
                <w:highlight w:val="none"/>
                <w:lang w:eastAsia="zh-CN"/>
              </w:rPr>
            </w:pPr>
            <w:r>
              <w:rPr>
                <w:color w:val="auto"/>
                <w:w w:val="95"/>
                <w:sz w:val="21"/>
                <w:highlight w:val="none"/>
                <w:lang w:eastAsia="zh-CN"/>
              </w:rPr>
              <w:t xml:space="preserve">根据施工图汇报的反馈意见，完成施工图设计修改并将最终成果 </w:t>
            </w:r>
            <w:r>
              <w:rPr>
                <w:color w:val="auto"/>
                <w:sz w:val="21"/>
                <w:highlight w:val="none"/>
                <w:lang w:eastAsia="zh-CN"/>
              </w:rPr>
              <w:t>提供给甲方。</w:t>
            </w:r>
          </w:p>
          <w:p>
            <w:pPr>
              <w:pStyle w:val="65"/>
              <w:spacing w:line="269" w:lineRule="exact"/>
              <w:ind w:left="106"/>
              <w:rPr>
                <w:color w:val="auto"/>
                <w:sz w:val="21"/>
                <w:highlight w:val="none"/>
              </w:rPr>
            </w:pPr>
            <w:r>
              <w:rPr>
                <w:color w:val="auto"/>
                <w:sz w:val="21"/>
                <w:highlight w:val="none"/>
              </w:rPr>
              <w:t>设计成果</w:t>
            </w:r>
          </w:p>
          <w:p>
            <w:pPr>
              <w:pStyle w:val="65"/>
              <w:numPr>
                <w:ilvl w:val="0"/>
                <w:numId w:val="18"/>
              </w:numPr>
              <w:tabs>
                <w:tab w:val="left" w:pos="526"/>
                <w:tab w:val="left" w:pos="527"/>
              </w:tabs>
              <w:spacing w:before="129"/>
              <w:ind w:hanging="421"/>
              <w:rPr>
                <w:color w:val="auto"/>
                <w:sz w:val="21"/>
                <w:highlight w:val="none"/>
                <w:lang w:eastAsia="zh-CN"/>
              </w:rPr>
            </w:pPr>
            <w:r>
              <w:rPr>
                <w:color w:val="auto"/>
                <w:sz w:val="21"/>
                <w:highlight w:val="none"/>
                <w:lang w:eastAsia="zh-CN"/>
              </w:rPr>
              <w:t>总平面图(包括坐标定位，竖向标高，铺装排版)(≥</w:t>
            </w:r>
            <w:r>
              <w:rPr>
                <w:rFonts w:hint="eastAsia" w:ascii="Times New Roman" w:hAnsi="Times New Roman"/>
                <w:color w:val="auto"/>
                <w:sz w:val="21"/>
                <w:highlight w:val="none"/>
                <w:lang w:eastAsia="zh-CN"/>
              </w:rPr>
              <w:t>1</w:t>
            </w:r>
            <w:r>
              <w:rPr>
                <w:color w:val="auto"/>
                <w:sz w:val="21"/>
                <w:highlight w:val="none"/>
                <w:lang w:eastAsia="zh-CN"/>
              </w:rPr>
              <w:t>:</w:t>
            </w:r>
            <w:r>
              <w:rPr>
                <w:rFonts w:hint="eastAsia" w:ascii="Times New Roman" w:hAnsi="Times New Roman"/>
                <w:color w:val="auto"/>
                <w:sz w:val="21"/>
                <w:highlight w:val="none"/>
                <w:lang w:eastAsia="zh-CN"/>
              </w:rPr>
              <w:t>500</w:t>
            </w:r>
            <w:r>
              <w:rPr>
                <w:color w:val="auto"/>
                <w:sz w:val="21"/>
                <w:highlight w:val="none"/>
                <w:lang w:eastAsia="zh-CN"/>
              </w:rPr>
              <w:t>)</w:t>
            </w:r>
          </w:p>
          <w:p>
            <w:pPr>
              <w:pStyle w:val="65"/>
              <w:numPr>
                <w:ilvl w:val="0"/>
                <w:numId w:val="18"/>
              </w:numPr>
              <w:tabs>
                <w:tab w:val="left" w:pos="526"/>
                <w:tab w:val="left" w:pos="527"/>
              </w:tabs>
              <w:spacing w:before="130"/>
              <w:ind w:hanging="421"/>
              <w:rPr>
                <w:color w:val="auto"/>
                <w:sz w:val="21"/>
                <w:highlight w:val="none"/>
                <w:lang w:eastAsia="zh-CN"/>
              </w:rPr>
            </w:pPr>
            <w:r>
              <w:rPr>
                <w:color w:val="auto"/>
                <w:sz w:val="21"/>
                <w:highlight w:val="none"/>
                <w:lang w:eastAsia="zh-CN"/>
              </w:rPr>
              <w:t>布局和材料平面图 (硬景元素)(≥</w:t>
            </w:r>
            <w:r>
              <w:rPr>
                <w:rFonts w:hint="eastAsia" w:ascii="Times New Roman" w:hAnsi="Times New Roman"/>
                <w:color w:val="auto"/>
                <w:sz w:val="21"/>
                <w:highlight w:val="none"/>
                <w:lang w:eastAsia="zh-CN"/>
              </w:rPr>
              <w:t>1</w:t>
            </w:r>
            <w:r>
              <w:rPr>
                <w:color w:val="auto"/>
                <w:sz w:val="21"/>
                <w:highlight w:val="none"/>
                <w:lang w:eastAsia="zh-CN"/>
              </w:rPr>
              <w:t>:</w:t>
            </w:r>
            <w:r>
              <w:rPr>
                <w:rFonts w:hint="eastAsia" w:ascii="Times New Roman" w:hAnsi="Times New Roman"/>
                <w:color w:val="auto"/>
                <w:sz w:val="21"/>
                <w:highlight w:val="none"/>
                <w:lang w:eastAsia="zh-CN"/>
              </w:rPr>
              <w:t>500</w:t>
            </w:r>
            <w:r>
              <w:rPr>
                <w:color w:val="auto"/>
                <w:sz w:val="21"/>
                <w:highlight w:val="none"/>
                <w:lang w:eastAsia="zh-CN"/>
              </w:rPr>
              <w:t>)</w:t>
            </w:r>
          </w:p>
          <w:p>
            <w:pPr>
              <w:pStyle w:val="65"/>
              <w:numPr>
                <w:ilvl w:val="0"/>
                <w:numId w:val="18"/>
              </w:numPr>
              <w:tabs>
                <w:tab w:val="left" w:pos="526"/>
                <w:tab w:val="left" w:pos="527"/>
              </w:tabs>
              <w:spacing w:before="131"/>
              <w:ind w:hanging="421"/>
              <w:rPr>
                <w:color w:val="auto"/>
                <w:sz w:val="21"/>
                <w:highlight w:val="none"/>
                <w:lang w:eastAsia="zh-CN"/>
              </w:rPr>
            </w:pPr>
            <w:r>
              <w:rPr>
                <w:color w:val="auto"/>
                <w:sz w:val="21"/>
                <w:highlight w:val="none"/>
                <w:lang w:eastAsia="zh-CN"/>
              </w:rPr>
              <w:t>竖向和景观浇灌给水和景观排水平面图 (≥</w:t>
            </w:r>
            <w:r>
              <w:rPr>
                <w:rFonts w:hint="eastAsia" w:ascii="Times New Roman" w:hAnsi="Times New Roman"/>
                <w:color w:val="auto"/>
                <w:sz w:val="21"/>
                <w:highlight w:val="none"/>
                <w:lang w:eastAsia="zh-CN"/>
              </w:rPr>
              <w:t>1</w:t>
            </w:r>
            <w:r>
              <w:rPr>
                <w:color w:val="auto"/>
                <w:sz w:val="21"/>
                <w:highlight w:val="none"/>
                <w:lang w:eastAsia="zh-CN"/>
              </w:rPr>
              <w:t>:</w:t>
            </w:r>
            <w:r>
              <w:rPr>
                <w:rFonts w:hint="eastAsia" w:ascii="Times New Roman" w:hAnsi="Times New Roman"/>
                <w:color w:val="auto"/>
                <w:sz w:val="21"/>
                <w:highlight w:val="none"/>
                <w:lang w:eastAsia="zh-CN"/>
              </w:rPr>
              <w:t>500</w:t>
            </w:r>
            <w:r>
              <w:rPr>
                <w:color w:val="auto"/>
                <w:sz w:val="21"/>
                <w:highlight w:val="none"/>
                <w:lang w:eastAsia="zh-CN"/>
              </w:rPr>
              <w:t>)</w:t>
            </w:r>
          </w:p>
          <w:p>
            <w:pPr>
              <w:pStyle w:val="65"/>
              <w:numPr>
                <w:ilvl w:val="0"/>
                <w:numId w:val="18"/>
              </w:numPr>
              <w:tabs>
                <w:tab w:val="left" w:pos="526"/>
                <w:tab w:val="left" w:pos="527"/>
              </w:tabs>
              <w:spacing w:before="128" w:line="357" w:lineRule="auto"/>
              <w:ind w:right="665"/>
              <w:rPr>
                <w:color w:val="auto"/>
                <w:sz w:val="21"/>
                <w:highlight w:val="none"/>
                <w:lang w:eastAsia="zh-CN"/>
              </w:rPr>
            </w:pPr>
            <w:r>
              <w:rPr>
                <w:color w:val="auto"/>
                <w:w w:val="95"/>
                <w:sz w:val="21"/>
                <w:highlight w:val="none"/>
                <w:lang w:eastAsia="zh-CN"/>
              </w:rPr>
              <w:t>水景和水文平面图、立面图、剖面图、结构图、水电配置图</w:t>
            </w:r>
            <w:r>
              <w:rPr>
                <w:color w:val="auto"/>
                <w:sz w:val="21"/>
                <w:highlight w:val="none"/>
                <w:lang w:eastAsia="zh-CN"/>
              </w:rPr>
              <w:t>(≥</w:t>
            </w:r>
            <w:r>
              <w:rPr>
                <w:rFonts w:hint="eastAsia" w:ascii="Times New Roman" w:hAnsi="Times New Roman"/>
                <w:color w:val="auto"/>
                <w:sz w:val="21"/>
                <w:highlight w:val="none"/>
                <w:lang w:eastAsia="zh-CN"/>
              </w:rPr>
              <w:t>1</w:t>
            </w:r>
            <w:r>
              <w:rPr>
                <w:color w:val="auto"/>
                <w:sz w:val="21"/>
                <w:highlight w:val="none"/>
                <w:lang w:eastAsia="zh-CN"/>
              </w:rPr>
              <w:t>:</w:t>
            </w:r>
            <w:r>
              <w:rPr>
                <w:rFonts w:hint="eastAsia" w:ascii="Times New Roman" w:hAnsi="Times New Roman"/>
                <w:color w:val="auto"/>
                <w:sz w:val="21"/>
                <w:highlight w:val="none"/>
                <w:lang w:eastAsia="zh-CN"/>
              </w:rPr>
              <w:t>500</w:t>
            </w:r>
            <w:r>
              <w:rPr>
                <w:color w:val="auto"/>
                <w:sz w:val="21"/>
                <w:highlight w:val="none"/>
                <w:lang w:eastAsia="zh-CN"/>
              </w:rPr>
              <w:t>)</w:t>
            </w:r>
          </w:p>
          <w:p>
            <w:pPr>
              <w:pStyle w:val="65"/>
              <w:numPr>
                <w:ilvl w:val="0"/>
                <w:numId w:val="18"/>
              </w:numPr>
              <w:tabs>
                <w:tab w:val="left" w:pos="526"/>
                <w:tab w:val="left" w:pos="527"/>
              </w:tabs>
              <w:spacing w:line="355" w:lineRule="auto"/>
              <w:ind w:right="454"/>
              <w:rPr>
                <w:color w:val="auto"/>
                <w:sz w:val="21"/>
                <w:highlight w:val="none"/>
                <w:lang w:eastAsia="zh-CN"/>
              </w:rPr>
            </w:pPr>
            <w:r>
              <w:rPr>
                <w:color w:val="auto"/>
                <w:w w:val="95"/>
                <w:sz w:val="21"/>
                <w:highlight w:val="none"/>
                <w:lang w:eastAsia="zh-CN"/>
              </w:rPr>
              <w:t xml:space="preserve">景观电气设计平面图、电气系统图（主要是景观照明和水景动 </w:t>
            </w:r>
            <w:r>
              <w:rPr>
                <w:color w:val="auto"/>
                <w:sz w:val="21"/>
                <w:highlight w:val="none"/>
                <w:lang w:eastAsia="zh-CN"/>
              </w:rPr>
              <w:t>力）(≥</w:t>
            </w:r>
            <w:r>
              <w:rPr>
                <w:rFonts w:hint="eastAsia" w:ascii="Times New Roman" w:hAnsi="Times New Roman"/>
                <w:color w:val="auto"/>
                <w:sz w:val="21"/>
                <w:highlight w:val="none"/>
                <w:lang w:eastAsia="zh-CN"/>
              </w:rPr>
              <w:t>1</w:t>
            </w:r>
            <w:r>
              <w:rPr>
                <w:color w:val="auto"/>
                <w:sz w:val="21"/>
                <w:highlight w:val="none"/>
                <w:lang w:eastAsia="zh-CN"/>
              </w:rPr>
              <w:t>:</w:t>
            </w:r>
            <w:r>
              <w:rPr>
                <w:rFonts w:hint="eastAsia" w:ascii="Times New Roman" w:hAnsi="Times New Roman"/>
                <w:color w:val="auto"/>
                <w:sz w:val="21"/>
                <w:highlight w:val="none"/>
                <w:lang w:eastAsia="zh-CN"/>
              </w:rPr>
              <w:t>500</w:t>
            </w:r>
            <w:r>
              <w:rPr>
                <w:color w:val="auto"/>
                <w:sz w:val="21"/>
                <w:highlight w:val="none"/>
                <w:lang w:eastAsia="zh-CN"/>
              </w:rPr>
              <w:t>)</w:t>
            </w:r>
          </w:p>
          <w:p>
            <w:pPr>
              <w:pStyle w:val="65"/>
              <w:numPr>
                <w:ilvl w:val="0"/>
                <w:numId w:val="18"/>
              </w:numPr>
              <w:tabs>
                <w:tab w:val="left" w:pos="526"/>
                <w:tab w:val="left" w:pos="527"/>
              </w:tabs>
              <w:ind w:hanging="421"/>
              <w:rPr>
                <w:color w:val="auto"/>
                <w:sz w:val="21"/>
                <w:highlight w:val="none"/>
                <w:lang w:eastAsia="zh-CN"/>
              </w:rPr>
            </w:pPr>
            <w:r>
              <w:rPr>
                <w:color w:val="auto"/>
                <w:sz w:val="21"/>
                <w:highlight w:val="none"/>
                <w:lang w:eastAsia="zh-CN"/>
              </w:rPr>
              <w:t>植栽设计平面图、苗木表（含规格、数量）(≥</w:t>
            </w:r>
            <w:r>
              <w:rPr>
                <w:rFonts w:hint="eastAsia" w:ascii="Times New Roman" w:hAnsi="Times New Roman"/>
                <w:color w:val="auto"/>
                <w:sz w:val="21"/>
                <w:highlight w:val="none"/>
                <w:lang w:eastAsia="zh-CN"/>
              </w:rPr>
              <w:t>1</w:t>
            </w:r>
            <w:r>
              <w:rPr>
                <w:color w:val="auto"/>
                <w:sz w:val="21"/>
                <w:highlight w:val="none"/>
                <w:lang w:eastAsia="zh-CN"/>
              </w:rPr>
              <w:t>:</w:t>
            </w:r>
            <w:r>
              <w:rPr>
                <w:rFonts w:hint="eastAsia" w:ascii="Times New Roman" w:hAnsi="Times New Roman"/>
                <w:color w:val="auto"/>
                <w:sz w:val="21"/>
                <w:highlight w:val="none"/>
                <w:lang w:eastAsia="zh-CN"/>
              </w:rPr>
              <w:t>500</w:t>
            </w:r>
            <w:r>
              <w:rPr>
                <w:color w:val="auto"/>
                <w:sz w:val="21"/>
                <w:highlight w:val="none"/>
                <w:lang w:eastAsia="zh-CN"/>
              </w:rPr>
              <w:t>)</w:t>
            </w:r>
          </w:p>
          <w:p>
            <w:pPr>
              <w:pStyle w:val="65"/>
              <w:numPr>
                <w:ilvl w:val="0"/>
                <w:numId w:val="18"/>
              </w:numPr>
              <w:tabs>
                <w:tab w:val="left" w:pos="526"/>
                <w:tab w:val="left" w:pos="527"/>
              </w:tabs>
              <w:spacing w:before="131"/>
              <w:ind w:hanging="421"/>
              <w:rPr>
                <w:color w:val="auto"/>
                <w:sz w:val="21"/>
                <w:highlight w:val="none"/>
              </w:rPr>
            </w:pPr>
            <w:r>
              <w:rPr>
                <w:color w:val="auto"/>
                <w:sz w:val="21"/>
                <w:highlight w:val="none"/>
              </w:rPr>
              <w:t>基地室外家具布局图</w:t>
            </w:r>
          </w:p>
          <w:p>
            <w:pPr>
              <w:pStyle w:val="65"/>
              <w:numPr>
                <w:ilvl w:val="0"/>
                <w:numId w:val="18"/>
              </w:numPr>
              <w:tabs>
                <w:tab w:val="left" w:pos="526"/>
                <w:tab w:val="left" w:pos="527"/>
              </w:tabs>
              <w:spacing w:before="128"/>
              <w:ind w:hanging="421"/>
              <w:rPr>
                <w:color w:val="auto"/>
                <w:sz w:val="21"/>
                <w:highlight w:val="none"/>
                <w:lang w:eastAsia="zh-CN"/>
              </w:rPr>
            </w:pPr>
            <w:r>
              <w:rPr>
                <w:color w:val="auto"/>
                <w:sz w:val="21"/>
                <w:highlight w:val="none"/>
                <w:lang w:eastAsia="zh-CN"/>
              </w:rPr>
              <w:t>公共艺术布置点位图及意向图片</w:t>
            </w:r>
          </w:p>
          <w:p>
            <w:pPr>
              <w:pStyle w:val="65"/>
              <w:numPr>
                <w:ilvl w:val="0"/>
                <w:numId w:val="18"/>
              </w:numPr>
              <w:tabs>
                <w:tab w:val="left" w:pos="526"/>
                <w:tab w:val="left" w:pos="527"/>
              </w:tabs>
              <w:spacing w:before="131" w:line="357" w:lineRule="auto"/>
              <w:ind w:right="245"/>
              <w:rPr>
                <w:color w:val="auto"/>
                <w:sz w:val="21"/>
                <w:highlight w:val="none"/>
                <w:lang w:eastAsia="zh-CN"/>
              </w:rPr>
            </w:pPr>
            <w:r>
              <w:rPr>
                <w:color w:val="auto"/>
                <w:w w:val="95"/>
                <w:sz w:val="21"/>
                <w:highlight w:val="none"/>
                <w:lang w:eastAsia="zh-CN"/>
              </w:rPr>
              <w:t xml:space="preserve">景观构筑体、景观水景、室外泳池及硬质景观剖面图、立面图和 </w:t>
            </w:r>
            <w:r>
              <w:rPr>
                <w:color w:val="auto"/>
                <w:sz w:val="21"/>
                <w:highlight w:val="none"/>
                <w:lang w:eastAsia="zh-CN"/>
              </w:rPr>
              <w:t>细部详图设计、结构设计图；</w:t>
            </w:r>
          </w:p>
          <w:p>
            <w:pPr>
              <w:pStyle w:val="65"/>
              <w:numPr>
                <w:ilvl w:val="0"/>
                <w:numId w:val="18"/>
              </w:numPr>
              <w:tabs>
                <w:tab w:val="left" w:pos="526"/>
                <w:tab w:val="left" w:pos="527"/>
              </w:tabs>
              <w:spacing w:line="266" w:lineRule="exact"/>
              <w:ind w:hanging="421"/>
              <w:rPr>
                <w:color w:val="auto"/>
                <w:sz w:val="21"/>
                <w:highlight w:val="none"/>
                <w:lang w:eastAsia="zh-CN"/>
              </w:rPr>
            </w:pPr>
            <w:r>
              <w:rPr>
                <w:color w:val="auto"/>
                <w:spacing w:val="-6"/>
                <w:sz w:val="21"/>
                <w:highlight w:val="none"/>
                <w:lang w:eastAsia="zh-CN"/>
              </w:rPr>
              <w:t xml:space="preserve">重点区域施工图深度 </w:t>
            </w:r>
            <w:r>
              <w:rPr>
                <w:rFonts w:hint="eastAsia" w:ascii="Times New Roman" w:hAnsi="Times New Roman"/>
                <w:color w:val="auto"/>
                <w:sz w:val="21"/>
                <w:highlight w:val="none"/>
                <w:lang w:eastAsia="zh-CN"/>
              </w:rPr>
              <w:t>SU</w:t>
            </w:r>
            <w:r>
              <w:rPr>
                <w:color w:val="auto"/>
                <w:spacing w:val="-18"/>
                <w:sz w:val="21"/>
                <w:highlight w:val="none"/>
                <w:lang w:eastAsia="zh-CN"/>
              </w:rPr>
              <w:t xml:space="preserve"> 模型</w:t>
            </w:r>
          </w:p>
          <w:p>
            <w:pPr>
              <w:pStyle w:val="65"/>
              <w:numPr>
                <w:ilvl w:val="0"/>
                <w:numId w:val="18"/>
              </w:numPr>
              <w:tabs>
                <w:tab w:val="left" w:pos="526"/>
                <w:tab w:val="left" w:pos="527"/>
              </w:tabs>
              <w:spacing w:before="130"/>
              <w:ind w:hanging="421"/>
              <w:rPr>
                <w:color w:val="auto"/>
                <w:sz w:val="21"/>
                <w:highlight w:val="none"/>
                <w:lang w:eastAsia="zh-CN"/>
              </w:rPr>
            </w:pPr>
            <w:r>
              <w:rPr>
                <w:color w:val="auto"/>
                <w:sz w:val="21"/>
                <w:highlight w:val="none"/>
                <w:lang w:eastAsia="zh-CN"/>
              </w:rPr>
              <w:t>围墙、挡土墙（</w:t>
            </w:r>
            <w:r>
              <w:rPr>
                <w:color w:val="auto"/>
                <w:spacing w:val="-17"/>
                <w:sz w:val="21"/>
                <w:highlight w:val="none"/>
                <w:lang w:eastAsia="zh-CN"/>
              </w:rPr>
              <w:t xml:space="preserve">小于 </w:t>
            </w:r>
            <w:r>
              <w:rPr>
                <w:rFonts w:hint="eastAsia" w:ascii="Times New Roman" w:hAnsi="Times New Roman"/>
                <w:color w:val="auto"/>
                <w:sz w:val="21"/>
                <w:highlight w:val="none"/>
                <w:lang w:eastAsia="zh-CN"/>
              </w:rPr>
              <w:t>3</w:t>
            </w:r>
            <w:r>
              <w:rPr>
                <w:color w:val="auto"/>
                <w:spacing w:val="-27"/>
                <w:sz w:val="21"/>
                <w:highlight w:val="none"/>
                <w:lang w:eastAsia="zh-CN"/>
              </w:rPr>
              <w:t xml:space="preserve"> 米</w:t>
            </w:r>
            <w:r>
              <w:rPr>
                <w:color w:val="auto"/>
                <w:sz w:val="21"/>
                <w:highlight w:val="none"/>
                <w:lang w:eastAsia="zh-CN"/>
              </w:rPr>
              <w:t>）的景观设计及结构设计图</w:t>
            </w:r>
          </w:p>
          <w:p>
            <w:pPr>
              <w:pStyle w:val="65"/>
              <w:numPr>
                <w:ilvl w:val="0"/>
                <w:numId w:val="18"/>
              </w:numPr>
              <w:tabs>
                <w:tab w:val="left" w:pos="526"/>
                <w:tab w:val="left" w:pos="527"/>
              </w:tabs>
              <w:spacing w:before="131"/>
              <w:ind w:hanging="421"/>
              <w:rPr>
                <w:color w:val="auto"/>
                <w:sz w:val="21"/>
                <w:highlight w:val="none"/>
                <w:lang w:eastAsia="zh-CN"/>
              </w:rPr>
            </w:pPr>
            <w:r>
              <w:rPr>
                <w:color w:val="auto"/>
                <w:sz w:val="21"/>
                <w:highlight w:val="none"/>
                <w:lang w:eastAsia="zh-CN"/>
              </w:rPr>
              <w:t>材料选择和规格列表(附带参考图片及材料小样)</w:t>
            </w:r>
          </w:p>
        </w:tc>
        <w:tc>
          <w:tcPr>
            <w:tcW w:w="884" w:type="dxa"/>
          </w:tcPr>
          <w:p>
            <w:pPr>
              <w:pStyle w:val="65"/>
              <w:rPr>
                <w:rFonts w:ascii="Times New Roman"/>
                <w:color w:val="auto"/>
                <w:sz w:val="2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0" w:hRule="atLeast"/>
        </w:trPr>
        <w:tc>
          <w:tcPr>
            <w:tcW w:w="1101" w:type="dxa"/>
          </w:tcPr>
          <w:p>
            <w:pPr>
              <w:pStyle w:val="65"/>
              <w:rPr>
                <w:color w:val="auto"/>
                <w:sz w:val="20"/>
                <w:highlight w:val="none"/>
                <w:lang w:eastAsia="zh-CN"/>
              </w:rPr>
            </w:pPr>
          </w:p>
          <w:p>
            <w:pPr>
              <w:pStyle w:val="65"/>
              <w:rPr>
                <w:color w:val="auto"/>
                <w:sz w:val="20"/>
                <w:highlight w:val="none"/>
                <w:lang w:eastAsia="zh-CN"/>
              </w:rPr>
            </w:pPr>
          </w:p>
          <w:p>
            <w:pPr>
              <w:pStyle w:val="65"/>
              <w:rPr>
                <w:color w:val="auto"/>
                <w:sz w:val="20"/>
                <w:highlight w:val="none"/>
                <w:lang w:eastAsia="zh-CN"/>
              </w:rPr>
            </w:pPr>
          </w:p>
          <w:p>
            <w:pPr>
              <w:pStyle w:val="65"/>
              <w:rPr>
                <w:color w:val="auto"/>
                <w:sz w:val="20"/>
                <w:highlight w:val="none"/>
                <w:lang w:eastAsia="zh-CN"/>
              </w:rPr>
            </w:pPr>
          </w:p>
          <w:p>
            <w:pPr>
              <w:pStyle w:val="65"/>
              <w:rPr>
                <w:color w:val="auto"/>
                <w:sz w:val="20"/>
                <w:highlight w:val="none"/>
                <w:lang w:eastAsia="zh-CN"/>
              </w:rPr>
            </w:pPr>
          </w:p>
          <w:p>
            <w:pPr>
              <w:pStyle w:val="65"/>
              <w:rPr>
                <w:color w:val="auto"/>
                <w:sz w:val="20"/>
                <w:highlight w:val="none"/>
                <w:lang w:eastAsia="zh-CN"/>
              </w:rPr>
            </w:pPr>
          </w:p>
          <w:p>
            <w:pPr>
              <w:pStyle w:val="65"/>
              <w:rPr>
                <w:color w:val="auto"/>
                <w:sz w:val="20"/>
                <w:highlight w:val="none"/>
                <w:lang w:eastAsia="zh-CN"/>
              </w:rPr>
            </w:pPr>
          </w:p>
          <w:p>
            <w:pPr>
              <w:pStyle w:val="65"/>
              <w:rPr>
                <w:color w:val="auto"/>
                <w:sz w:val="20"/>
                <w:highlight w:val="none"/>
                <w:lang w:eastAsia="zh-CN"/>
              </w:rPr>
            </w:pPr>
          </w:p>
          <w:p>
            <w:pPr>
              <w:pStyle w:val="65"/>
              <w:rPr>
                <w:color w:val="auto"/>
                <w:sz w:val="20"/>
                <w:highlight w:val="none"/>
                <w:lang w:eastAsia="zh-CN"/>
              </w:rPr>
            </w:pPr>
          </w:p>
          <w:p>
            <w:pPr>
              <w:pStyle w:val="65"/>
              <w:rPr>
                <w:color w:val="auto"/>
                <w:sz w:val="20"/>
                <w:highlight w:val="none"/>
                <w:lang w:eastAsia="zh-CN"/>
              </w:rPr>
            </w:pPr>
          </w:p>
          <w:p>
            <w:pPr>
              <w:pStyle w:val="65"/>
              <w:spacing w:before="145"/>
              <w:ind w:left="130"/>
              <w:rPr>
                <w:color w:val="auto"/>
                <w:sz w:val="21"/>
                <w:highlight w:val="none"/>
              </w:rPr>
            </w:pPr>
            <w:r>
              <w:rPr>
                <w:color w:val="auto"/>
                <w:sz w:val="21"/>
                <w:highlight w:val="none"/>
              </w:rPr>
              <w:t>现场服务</w:t>
            </w:r>
          </w:p>
        </w:tc>
        <w:tc>
          <w:tcPr>
            <w:tcW w:w="6662" w:type="dxa"/>
          </w:tcPr>
          <w:p>
            <w:pPr>
              <w:pStyle w:val="65"/>
              <w:numPr>
                <w:ilvl w:val="0"/>
                <w:numId w:val="19"/>
              </w:numPr>
              <w:tabs>
                <w:tab w:val="left" w:pos="527"/>
              </w:tabs>
              <w:spacing w:before="107" w:line="355" w:lineRule="auto"/>
              <w:ind w:right="245"/>
              <w:jc w:val="both"/>
              <w:rPr>
                <w:color w:val="auto"/>
                <w:sz w:val="21"/>
                <w:highlight w:val="none"/>
                <w:lang w:eastAsia="zh-CN"/>
              </w:rPr>
            </w:pPr>
            <w:r>
              <w:rPr>
                <w:color w:val="auto"/>
                <w:w w:val="95"/>
                <w:sz w:val="21"/>
                <w:highlight w:val="none"/>
                <w:lang w:eastAsia="zh-CN"/>
              </w:rPr>
              <w:t xml:space="preserve">在景观施工阶段，乙方负责向甲方选择的施工单位解释设计意图 及施工图内容，并负责进行技术交底，参加图纸会审和出席甲方 </w:t>
            </w:r>
            <w:r>
              <w:rPr>
                <w:color w:val="auto"/>
                <w:sz w:val="21"/>
                <w:highlight w:val="none"/>
                <w:lang w:eastAsia="zh-CN"/>
              </w:rPr>
              <w:t>召集并提前预告的有关会议；</w:t>
            </w:r>
          </w:p>
          <w:p>
            <w:pPr>
              <w:pStyle w:val="65"/>
              <w:numPr>
                <w:ilvl w:val="0"/>
                <w:numId w:val="19"/>
              </w:numPr>
              <w:tabs>
                <w:tab w:val="left" w:pos="527"/>
              </w:tabs>
              <w:spacing w:before="4"/>
              <w:ind w:hanging="421"/>
              <w:jc w:val="both"/>
              <w:rPr>
                <w:color w:val="auto"/>
                <w:sz w:val="21"/>
                <w:highlight w:val="none"/>
                <w:lang w:eastAsia="zh-CN"/>
              </w:rPr>
            </w:pPr>
            <w:r>
              <w:rPr>
                <w:color w:val="auto"/>
                <w:sz w:val="21"/>
                <w:highlight w:val="none"/>
                <w:lang w:eastAsia="zh-CN"/>
              </w:rPr>
              <w:t>乙方应按甲方要求，参加工程竣工验收等工作；</w:t>
            </w:r>
          </w:p>
          <w:p>
            <w:pPr>
              <w:pStyle w:val="65"/>
              <w:numPr>
                <w:ilvl w:val="0"/>
                <w:numId w:val="19"/>
              </w:numPr>
              <w:tabs>
                <w:tab w:val="left" w:pos="526"/>
                <w:tab w:val="left" w:pos="527"/>
              </w:tabs>
              <w:spacing w:before="128" w:line="357" w:lineRule="auto"/>
              <w:ind w:right="245"/>
              <w:rPr>
                <w:color w:val="auto"/>
                <w:sz w:val="21"/>
                <w:highlight w:val="none"/>
                <w:lang w:eastAsia="zh-CN"/>
              </w:rPr>
            </w:pPr>
            <w:r>
              <w:rPr>
                <w:color w:val="auto"/>
                <w:w w:val="95"/>
                <w:sz w:val="21"/>
                <w:highlight w:val="none"/>
                <w:lang w:eastAsia="zh-CN"/>
              </w:rPr>
              <w:t xml:space="preserve">在施工期间，乙方设计师按合同约定负责到现场及时协调解决施 </w:t>
            </w:r>
            <w:r>
              <w:rPr>
                <w:color w:val="auto"/>
                <w:sz w:val="21"/>
                <w:highlight w:val="none"/>
                <w:lang w:eastAsia="zh-CN"/>
              </w:rPr>
              <w:t>工过程中遇到的与设计有关的问题，并按规定程序适时变更设 计；</w:t>
            </w:r>
          </w:p>
          <w:p>
            <w:pPr>
              <w:pStyle w:val="65"/>
              <w:numPr>
                <w:ilvl w:val="0"/>
                <w:numId w:val="19"/>
              </w:numPr>
              <w:tabs>
                <w:tab w:val="left" w:pos="526"/>
                <w:tab w:val="left" w:pos="527"/>
              </w:tabs>
              <w:spacing w:line="357" w:lineRule="auto"/>
              <w:ind w:right="245"/>
              <w:rPr>
                <w:color w:val="auto"/>
                <w:sz w:val="21"/>
                <w:highlight w:val="none"/>
                <w:lang w:eastAsia="zh-CN"/>
              </w:rPr>
            </w:pPr>
            <w:r>
              <w:rPr>
                <w:color w:val="auto"/>
                <w:w w:val="95"/>
                <w:sz w:val="21"/>
                <w:highlight w:val="none"/>
                <w:lang w:eastAsia="zh-CN"/>
              </w:rPr>
              <w:t xml:space="preserve">乙方协助甲方在施工招标过程中进行技术工作和提供施工中苗木 </w:t>
            </w:r>
            <w:r>
              <w:rPr>
                <w:color w:val="auto"/>
                <w:sz w:val="21"/>
                <w:highlight w:val="none"/>
                <w:lang w:eastAsia="zh-CN"/>
              </w:rPr>
              <w:t>材料的采购表和规格等资料；</w:t>
            </w:r>
          </w:p>
          <w:p>
            <w:pPr>
              <w:pStyle w:val="65"/>
              <w:numPr>
                <w:ilvl w:val="0"/>
                <w:numId w:val="19"/>
              </w:numPr>
              <w:tabs>
                <w:tab w:val="left" w:pos="526"/>
                <w:tab w:val="left" w:pos="527"/>
              </w:tabs>
              <w:spacing w:line="269" w:lineRule="exact"/>
              <w:ind w:hanging="421"/>
              <w:rPr>
                <w:color w:val="auto"/>
                <w:sz w:val="21"/>
                <w:highlight w:val="none"/>
                <w:lang w:eastAsia="zh-CN"/>
              </w:rPr>
            </w:pPr>
            <w:r>
              <w:rPr>
                <w:color w:val="auto"/>
                <w:sz w:val="21"/>
                <w:highlight w:val="none"/>
                <w:lang w:eastAsia="zh-CN"/>
              </w:rPr>
              <w:t>协助甲方选择特选苗，硬质景观材料选样。</w:t>
            </w:r>
          </w:p>
          <w:p>
            <w:pPr>
              <w:pStyle w:val="65"/>
              <w:numPr>
                <w:ilvl w:val="0"/>
                <w:numId w:val="19"/>
              </w:numPr>
              <w:tabs>
                <w:tab w:val="left" w:pos="527"/>
              </w:tabs>
              <w:spacing w:before="125" w:line="357" w:lineRule="auto"/>
              <w:ind w:right="245"/>
              <w:jc w:val="both"/>
              <w:rPr>
                <w:color w:val="auto"/>
                <w:sz w:val="21"/>
                <w:highlight w:val="none"/>
                <w:lang w:eastAsia="zh-CN"/>
              </w:rPr>
            </w:pPr>
            <w:r>
              <w:rPr>
                <w:color w:val="auto"/>
                <w:w w:val="95"/>
                <w:sz w:val="21"/>
                <w:highlight w:val="none"/>
                <w:lang w:eastAsia="zh-CN"/>
              </w:rPr>
              <w:t>乙方提供现场工程监造，按实际工程施工进展及甲方要求，对于 重要施工节点，如定位放样、景观绿化造坡或整地、暴雨排水、 硬质景观样板制作及定样、重要乔木放样及种植等，进行不定期</w:t>
            </w:r>
          </w:p>
          <w:p>
            <w:pPr>
              <w:pStyle w:val="65"/>
              <w:spacing w:line="266" w:lineRule="exact"/>
              <w:ind w:left="526"/>
              <w:rPr>
                <w:color w:val="auto"/>
                <w:sz w:val="21"/>
                <w:highlight w:val="none"/>
              </w:rPr>
            </w:pPr>
            <w:r>
              <w:rPr>
                <w:color w:val="auto"/>
                <w:sz w:val="21"/>
                <w:highlight w:val="none"/>
              </w:rPr>
              <w:t>的现场营造督导；</w:t>
            </w:r>
          </w:p>
        </w:tc>
        <w:tc>
          <w:tcPr>
            <w:tcW w:w="884" w:type="dxa"/>
          </w:tcPr>
          <w:p>
            <w:pPr>
              <w:pStyle w:val="65"/>
              <w:spacing w:before="108"/>
              <w:ind w:left="107"/>
              <w:rPr>
                <w:color w:val="auto"/>
                <w:sz w:val="21"/>
                <w:highlight w:val="none"/>
              </w:rPr>
            </w:pPr>
            <w:bookmarkStart w:id="168" w:name="/"/>
            <w:bookmarkEnd w:id="168"/>
            <w:r>
              <w:rPr>
                <w:color w:val="auto"/>
                <w:w w:val="99"/>
                <w:sz w:val="21"/>
                <w:highlight w:val="none"/>
              </w:rPr>
              <w:t>/</w:t>
            </w:r>
          </w:p>
        </w:tc>
      </w:tr>
    </w:tbl>
    <w:p>
      <w:pPr>
        <w:spacing w:before="107"/>
        <w:ind w:left="820"/>
        <w:rPr>
          <w:b/>
          <w:color w:val="auto"/>
          <w:sz w:val="21"/>
          <w:highlight w:val="none"/>
        </w:rPr>
      </w:pPr>
      <w:r>
        <w:rPr>
          <w:rFonts w:hint="eastAsia" w:ascii="Times New Roman" w:hAnsi="Times New Roman"/>
          <w:b/>
          <w:color w:val="auto"/>
          <w:sz w:val="21"/>
          <w:highlight w:val="none"/>
          <w:lang w:eastAsia="zh-CN"/>
        </w:rPr>
        <w:t>3</w:t>
      </w:r>
      <w:r>
        <w:rPr>
          <w:b/>
          <w:color w:val="auto"/>
          <w:sz w:val="21"/>
          <w:highlight w:val="none"/>
        </w:rPr>
        <w:t>、精装修专项设计内容</w:t>
      </w:r>
    </w:p>
    <w:tbl>
      <w:tblPr>
        <w:tblStyle w:val="104"/>
        <w:tblW w:w="0" w:type="auto"/>
        <w:tblInd w:w="7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1"/>
        <w:gridCol w:w="6662"/>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101" w:type="dxa"/>
          </w:tcPr>
          <w:p>
            <w:pPr>
              <w:pStyle w:val="65"/>
              <w:spacing w:before="107"/>
              <w:ind w:left="128" w:right="121"/>
              <w:jc w:val="center"/>
              <w:rPr>
                <w:b/>
                <w:color w:val="auto"/>
                <w:sz w:val="21"/>
                <w:highlight w:val="none"/>
              </w:rPr>
            </w:pPr>
            <w:r>
              <w:rPr>
                <w:b/>
                <w:color w:val="auto"/>
                <w:sz w:val="21"/>
                <w:highlight w:val="none"/>
              </w:rPr>
              <w:t>阶段</w:t>
            </w:r>
          </w:p>
        </w:tc>
        <w:tc>
          <w:tcPr>
            <w:tcW w:w="6662" w:type="dxa"/>
          </w:tcPr>
          <w:p>
            <w:pPr>
              <w:pStyle w:val="65"/>
              <w:spacing w:before="107"/>
              <w:ind w:left="2572" w:right="2564"/>
              <w:jc w:val="center"/>
              <w:rPr>
                <w:b/>
                <w:color w:val="auto"/>
                <w:sz w:val="21"/>
                <w:highlight w:val="none"/>
              </w:rPr>
            </w:pPr>
            <w:r>
              <w:rPr>
                <w:b/>
                <w:color w:val="auto"/>
                <w:sz w:val="21"/>
                <w:highlight w:val="none"/>
              </w:rPr>
              <w:t>设计内容及范围</w:t>
            </w:r>
          </w:p>
        </w:tc>
        <w:tc>
          <w:tcPr>
            <w:tcW w:w="850" w:type="dxa"/>
          </w:tcPr>
          <w:p>
            <w:pPr>
              <w:pStyle w:val="65"/>
              <w:spacing w:before="107"/>
              <w:ind w:left="212"/>
              <w:rPr>
                <w:b/>
                <w:color w:val="auto"/>
                <w:sz w:val="21"/>
                <w:highlight w:val="none"/>
              </w:rPr>
            </w:pPr>
            <w:r>
              <w:rPr>
                <w:b/>
                <w:color w:val="auto"/>
                <w:sz w:val="21"/>
                <w:highlight w:val="none"/>
              </w:rPr>
              <w:t>份数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1101" w:type="dxa"/>
          </w:tcPr>
          <w:p>
            <w:pPr>
              <w:pStyle w:val="65"/>
              <w:rPr>
                <w:b/>
                <w:color w:val="auto"/>
                <w:highlight w:val="none"/>
              </w:rPr>
            </w:pPr>
          </w:p>
          <w:p>
            <w:pPr>
              <w:pStyle w:val="65"/>
              <w:spacing w:before="5"/>
              <w:rPr>
                <w:b/>
                <w:color w:val="auto"/>
                <w:sz w:val="32"/>
                <w:highlight w:val="none"/>
              </w:rPr>
            </w:pPr>
          </w:p>
          <w:p>
            <w:pPr>
              <w:pStyle w:val="65"/>
              <w:ind w:left="89" w:right="82"/>
              <w:jc w:val="center"/>
              <w:rPr>
                <w:color w:val="auto"/>
                <w:highlight w:val="none"/>
              </w:rPr>
            </w:pPr>
            <w:r>
              <w:rPr>
                <w:color w:val="auto"/>
                <w:highlight w:val="none"/>
              </w:rPr>
              <w:t>概念方案</w:t>
            </w:r>
          </w:p>
        </w:tc>
        <w:tc>
          <w:tcPr>
            <w:tcW w:w="6662" w:type="dxa"/>
          </w:tcPr>
          <w:p>
            <w:pPr>
              <w:pStyle w:val="65"/>
              <w:numPr>
                <w:ilvl w:val="0"/>
                <w:numId w:val="20"/>
              </w:numPr>
              <w:tabs>
                <w:tab w:val="left" w:pos="466"/>
                <w:tab w:val="left" w:pos="467"/>
              </w:tabs>
              <w:spacing w:before="106"/>
              <w:ind w:hanging="361"/>
              <w:rPr>
                <w:color w:val="auto"/>
                <w:sz w:val="21"/>
                <w:highlight w:val="none"/>
              </w:rPr>
            </w:pPr>
            <w:r>
              <w:rPr>
                <w:color w:val="auto"/>
                <w:sz w:val="21"/>
                <w:highlight w:val="none"/>
              </w:rPr>
              <w:t>设计说明；</w:t>
            </w:r>
          </w:p>
          <w:p>
            <w:pPr>
              <w:pStyle w:val="65"/>
              <w:numPr>
                <w:ilvl w:val="0"/>
                <w:numId w:val="20"/>
              </w:numPr>
              <w:tabs>
                <w:tab w:val="left" w:pos="466"/>
                <w:tab w:val="left" w:pos="467"/>
              </w:tabs>
              <w:spacing w:before="131"/>
              <w:ind w:hanging="361"/>
              <w:rPr>
                <w:color w:val="auto"/>
                <w:sz w:val="21"/>
                <w:highlight w:val="none"/>
              </w:rPr>
            </w:pPr>
            <w:r>
              <w:rPr>
                <w:color w:val="auto"/>
                <w:sz w:val="21"/>
                <w:highlight w:val="none"/>
              </w:rPr>
              <w:t>平面布置图；</w:t>
            </w:r>
          </w:p>
          <w:p>
            <w:pPr>
              <w:pStyle w:val="65"/>
              <w:numPr>
                <w:ilvl w:val="0"/>
                <w:numId w:val="20"/>
              </w:numPr>
              <w:tabs>
                <w:tab w:val="left" w:pos="466"/>
                <w:tab w:val="left" w:pos="467"/>
              </w:tabs>
              <w:spacing w:before="128"/>
              <w:ind w:hanging="361"/>
              <w:rPr>
                <w:color w:val="auto"/>
                <w:sz w:val="21"/>
                <w:highlight w:val="none"/>
              </w:rPr>
            </w:pPr>
            <w:r>
              <w:rPr>
                <w:color w:val="auto"/>
                <w:sz w:val="21"/>
                <w:highlight w:val="none"/>
              </w:rPr>
              <w:t>方案构思意向图片；</w:t>
            </w:r>
          </w:p>
          <w:p>
            <w:pPr>
              <w:pStyle w:val="65"/>
              <w:numPr>
                <w:ilvl w:val="0"/>
                <w:numId w:val="20"/>
              </w:numPr>
              <w:tabs>
                <w:tab w:val="left" w:pos="466"/>
                <w:tab w:val="left" w:pos="467"/>
              </w:tabs>
              <w:spacing w:before="130"/>
              <w:ind w:hanging="361"/>
              <w:rPr>
                <w:color w:val="auto"/>
                <w:sz w:val="21"/>
                <w:highlight w:val="none"/>
                <w:lang w:eastAsia="zh-CN"/>
              </w:rPr>
            </w:pPr>
            <w:r>
              <w:rPr>
                <w:color w:val="auto"/>
                <w:sz w:val="21"/>
                <w:highlight w:val="none"/>
                <w:lang w:eastAsia="zh-CN"/>
              </w:rPr>
              <w:t>主要饰面材料选择图片。</w:t>
            </w:r>
          </w:p>
        </w:tc>
        <w:tc>
          <w:tcPr>
            <w:tcW w:w="850" w:type="dxa"/>
          </w:tcPr>
          <w:p>
            <w:pPr>
              <w:pStyle w:val="65"/>
              <w:spacing w:before="107"/>
              <w:ind w:left="107"/>
              <w:rPr>
                <w:color w:val="auto"/>
                <w:sz w:val="21"/>
                <w:highlight w:val="none"/>
              </w:rPr>
            </w:pPr>
            <w:r>
              <w:rPr>
                <w:color w:val="auto"/>
                <w:sz w:val="21"/>
                <w:highlight w:val="none"/>
              </w:rPr>
              <w:t>电子版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1101" w:type="dxa"/>
          </w:tcPr>
          <w:p>
            <w:pPr>
              <w:pStyle w:val="65"/>
              <w:rPr>
                <w:b/>
                <w:color w:val="auto"/>
                <w:sz w:val="20"/>
                <w:highlight w:val="none"/>
              </w:rPr>
            </w:pPr>
          </w:p>
          <w:p>
            <w:pPr>
              <w:pStyle w:val="65"/>
              <w:spacing w:before="6"/>
              <w:rPr>
                <w:b/>
                <w:color w:val="auto"/>
                <w:sz w:val="19"/>
                <w:highlight w:val="none"/>
              </w:rPr>
            </w:pPr>
          </w:p>
          <w:p>
            <w:pPr>
              <w:pStyle w:val="65"/>
              <w:ind w:left="89" w:right="82"/>
              <w:jc w:val="center"/>
              <w:rPr>
                <w:color w:val="auto"/>
                <w:sz w:val="21"/>
                <w:highlight w:val="none"/>
              </w:rPr>
            </w:pPr>
            <w:r>
              <w:rPr>
                <w:color w:val="auto"/>
                <w:sz w:val="21"/>
                <w:highlight w:val="none"/>
              </w:rPr>
              <w:t>方案深化</w:t>
            </w:r>
          </w:p>
        </w:tc>
        <w:tc>
          <w:tcPr>
            <w:tcW w:w="6662" w:type="dxa"/>
          </w:tcPr>
          <w:p>
            <w:pPr>
              <w:pStyle w:val="65"/>
              <w:numPr>
                <w:ilvl w:val="0"/>
                <w:numId w:val="21"/>
              </w:numPr>
              <w:tabs>
                <w:tab w:val="left" w:pos="526"/>
                <w:tab w:val="left" w:pos="527"/>
              </w:tabs>
              <w:spacing w:before="106"/>
              <w:ind w:hanging="421"/>
              <w:rPr>
                <w:color w:val="auto"/>
                <w:sz w:val="21"/>
                <w:highlight w:val="none"/>
              </w:rPr>
            </w:pPr>
            <w:r>
              <w:rPr>
                <w:color w:val="auto"/>
                <w:sz w:val="21"/>
                <w:highlight w:val="none"/>
              </w:rPr>
              <w:t>室内总平面图 ；</w:t>
            </w:r>
          </w:p>
          <w:p>
            <w:pPr>
              <w:pStyle w:val="65"/>
              <w:numPr>
                <w:ilvl w:val="0"/>
                <w:numId w:val="21"/>
              </w:numPr>
              <w:tabs>
                <w:tab w:val="left" w:pos="526"/>
                <w:tab w:val="left" w:pos="527"/>
              </w:tabs>
              <w:spacing w:before="129"/>
              <w:ind w:hanging="421"/>
              <w:rPr>
                <w:color w:val="auto"/>
                <w:sz w:val="21"/>
                <w:highlight w:val="none"/>
              </w:rPr>
            </w:pPr>
            <w:r>
              <w:rPr>
                <w:color w:val="auto"/>
                <w:sz w:val="21"/>
                <w:highlight w:val="none"/>
              </w:rPr>
              <w:t>室内顶面平面图；</w:t>
            </w:r>
          </w:p>
          <w:p>
            <w:pPr>
              <w:pStyle w:val="65"/>
              <w:numPr>
                <w:ilvl w:val="0"/>
                <w:numId w:val="21"/>
              </w:numPr>
              <w:tabs>
                <w:tab w:val="left" w:pos="526"/>
                <w:tab w:val="left" w:pos="527"/>
              </w:tabs>
              <w:spacing w:before="130"/>
              <w:ind w:hanging="421"/>
              <w:rPr>
                <w:color w:val="auto"/>
                <w:sz w:val="21"/>
                <w:highlight w:val="none"/>
              </w:rPr>
            </w:pPr>
            <w:r>
              <w:rPr>
                <w:color w:val="auto"/>
                <w:sz w:val="21"/>
                <w:highlight w:val="none"/>
              </w:rPr>
              <w:t>效果图。</w:t>
            </w:r>
          </w:p>
        </w:tc>
        <w:tc>
          <w:tcPr>
            <w:tcW w:w="850" w:type="dxa"/>
          </w:tcPr>
          <w:p>
            <w:pPr>
              <w:pStyle w:val="65"/>
              <w:spacing w:before="121"/>
              <w:ind w:left="107"/>
              <w:rPr>
                <w:rFonts w:hint="eastAsia" w:ascii="Times New Roman" w:eastAsia="宋体"/>
                <w:color w:val="auto"/>
                <w:sz w:val="21"/>
                <w:highlight w:val="none"/>
                <w:lang w:eastAsia="zh-CN"/>
              </w:rPr>
            </w:pPr>
            <w:r>
              <w:rPr>
                <w:rFonts w:hint="eastAsia" w:ascii="Times New Roman" w:hAnsi="Times New Roman"/>
                <w:color w:val="auto"/>
                <w:w w:val="99"/>
                <w:sz w:val="21"/>
                <w:highlight w:val="none"/>
                <w:lang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0" w:hRule="atLeast"/>
        </w:trPr>
        <w:tc>
          <w:tcPr>
            <w:tcW w:w="1101" w:type="dxa"/>
          </w:tcPr>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spacing w:before="12"/>
              <w:rPr>
                <w:b/>
                <w:color w:val="auto"/>
                <w:sz w:val="26"/>
                <w:highlight w:val="none"/>
              </w:rPr>
            </w:pPr>
          </w:p>
          <w:p>
            <w:pPr>
              <w:pStyle w:val="65"/>
              <w:ind w:left="89" w:right="82"/>
              <w:jc w:val="center"/>
              <w:rPr>
                <w:color w:val="auto"/>
                <w:sz w:val="21"/>
                <w:highlight w:val="none"/>
              </w:rPr>
            </w:pPr>
            <w:r>
              <w:rPr>
                <w:color w:val="auto"/>
                <w:sz w:val="21"/>
                <w:highlight w:val="none"/>
              </w:rPr>
              <w:t>扩初设计</w:t>
            </w:r>
          </w:p>
        </w:tc>
        <w:tc>
          <w:tcPr>
            <w:tcW w:w="6662" w:type="dxa"/>
          </w:tcPr>
          <w:p>
            <w:pPr>
              <w:pStyle w:val="65"/>
              <w:numPr>
                <w:ilvl w:val="0"/>
                <w:numId w:val="22"/>
              </w:numPr>
              <w:tabs>
                <w:tab w:val="left" w:pos="526"/>
                <w:tab w:val="left" w:pos="527"/>
              </w:tabs>
              <w:spacing w:before="106"/>
              <w:ind w:hanging="421"/>
              <w:rPr>
                <w:color w:val="auto"/>
                <w:sz w:val="21"/>
                <w:highlight w:val="none"/>
              </w:rPr>
            </w:pPr>
            <w:r>
              <w:rPr>
                <w:color w:val="auto"/>
                <w:w w:val="95"/>
                <w:sz w:val="21"/>
                <w:highlight w:val="none"/>
              </w:rPr>
              <w:t>扩初设计说明</w:t>
            </w:r>
          </w:p>
          <w:p>
            <w:pPr>
              <w:pStyle w:val="65"/>
              <w:numPr>
                <w:ilvl w:val="0"/>
                <w:numId w:val="22"/>
              </w:numPr>
              <w:tabs>
                <w:tab w:val="left" w:pos="526"/>
                <w:tab w:val="left" w:pos="527"/>
              </w:tabs>
              <w:spacing w:before="131"/>
              <w:ind w:hanging="421"/>
              <w:rPr>
                <w:color w:val="auto"/>
                <w:sz w:val="21"/>
                <w:highlight w:val="none"/>
              </w:rPr>
            </w:pPr>
            <w:r>
              <w:rPr>
                <w:color w:val="auto"/>
                <w:w w:val="95"/>
                <w:sz w:val="21"/>
                <w:highlight w:val="none"/>
              </w:rPr>
              <w:t>室内总平面图</w:t>
            </w:r>
          </w:p>
          <w:p>
            <w:pPr>
              <w:pStyle w:val="65"/>
              <w:numPr>
                <w:ilvl w:val="0"/>
                <w:numId w:val="22"/>
              </w:numPr>
              <w:tabs>
                <w:tab w:val="left" w:pos="526"/>
                <w:tab w:val="left" w:pos="527"/>
              </w:tabs>
              <w:spacing w:before="128"/>
              <w:ind w:hanging="421"/>
              <w:rPr>
                <w:color w:val="auto"/>
                <w:sz w:val="21"/>
                <w:highlight w:val="none"/>
                <w:lang w:eastAsia="zh-CN"/>
              </w:rPr>
            </w:pPr>
            <w:r>
              <w:rPr>
                <w:color w:val="auto"/>
                <w:sz w:val="21"/>
                <w:highlight w:val="none"/>
                <w:lang w:eastAsia="zh-CN"/>
              </w:rPr>
              <w:t>室内家具平面布置图、室内隔墙尺寸图</w:t>
            </w:r>
          </w:p>
          <w:p>
            <w:pPr>
              <w:pStyle w:val="65"/>
              <w:numPr>
                <w:ilvl w:val="0"/>
                <w:numId w:val="22"/>
              </w:numPr>
              <w:tabs>
                <w:tab w:val="left" w:pos="526"/>
                <w:tab w:val="left" w:pos="527"/>
              </w:tabs>
              <w:spacing w:before="130"/>
              <w:ind w:hanging="421"/>
              <w:rPr>
                <w:color w:val="auto"/>
                <w:sz w:val="21"/>
                <w:highlight w:val="none"/>
              </w:rPr>
            </w:pPr>
            <w:r>
              <w:rPr>
                <w:color w:val="auto"/>
                <w:w w:val="95"/>
                <w:sz w:val="21"/>
                <w:highlight w:val="none"/>
              </w:rPr>
              <w:t>室内地坪平面图</w:t>
            </w:r>
          </w:p>
          <w:p>
            <w:pPr>
              <w:pStyle w:val="65"/>
              <w:numPr>
                <w:ilvl w:val="0"/>
                <w:numId w:val="22"/>
              </w:numPr>
              <w:tabs>
                <w:tab w:val="left" w:pos="526"/>
                <w:tab w:val="left" w:pos="527"/>
              </w:tabs>
              <w:spacing w:before="131"/>
              <w:ind w:hanging="421"/>
              <w:rPr>
                <w:color w:val="auto"/>
                <w:sz w:val="21"/>
                <w:highlight w:val="none"/>
              </w:rPr>
            </w:pPr>
            <w:r>
              <w:rPr>
                <w:color w:val="auto"/>
                <w:w w:val="95"/>
                <w:sz w:val="21"/>
                <w:highlight w:val="none"/>
              </w:rPr>
              <w:t>室内顶面平面图</w:t>
            </w:r>
          </w:p>
          <w:p>
            <w:pPr>
              <w:pStyle w:val="65"/>
              <w:numPr>
                <w:ilvl w:val="0"/>
                <w:numId w:val="22"/>
              </w:numPr>
              <w:tabs>
                <w:tab w:val="left" w:pos="526"/>
                <w:tab w:val="left" w:pos="527"/>
              </w:tabs>
              <w:spacing w:before="128"/>
              <w:ind w:hanging="421"/>
              <w:rPr>
                <w:color w:val="auto"/>
                <w:sz w:val="21"/>
                <w:highlight w:val="none"/>
              </w:rPr>
            </w:pPr>
            <w:r>
              <w:rPr>
                <w:color w:val="auto"/>
                <w:sz w:val="21"/>
                <w:highlight w:val="none"/>
              </w:rPr>
              <w:t>门表图</w:t>
            </w:r>
          </w:p>
          <w:p>
            <w:pPr>
              <w:pStyle w:val="65"/>
              <w:numPr>
                <w:ilvl w:val="0"/>
                <w:numId w:val="22"/>
              </w:numPr>
              <w:tabs>
                <w:tab w:val="left" w:pos="526"/>
                <w:tab w:val="left" w:pos="527"/>
              </w:tabs>
              <w:spacing w:before="131"/>
              <w:ind w:hanging="421"/>
              <w:rPr>
                <w:color w:val="auto"/>
                <w:sz w:val="21"/>
                <w:highlight w:val="none"/>
              </w:rPr>
            </w:pPr>
            <w:r>
              <w:rPr>
                <w:color w:val="auto"/>
                <w:w w:val="95"/>
                <w:sz w:val="21"/>
                <w:highlight w:val="none"/>
              </w:rPr>
              <w:t>立面索引图</w:t>
            </w:r>
          </w:p>
          <w:p>
            <w:pPr>
              <w:pStyle w:val="65"/>
              <w:numPr>
                <w:ilvl w:val="0"/>
                <w:numId w:val="22"/>
              </w:numPr>
              <w:tabs>
                <w:tab w:val="left" w:pos="526"/>
                <w:tab w:val="left" w:pos="527"/>
              </w:tabs>
              <w:spacing w:before="130"/>
              <w:ind w:hanging="421"/>
              <w:rPr>
                <w:color w:val="auto"/>
                <w:sz w:val="21"/>
                <w:highlight w:val="none"/>
              </w:rPr>
            </w:pPr>
            <w:r>
              <w:rPr>
                <w:color w:val="auto"/>
                <w:w w:val="95"/>
                <w:sz w:val="21"/>
                <w:highlight w:val="none"/>
              </w:rPr>
              <w:t>所有立面图</w:t>
            </w:r>
          </w:p>
          <w:p>
            <w:pPr>
              <w:pStyle w:val="65"/>
              <w:numPr>
                <w:ilvl w:val="0"/>
                <w:numId w:val="22"/>
              </w:numPr>
              <w:tabs>
                <w:tab w:val="left" w:pos="526"/>
                <w:tab w:val="left" w:pos="527"/>
              </w:tabs>
              <w:spacing w:before="129"/>
              <w:ind w:hanging="421"/>
              <w:rPr>
                <w:color w:val="auto"/>
                <w:sz w:val="21"/>
                <w:highlight w:val="none"/>
              </w:rPr>
            </w:pPr>
            <w:r>
              <w:rPr>
                <w:color w:val="auto"/>
                <w:sz w:val="21"/>
                <w:highlight w:val="none"/>
              </w:rPr>
              <w:t>剖面图</w:t>
            </w:r>
          </w:p>
          <w:p>
            <w:pPr>
              <w:pStyle w:val="65"/>
              <w:numPr>
                <w:ilvl w:val="0"/>
                <w:numId w:val="22"/>
              </w:numPr>
              <w:tabs>
                <w:tab w:val="left" w:pos="526"/>
                <w:tab w:val="left" w:pos="527"/>
              </w:tabs>
              <w:spacing w:before="130"/>
              <w:ind w:hanging="421"/>
              <w:rPr>
                <w:color w:val="auto"/>
                <w:sz w:val="21"/>
                <w:highlight w:val="none"/>
              </w:rPr>
            </w:pPr>
            <w:r>
              <w:rPr>
                <w:color w:val="auto"/>
                <w:sz w:val="21"/>
                <w:highlight w:val="none"/>
              </w:rPr>
              <w:t>部分细部节点详图</w:t>
            </w:r>
          </w:p>
          <w:p>
            <w:pPr>
              <w:pStyle w:val="65"/>
              <w:numPr>
                <w:ilvl w:val="0"/>
                <w:numId w:val="22"/>
              </w:numPr>
              <w:tabs>
                <w:tab w:val="left" w:pos="526"/>
                <w:tab w:val="left" w:pos="527"/>
              </w:tabs>
              <w:spacing w:before="131"/>
              <w:ind w:hanging="421"/>
              <w:rPr>
                <w:color w:val="auto"/>
                <w:sz w:val="21"/>
                <w:highlight w:val="none"/>
              </w:rPr>
            </w:pPr>
            <w:r>
              <w:rPr>
                <w:color w:val="auto"/>
                <w:w w:val="95"/>
                <w:sz w:val="21"/>
                <w:highlight w:val="none"/>
              </w:rPr>
              <w:t>机电布置图</w:t>
            </w:r>
          </w:p>
          <w:p>
            <w:pPr>
              <w:pStyle w:val="65"/>
              <w:numPr>
                <w:ilvl w:val="0"/>
                <w:numId w:val="22"/>
              </w:numPr>
              <w:tabs>
                <w:tab w:val="left" w:pos="526"/>
                <w:tab w:val="left" w:pos="527"/>
              </w:tabs>
              <w:spacing w:before="128"/>
              <w:ind w:hanging="421"/>
              <w:rPr>
                <w:color w:val="auto"/>
                <w:sz w:val="21"/>
                <w:highlight w:val="none"/>
              </w:rPr>
            </w:pPr>
            <w:r>
              <w:rPr>
                <w:color w:val="auto"/>
                <w:w w:val="95"/>
                <w:sz w:val="21"/>
                <w:highlight w:val="none"/>
              </w:rPr>
              <w:t>空调布置图</w:t>
            </w:r>
          </w:p>
          <w:p>
            <w:pPr>
              <w:pStyle w:val="65"/>
              <w:numPr>
                <w:ilvl w:val="0"/>
                <w:numId w:val="22"/>
              </w:numPr>
              <w:tabs>
                <w:tab w:val="left" w:pos="526"/>
                <w:tab w:val="left" w:pos="527"/>
              </w:tabs>
              <w:spacing w:before="131"/>
              <w:ind w:hanging="421"/>
              <w:rPr>
                <w:color w:val="auto"/>
                <w:sz w:val="21"/>
                <w:highlight w:val="none"/>
              </w:rPr>
            </w:pPr>
            <w:r>
              <w:rPr>
                <w:color w:val="auto"/>
                <w:w w:val="95"/>
                <w:sz w:val="21"/>
                <w:highlight w:val="none"/>
              </w:rPr>
              <w:t>插座布置图</w:t>
            </w:r>
          </w:p>
          <w:p>
            <w:pPr>
              <w:pStyle w:val="65"/>
              <w:numPr>
                <w:ilvl w:val="0"/>
                <w:numId w:val="22"/>
              </w:numPr>
              <w:tabs>
                <w:tab w:val="left" w:pos="526"/>
                <w:tab w:val="left" w:pos="527"/>
              </w:tabs>
              <w:spacing w:before="130"/>
              <w:ind w:hanging="421"/>
              <w:rPr>
                <w:color w:val="auto"/>
                <w:sz w:val="21"/>
                <w:highlight w:val="none"/>
              </w:rPr>
            </w:pPr>
            <w:r>
              <w:rPr>
                <w:color w:val="auto"/>
                <w:w w:val="95"/>
                <w:sz w:val="21"/>
                <w:highlight w:val="none"/>
              </w:rPr>
              <w:t>照明布置图</w:t>
            </w:r>
          </w:p>
          <w:p>
            <w:pPr>
              <w:pStyle w:val="65"/>
              <w:numPr>
                <w:ilvl w:val="0"/>
                <w:numId w:val="22"/>
              </w:numPr>
              <w:tabs>
                <w:tab w:val="left" w:pos="526"/>
                <w:tab w:val="left" w:pos="527"/>
              </w:tabs>
              <w:spacing w:before="128"/>
              <w:ind w:hanging="421"/>
              <w:rPr>
                <w:color w:val="auto"/>
                <w:sz w:val="21"/>
                <w:highlight w:val="none"/>
                <w:lang w:eastAsia="zh-CN"/>
              </w:rPr>
            </w:pPr>
            <w:r>
              <w:rPr>
                <w:color w:val="auto"/>
                <w:sz w:val="21"/>
                <w:highlight w:val="none"/>
                <w:lang w:eastAsia="zh-CN"/>
              </w:rPr>
              <w:t>材料表及主要饰面材料实物样板</w:t>
            </w:r>
          </w:p>
        </w:tc>
        <w:tc>
          <w:tcPr>
            <w:tcW w:w="850" w:type="dxa"/>
          </w:tcPr>
          <w:p>
            <w:pPr>
              <w:pStyle w:val="65"/>
              <w:spacing w:before="121"/>
              <w:ind w:left="107"/>
              <w:rPr>
                <w:rFonts w:hint="eastAsia" w:ascii="Times New Roman" w:eastAsia="宋体"/>
                <w:color w:val="auto"/>
                <w:sz w:val="21"/>
                <w:highlight w:val="none"/>
                <w:lang w:eastAsia="zh-CN"/>
              </w:rPr>
            </w:pPr>
            <w:r>
              <w:rPr>
                <w:rFonts w:hint="eastAsia" w:ascii="Times New Roman" w:hAnsi="Times New Roman"/>
                <w:color w:val="auto"/>
                <w:w w:val="99"/>
                <w:sz w:val="21"/>
                <w:highlight w:val="none"/>
                <w:lang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8" w:hRule="atLeast"/>
        </w:trPr>
        <w:tc>
          <w:tcPr>
            <w:tcW w:w="1101" w:type="dxa"/>
          </w:tcPr>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spacing w:before="1"/>
              <w:rPr>
                <w:b/>
                <w:color w:val="auto"/>
                <w:sz w:val="20"/>
                <w:highlight w:val="none"/>
              </w:rPr>
            </w:pPr>
          </w:p>
          <w:p>
            <w:pPr>
              <w:pStyle w:val="65"/>
              <w:ind w:left="130" w:right="121"/>
              <w:jc w:val="center"/>
              <w:rPr>
                <w:color w:val="auto"/>
                <w:sz w:val="21"/>
                <w:highlight w:val="none"/>
              </w:rPr>
            </w:pPr>
            <w:r>
              <w:rPr>
                <w:color w:val="auto"/>
                <w:sz w:val="21"/>
                <w:highlight w:val="none"/>
              </w:rPr>
              <w:t>施工图</w:t>
            </w:r>
          </w:p>
        </w:tc>
        <w:tc>
          <w:tcPr>
            <w:tcW w:w="6662" w:type="dxa"/>
          </w:tcPr>
          <w:p>
            <w:pPr>
              <w:pStyle w:val="65"/>
              <w:numPr>
                <w:ilvl w:val="0"/>
                <w:numId w:val="23"/>
              </w:numPr>
              <w:tabs>
                <w:tab w:val="left" w:pos="526"/>
                <w:tab w:val="left" w:pos="527"/>
              </w:tabs>
              <w:spacing w:before="106"/>
              <w:ind w:hanging="421"/>
              <w:rPr>
                <w:color w:val="auto"/>
                <w:sz w:val="21"/>
                <w:highlight w:val="none"/>
              </w:rPr>
            </w:pPr>
            <w:r>
              <w:rPr>
                <w:color w:val="auto"/>
                <w:sz w:val="21"/>
                <w:highlight w:val="none"/>
              </w:rPr>
              <w:t>施工图设计说明</w:t>
            </w:r>
          </w:p>
          <w:p>
            <w:pPr>
              <w:pStyle w:val="65"/>
              <w:numPr>
                <w:ilvl w:val="0"/>
                <w:numId w:val="23"/>
              </w:numPr>
              <w:tabs>
                <w:tab w:val="left" w:pos="526"/>
                <w:tab w:val="left" w:pos="527"/>
              </w:tabs>
              <w:spacing w:before="130"/>
              <w:ind w:hanging="421"/>
              <w:rPr>
                <w:color w:val="auto"/>
                <w:sz w:val="21"/>
                <w:highlight w:val="none"/>
              </w:rPr>
            </w:pPr>
            <w:r>
              <w:rPr>
                <w:color w:val="auto"/>
                <w:sz w:val="21"/>
                <w:highlight w:val="none"/>
              </w:rPr>
              <w:t>室内总平面图</w:t>
            </w:r>
          </w:p>
          <w:p>
            <w:pPr>
              <w:pStyle w:val="65"/>
              <w:numPr>
                <w:ilvl w:val="0"/>
                <w:numId w:val="23"/>
              </w:numPr>
              <w:tabs>
                <w:tab w:val="left" w:pos="526"/>
                <w:tab w:val="left" w:pos="527"/>
              </w:tabs>
              <w:spacing w:before="128"/>
              <w:ind w:hanging="421"/>
              <w:rPr>
                <w:color w:val="auto"/>
                <w:sz w:val="21"/>
                <w:highlight w:val="none"/>
              </w:rPr>
            </w:pPr>
            <w:r>
              <w:rPr>
                <w:color w:val="auto"/>
                <w:w w:val="95"/>
                <w:sz w:val="21"/>
                <w:highlight w:val="none"/>
              </w:rPr>
              <w:t>室内家具布置图</w:t>
            </w:r>
          </w:p>
          <w:p>
            <w:pPr>
              <w:pStyle w:val="65"/>
              <w:numPr>
                <w:ilvl w:val="0"/>
                <w:numId w:val="23"/>
              </w:numPr>
              <w:tabs>
                <w:tab w:val="left" w:pos="526"/>
                <w:tab w:val="left" w:pos="527"/>
              </w:tabs>
              <w:spacing w:before="131"/>
              <w:ind w:hanging="421"/>
              <w:rPr>
                <w:color w:val="auto"/>
                <w:sz w:val="21"/>
                <w:highlight w:val="none"/>
              </w:rPr>
            </w:pPr>
            <w:r>
              <w:rPr>
                <w:color w:val="auto"/>
                <w:w w:val="95"/>
                <w:sz w:val="21"/>
                <w:highlight w:val="none"/>
              </w:rPr>
              <w:t>室内隔墙尺寸图</w:t>
            </w:r>
          </w:p>
          <w:p>
            <w:pPr>
              <w:pStyle w:val="65"/>
              <w:numPr>
                <w:ilvl w:val="0"/>
                <w:numId w:val="23"/>
              </w:numPr>
              <w:tabs>
                <w:tab w:val="left" w:pos="526"/>
                <w:tab w:val="left" w:pos="527"/>
              </w:tabs>
              <w:spacing w:before="131"/>
              <w:ind w:hanging="421"/>
              <w:rPr>
                <w:color w:val="auto"/>
                <w:sz w:val="21"/>
                <w:highlight w:val="none"/>
              </w:rPr>
            </w:pPr>
            <w:r>
              <w:rPr>
                <w:color w:val="auto"/>
                <w:w w:val="95"/>
                <w:sz w:val="21"/>
                <w:highlight w:val="none"/>
              </w:rPr>
              <w:t>室内地面平面图</w:t>
            </w:r>
          </w:p>
          <w:p>
            <w:pPr>
              <w:pStyle w:val="65"/>
              <w:numPr>
                <w:ilvl w:val="0"/>
                <w:numId w:val="23"/>
              </w:numPr>
              <w:tabs>
                <w:tab w:val="left" w:pos="526"/>
                <w:tab w:val="left" w:pos="527"/>
              </w:tabs>
              <w:spacing w:before="128"/>
              <w:ind w:hanging="421"/>
              <w:rPr>
                <w:color w:val="auto"/>
                <w:sz w:val="21"/>
                <w:highlight w:val="none"/>
              </w:rPr>
            </w:pPr>
            <w:r>
              <w:rPr>
                <w:color w:val="auto"/>
                <w:w w:val="95"/>
                <w:sz w:val="21"/>
                <w:highlight w:val="none"/>
              </w:rPr>
              <w:t>室内吊顶平面图</w:t>
            </w:r>
          </w:p>
          <w:p>
            <w:pPr>
              <w:pStyle w:val="65"/>
              <w:numPr>
                <w:ilvl w:val="0"/>
                <w:numId w:val="23"/>
              </w:numPr>
              <w:tabs>
                <w:tab w:val="left" w:pos="526"/>
                <w:tab w:val="left" w:pos="527"/>
              </w:tabs>
              <w:spacing w:before="130"/>
              <w:ind w:hanging="421"/>
              <w:rPr>
                <w:color w:val="auto"/>
                <w:sz w:val="21"/>
                <w:highlight w:val="none"/>
              </w:rPr>
            </w:pPr>
            <w:r>
              <w:rPr>
                <w:color w:val="auto"/>
                <w:w w:val="95"/>
                <w:sz w:val="21"/>
                <w:highlight w:val="none"/>
              </w:rPr>
              <w:t>立面索引图</w:t>
            </w:r>
          </w:p>
          <w:p>
            <w:pPr>
              <w:pStyle w:val="65"/>
              <w:numPr>
                <w:ilvl w:val="0"/>
                <w:numId w:val="23"/>
              </w:numPr>
              <w:tabs>
                <w:tab w:val="left" w:pos="526"/>
                <w:tab w:val="left" w:pos="527"/>
              </w:tabs>
              <w:spacing w:before="131"/>
              <w:ind w:hanging="421"/>
              <w:rPr>
                <w:color w:val="auto"/>
                <w:sz w:val="21"/>
                <w:highlight w:val="none"/>
              </w:rPr>
            </w:pPr>
            <w:r>
              <w:rPr>
                <w:color w:val="auto"/>
                <w:w w:val="95"/>
                <w:sz w:val="21"/>
                <w:highlight w:val="none"/>
              </w:rPr>
              <w:t>所有立面图</w:t>
            </w:r>
          </w:p>
          <w:p>
            <w:pPr>
              <w:pStyle w:val="65"/>
              <w:numPr>
                <w:ilvl w:val="0"/>
                <w:numId w:val="23"/>
              </w:numPr>
              <w:tabs>
                <w:tab w:val="left" w:pos="526"/>
                <w:tab w:val="left" w:pos="527"/>
              </w:tabs>
              <w:spacing w:before="128"/>
              <w:ind w:hanging="421"/>
              <w:rPr>
                <w:color w:val="auto"/>
                <w:sz w:val="21"/>
                <w:highlight w:val="none"/>
              </w:rPr>
            </w:pPr>
            <w:r>
              <w:rPr>
                <w:color w:val="auto"/>
                <w:sz w:val="21"/>
                <w:highlight w:val="none"/>
              </w:rPr>
              <w:t>所有细部节点大样图</w:t>
            </w:r>
          </w:p>
          <w:p>
            <w:pPr>
              <w:pStyle w:val="65"/>
              <w:numPr>
                <w:ilvl w:val="0"/>
                <w:numId w:val="23"/>
              </w:numPr>
              <w:tabs>
                <w:tab w:val="left" w:pos="526"/>
                <w:tab w:val="left" w:pos="527"/>
              </w:tabs>
              <w:spacing w:before="131"/>
              <w:ind w:hanging="421"/>
              <w:rPr>
                <w:color w:val="auto"/>
                <w:sz w:val="21"/>
                <w:highlight w:val="none"/>
              </w:rPr>
            </w:pPr>
            <w:r>
              <w:rPr>
                <w:color w:val="auto"/>
                <w:sz w:val="21"/>
                <w:highlight w:val="none"/>
              </w:rPr>
              <w:t>门表详图</w:t>
            </w:r>
          </w:p>
          <w:p>
            <w:pPr>
              <w:pStyle w:val="65"/>
              <w:numPr>
                <w:ilvl w:val="0"/>
                <w:numId w:val="23"/>
              </w:numPr>
              <w:tabs>
                <w:tab w:val="left" w:pos="526"/>
                <w:tab w:val="left" w:pos="527"/>
              </w:tabs>
              <w:spacing w:before="130"/>
              <w:ind w:hanging="421"/>
              <w:rPr>
                <w:color w:val="auto"/>
                <w:sz w:val="21"/>
                <w:highlight w:val="none"/>
              </w:rPr>
            </w:pPr>
            <w:r>
              <w:rPr>
                <w:color w:val="auto"/>
                <w:w w:val="95"/>
                <w:sz w:val="21"/>
                <w:highlight w:val="none"/>
              </w:rPr>
              <w:t>机电布置图</w:t>
            </w:r>
          </w:p>
          <w:p>
            <w:pPr>
              <w:pStyle w:val="65"/>
              <w:numPr>
                <w:ilvl w:val="0"/>
                <w:numId w:val="23"/>
              </w:numPr>
              <w:tabs>
                <w:tab w:val="left" w:pos="526"/>
                <w:tab w:val="left" w:pos="527"/>
              </w:tabs>
              <w:spacing w:before="129"/>
              <w:ind w:hanging="421"/>
              <w:rPr>
                <w:color w:val="auto"/>
                <w:sz w:val="21"/>
                <w:highlight w:val="none"/>
              </w:rPr>
            </w:pPr>
            <w:r>
              <w:rPr>
                <w:color w:val="auto"/>
                <w:w w:val="95"/>
                <w:sz w:val="21"/>
                <w:highlight w:val="none"/>
              </w:rPr>
              <w:t>水电系统图</w:t>
            </w:r>
          </w:p>
        </w:tc>
        <w:tc>
          <w:tcPr>
            <w:tcW w:w="850" w:type="dxa"/>
          </w:tcPr>
          <w:p>
            <w:pPr>
              <w:pStyle w:val="65"/>
              <w:spacing w:before="121"/>
              <w:ind w:left="107"/>
              <w:rPr>
                <w:rFonts w:hint="eastAsia" w:ascii="Times New Roman" w:eastAsia="宋体"/>
                <w:color w:val="auto"/>
                <w:sz w:val="21"/>
                <w:highlight w:val="none"/>
                <w:lang w:eastAsia="zh-CN"/>
              </w:rPr>
            </w:pPr>
            <w:r>
              <w:rPr>
                <w:rFonts w:hint="eastAsia" w:ascii="Times New Roman" w:hAnsi="Times New Roman"/>
                <w:color w:val="auto"/>
                <w:w w:val="99"/>
                <w:sz w:val="21"/>
                <w:highlight w:val="none"/>
                <w:lang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0" w:hRule="atLeast"/>
        </w:trPr>
        <w:tc>
          <w:tcPr>
            <w:tcW w:w="1101" w:type="dxa"/>
          </w:tcPr>
          <w:p>
            <w:pPr>
              <w:pStyle w:val="65"/>
              <w:rPr>
                <w:rFonts w:ascii="Times New Roman"/>
                <w:color w:val="auto"/>
                <w:sz w:val="20"/>
                <w:highlight w:val="none"/>
              </w:rPr>
            </w:pPr>
          </w:p>
        </w:tc>
        <w:tc>
          <w:tcPr>
            <w:tcW w:w="6662" w:type="dxa"/>
          </w:tcPr>
          <w:p>
            <w:pPr>
              <w:pStyle w:val="65"/>
              <w:numPr>
                <w:ilvl w:val="0"/>
                <w:numId w:val="24"/>
              </w:numPr>
              <w:tabs>
                <w:tab w:val="left" w:pos="526"/>
                <w:tab w:val="left" w:pos="527"/>
              </w:tabs>
              <w:spacing w:before="106"/>
              <w:ind w:hanging="421"/>
              <w:rPr>
                <w:color w:val="auto"/>
                <w:sz w:val="21"/>
                <w:highlight w:val="none"/>
              </w:rPr>
            </w:pPr>
            <w:r>
              <w:rPr>
                <w:color w:val="auto"/>
                <w:w w:val="95"/>
                <w:sz w:val="21"/>
                <w:highlight w:val="none"/>
              </w:rPr>
              <w:t>空调布置图</w:t>
            </w:r>
          </w:p>
          <w:p>
            <w:pPr>
              <w:pStyle w:val="65"/>
              <w:numPr>
                <w:ilvl w:val="0"/>
                <w:numId w:val="24"/>
              </w:numPr>
              <w:tabs>
                <w:tab w:val="left" w:pos="526"/>
                <w:tab w:val="left" w:pos="527"/>
              </w:tabs>
              <w:spacing w:before="130"/>
              <w:ind w:hanging="421"/>
              <w:rPr>
                <w:color w:val="auto"/>
                <w:sz w:val="21"/>
                <w:highlight w:val="none"/>
              </w:rPr>
            </w:pPr>
            <w:r>
              <w:rPr>
                <w:color w:val="auto"/>
                <w:w w:val="95"/>
                <w:sz w:val="21"/>
                <w:highlight w:val="none"/>
              </w:rPr>
              <w:t>插座布置图</w:t>
            </w:r>
          </w:p>
          <w:p>
            <w:pPr>
              <w:pStyle w:val="65"/>
              <w:numPr>
                <w:ilvl w:val="0"/>
                <w:numId w:val="24"/>
              </w:numPr>
              <w:tabs>
                <w:tab w:val="left" w:pos="526"/>
                <w:tab w:val="left" w:pos="527"/>
              </w:tabs>
              <w:spacing w:before="128"/>
              <w:ind w:hanging="421"/>
              <w:rPr>
                <w:color w:val="auto"/>
                <w:sz w:val="21"/>
                <w:highlight w:val="none"/>
              </w:rPr>
            </w:pPr>
            <w:r>
              <w:rPr>
                <w:color w:val="auto"/>
                <w:w w:val="95"/>
                <w:sz w:val="21"/>
                <w:highlight w:val="none"/>
              </w:rPr>
              <w:t>照明布置图</w:t>
            </w:r>
          </w:p>
          <w:p>
            <w:pPr>
              <w:pStyle w:val="65"/>
              <w:numPr>
                <w:ilvl w:val="0"/>
                <w:numId w:val="24"/>
              </w:numPr>
              <w:tabs>
                <w:tab w:val="left" w:pos="526"/>
                <w:tab w:val="left" w:pos="527"/>
              </w:tabs>
              <w:spacing w:before="131"/>
              <w:ind w:hanging="421"/>
              <w:rPr>
                <w:color w:val="auto"/>
                <w:sz w:val="21"/>
                <w:highlight w:val="none"/>
              </w:rPr>
            </w:pPr>
            <w:r>
              <w:rPr>
                <w:color w:val="auto"/>
                <w:w w:val="95"/>
                <w:sz w:val="21"/>
                <w:highlight w:val="none"/>
              </w:rPr>
              <w:t>电气系统图</w:t>
            </w:r>
          </w:p>
          <w:p>
            <w:pPr>
              <w:pStyle w:val="65"/>
              <w:numPr>
                <w:ilvl w:val="0"/>
                <w:numId w:val="24"/>
              </w:numPr>
              <w:tabs>
                <w:tab w:val="left" w:pos="526"/>
                <w:tab w:val="left" w:pos="527"/>
              </w:tabs>
              <w:spacing w:before="131"/>
              <w:ind w:hanging="421"/>
              <w:rPr>
                <w:color w:val="auto"/>
                <w:sz w:val="21"/>
                <w:highlight w:val="none"/>
              </w:rPr>
            </w:pPr>
            <w:r>
              <w:rPr>
                <w:color w:val="auto"/>
                <w:sz w:val="21"/>
                <w:highlight w:val="none"/>
              </w:rPr>
              <w:t>给排水平面布置图</w:t>
            </w:r>
          </w:p>
          <w:p>
            <w:pPr>
              <w:pStyle w:val="65"/>
              <w:numPr>
                <w:ilvl w:val="0"/>
                <w:numId w:val="24"/>
              </w:numPr>
              <w:tabs>
                <w:tab w:val="left" w:pos="526"/>
                <w:tab w:val="left" w:pos="527"/>
              </w:tabs>
              <w:spacing w:before="128"/>
              <w:ind w:hanging="421"/>
              <w:rPr>
                <w:color w:val="auto"/>
                <w:sz w:val="21"/>
                <w:highlight w:val="none"/>
              </w:rPr>
            </w:pPr>
            <w:r>
              <w:rPr>
                <w:color w:val="auto"/>
                <w:sz w:val="21"/>
                <w:highlight w:val="none"/>
              </w:rPr>
              <w:t>洁具表</w:t>
            </w:r>
          </w:p>
          <w:p>
            <w:pPr>
              <w:pStyle w:val="65"/>
              <w:numPr>
                <w:ilvl w:val="0"/>
                <w:numId w:val="24"/>
              </w:numPr>
              <w:tabs>
                <w:tab w:val="left" w:pos="526"/>
                <w:tab w:val="left" w:pos="527"/>
              </w:tabs>
              <w:spacing w:before="130"/>
              <w:ind w:hanging="421"/>
              <w:rPr>
                <w:color w:val="auto"/>
                <w:sz w:val="21"/>
                <w:highlight w:val="none"/>
                <w:lang w:eastAsia="zh-CN"/>
              </w:rPr>
            </w:pPr>
            <w:r>
              <w:rPr>
                <w:color w:val="auto"/>
                <w:sz w:val="21"/>
                <w:highlight w:val="none"/>
                <w:lang w:eastAsia="zh-CN"/>
              </w:rPr>
              <w:t>材料表（含供应商资料表）及全部饰面材料实物样板</w:t>
            </w:r>
          </w:p>
          <w:p>
            <w:pPr>
              <w:pStyle w:val="65"/>
              <w:spacing w:before="132" w:line="355" w:lineRule="auto"/>
              <w:ind w:left="106" w:right="245" w:firstLine="420"/>
              <w:rPr>
                <w:color w:val="auto"/>
                <w:sz w:val="21"/>
                <w:highlight w:val="none"/>
                <w:lang w:eastAsia="zh-CN"/>
              </w:rPr>
            </w:pPr>
            <w:r>
              <w:rPr>
                <w:color w:val="auto"/>
                <w:w w:val="95"/>
                <w:sz w:val="21"/>
                <w:highlight w:val="none"/>
                <w:lang w:eastAsia="zh-CN"/>
              </w:rPr>
              <w:t>上述材料不包含开关面板、定制家俱、家用电器、厨柜、厨房电 器等内容，如甲方有需要，则乙方应协助甲方提供相应的配合服务工</w:t>
            </w:r>
          </w:p>
          <w:p>
            <w:pPr>
              <w:pStyle w:val="65"/>
              <w:spacing w:before="3"/>
              <w:ind w:left="106"/>
              <w:rPr>
                <w:color w:val="auto"/>
                <w:sz w:val="21"/>
                <w:highlight w:val="none"/>
              </w:rPr>
            </w:pPr>
            <w:r>
              <w:rPr>
                <w:color w:val="auto"/>
                <w:sz w:val="21"/>
                <w:highlight w:val="none"/>
              </w:rPr>
              <w:t>作。</w:t>
            </w:r>
          </w:p>
        </w:tc>
        <w:tc>
          <w:tcPr>
            <w:tcW w:w="850" w:type="dxa"/>
          </w:tcPr>
          <w:p>
            <w:pPr>
              <w:pStyle w:val="6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1101" w:type="dxa"/>
          </w:tcPr>
          <w:p>
            <w:pPr>
              <w:pStyle w:val="65"/>
              <w:spacing w:before="4"/>
              <w:rPr>
                <w:b/>
                <w:color w:val="auto"/>
                <w:sz w:val="23"/>
                <w:highlight w:val="none"/>
                <w:lang w:eastAsia="zh-CN"/>
              </w:rPr>
            </w:pPr>
          </w:p>
          <w:p>
            <w:pPr>
              <w:pStyle w:val="65"/>
              <w:spacing w:line="340" w:lineRule="auto"/>
              <w:ind w:left="108" w:right="99"/>
              <w:jc w:val="center"/>
              <w:rPr>
                <w:color w:val="auto"/>
                <w:highlight w:val="none"/>
                <w:lang w:eastAsia="zh-CN"/>
              </w:rPr>
            </w:pPr>
            <w:r>
              <w:rPr>
                <w:color w:val="auto"/>
                <w:highlight w:val="none"/>
                <w:lang w:eastAsia="zh-CN"/>
              </w:rPr>
              <w:t>施工阶段的监督及配合</w:t>
            </w:r>
          </w:p>
        </w:tc>
        <w:tc>
          <w:tcPr>
            <w:tcW w:w="6662" w:type="dxa"/>
          </w:tcPr>
          <w:p>
            <w:pPr>
              <w:pStyle w:val="65"/>
              <w:numPr>
                <w:ilvl w:val="0"/>
                <w:numId w:val="25"/>
              </w:numPr>
              <w:tabs>
                <w:tab w:val="left" w:pos="526"/>
                <w:tab w:val="left" w:pos="527"/>
              </w:tabs>
              <w:spacing w:before="106" w:line="357" w:lineRule="auto"/>
              <w:ind w:right="245"/>
              <w:rPr>
                <w:color w:val="auto"/>
                <w:sz w:val="21"/>
                <w:highlight w:val="none"/>
                <w:lang w:eastAsia="zh-CN"/>
              </w:rPr>
            </w:pPr>
            <w:r>
              <w:rPr>
                <w:color w:val="auto"/>
                <w:w w:val="95"/>
                <w:sz w:val="21"/>
                <w:highlight w:val="none"/>
                <w:lang w:eastAsia="zh-CN"/>
              </w:rPr>
              <w:t>乙方在施工图完成后，需与甲方、工程承建商等一同出席设计交 底会议并进行设计交底，具体时间经双方协商后，由甲方安排。</w:t>
            </w:r>
          </w:p>
          <w:p>
            <w:pPr>
              <w:pStyle w:val="65"/>
              <w:numPr>
                <w:ilvl w:val="0"/>
                <w:numId w:val="25"/>
              </w:numPr>
              <w:tabs>
                <w:tab w:val="left" w:pos="526"/>
                <w:tab w:val="left" w:pos="527"/>
              </w:tabs>
              <w:spacing w:line="266" w:lineRule="exact"/>
              <w:ind w:hanging="421"/>
              <w:rPr>
                <w:color w:val="auto"/>
                <w:sz w:val="21"/>
                <w:highlight w:val="none"/>
                <w:lang w:eastAsia="zh-CN"/>
              </w:rPr>
            </w:pPr>
            <w:r>
              <w:rPr>
                <w:color w:val="auto"/>
                <w:sz w:val="21"/>
                <w:highlight w:val="none"/>
                <w:lang w:eastAsia="zh-CN"/>
              </w:rPr>
              <w:t>在装饰施工过程中，乙方须派人到现场督察和指导并配合甲方与</w:t>
            </w:r>
          </w:p>
          <w:p>
            <w:pPr>
              <w:pStyle w:val="65"/>
              <w:spacing w:before="132"/>
              <w:ind w:left="526"/>
              <w:rPr>
                <w:color w:val="auto"/>
                <w:sz w:val="21"/>
                <w:highlight w:val="none"/>
                <w:lang w:eastAsia="zh-CN"/>
              </w:rPr>
            </w:pPr>
            <w:r>
              <w:rPr>
                <w:color w:val="auto"/>
                <w:sz w:val="21"/>
                <w:highlight w:val="none"/>
                <w:lang w:eastAsia="zh-CN"/>
              </w:rPr>
              <w:t>各项专家商洽施工配合的问题。</w:t>
            </w:r>
          </w:p>
        </w:tc>
        <w:tc>
          <w:tcPr>
            <w:tcW w:w="850" w:type="dxa"/>
          </w:tcPr>
          <w:p>
            <w:pPr>
              <w:pStyle w:val="65"/>
              <w:spacing w:before="121"/>
              <w:ind w:left="8"/>
              <w:jc w:val="center"/>
              <w:rPr>
                <w:rFonts w:ascii="Times New Roman"/>
                <w:color w:val="auto"/>
                <w:sz w:val="21"/>
                <w:highlight w:val="none"/>
              </w:rPr>
            </w:pPr>
            <w:r>
              <w:rPr>
                <w:rFonts w:ascii="Times New Roman"/>
                <w:color w:val="auto"/>
                <w:w w:val="99"/>
                <w:sz w:val="21"/>
                <w:highlight w:val="none"/>
              </w:rPr>
              <w:t>/</w:t>
            </w:r>
          </w:p>
        </w:tc>
      </w:tr>
    </w:tbl>
    <w:p>
      <w:pPr>
        <w:rPr>
          <w:rFonts w:hint="eastAsia" w:ascii="Times New Roman" w:hAnsi="Times New Roman"/>
          <w:b/>
          <w:color w:val="auto"/>
          <w:sz w:val="21"/>
          <w:highlight w:val="none"/>
          <w:lang w:eastAsia="zh-CN"/>
        </w:rPr>
      </w:pPr>
      <w:r>
        <w:rPr>
          <w:rFonts w:hint="eastAsia" w:ascii="Times New Roman" w:hAnsi="Times New Roman"/>
          <w:b/>
          <w:color w:val="auto"/>
          <w:sz w:val="21"/>
          <w:highlight w:val="none"/>
          <w:lang w:eastAsia="zh-CN"/>
        </w:rPr>
        <w:br w:type="page"/>
      </w:r>
    </w:p>
    <w:p>
      <w:pPr>
        <w:spacing w:before="108" w:after="20"/>
        <w:ind w:left="820"/>
        <w:rPr>
          <w:b/>
          <w:color w:val="auto"/>
          <w:sz w:val="21"/>
          <w:highlight w:val="none"/>
        </w:rPr>
      </w:pPr>
      <w:r>
        <w:rPr>
          <w:rFonts w:hint="eastAsia" w:ascii="Times New Roman" w:hAnsi="Times New Roman"/>
          <w:b/>
          <w:color w:val="auto"/>
          <w:sz w:val="21"/>
          <w:highlight w:val="none"/>
          <w:lang w:eastAsia="zh-CN"/>
        </w:rPr>
        <w:t>4</w:t>
      </w:r>
      <w:r>
        <w:rPr>
          <w:b/>
          <w:color w:val="auto"/>
          <w:sz w:val="21"/>
          <w:highlight w:val="none"/>
        </w:rPr>
        <w:t>、</w:t>
      </w:r>
      <w:r>
        <w:rPr>
          <w:rFonts w:hint="eastAsia" w:ascii="Times New Roman" w:hAnsi="Times New Roman"/>
          <w:b/>
          <w:color w:val="auto"/>
          <w:sz w:val="21"/>
          <w:highlight w:val="none"/>
          <w:lang w:eastAsia="zh-CN"/>
        </w:rPr>
        <w:t>BIM</w:t>
      </w:r>
      <w:r>
        <w:rPr>
          <w:b/>
          <w:color w:val="auto"/>
          <w:sz w:val="21"/>
          <w:highlight w:val="none"/>
        </w:rPr>
        <w:t xml:space="preserve"> 专项设计内容</w:t>
      </w:r>
    </w:p>
    <w:tbl>
      <w:tblPr>
        <w:tblStyle w:val="104"/>
        <w:tblW w:w="0" w:type="auto"/>
        <w:tblInd w:w="7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151"/>
        <w:gridCol w:w="5528"/>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235" w:type="dxa"/>
            <w:gridSpan w:val="2"/>
          </w:tcPr>
          <w:p>
            <w:pPr>
              <w:pStyle w:val="65"/>
              <w:spacing w:before="111" w:line="269" w:lineRule="exact"/>
              <w:ind w:left="696"/>
              <w:rPr>
                <w:b/>
                <w:color w:val="auto"/>
                <w:sz w:val="21"/>
                <w:highlight w:val="none"/>
              </w:rPr>
            </w:pPr>
            <w:r>
              <w:rPr>
                <w:b/>
                <w:color w:val="auto"/>
                <w:sz w:val="21"/>
                <w:highlight w:val="none"/>
              </w:rPr>
              <w:t>服务内容</w:t>
            </w:r>
          </w:p>
        </w:tc>
        <w:tc>
          <w:tcPr>
            <w:tcW w:w="5528" w:type="dxa"/>
          </w:tcPr>
          <w:p>
            <w:pPr>
              <w:pStyle w:val="65"/>
              <w:spacing w:before="111" w:line="269" w:lineRule="exact"/>
              <w:ind w:left="1814"/>
              <w:rPr>
                <w:b/>
                <w:color w:val="auto"/>
                <w:sz w:val="21"/>
                <w:highlight w:val="none"/>
              </w:rPr>
            </w:pPr>
            <w:r>
              <w:rPr>
                <w:b/>
                <w:color w:val="auto"/>
                <w:sz w:val="21"/>
                <w:highlight w:val="none"/>
              </w:rPr>
              <w:t>设计成果及技术要求</w:t>
            </w:r>
          </w:p>
        </w:tc>
        <w:tc>
          <w:tcPr>
            <w:tcW w:w="850" w:type="dxa"/>
          </w:tcPr>
          <w:p>
            <w:pPr>
              <w:pStyle w:val="65"/>
              <w:spacing w:before="111" w:line="269" w:lineRule="exact"/>
              <w:ind w:left="86" w:right="81"/>
              <w:jc w:val="center"/>
              <w:rPr>
                <w:b/>
                <w:color w:val="auto"/>
                <w:sz w:val="21"/>
                <w:highlight w:val="none"/>
              </w:rPr>
            </w:pPr>
            <w:r>
              <w:rPr>
                <w:b/>
                <w:color w:val="auto"/>
                <w:sz w:val="21"/>
                <w:highlight w:val="none"/>
              </w:rPr>
              <w:t>份数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0" w:hRule="atLeast"/>
        </w:trPr>
        <w:tc>
          <w:tcPr>
            <w:tcW w:w="1084" w:type="dxa"/>
            <w:vMerge w:val="restart"/>
          </w:tcPr>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spacing w:before="133"/>
              <w:ind w:left="120"/>
              <w:rPr>
                <w:color w:val="auto"/>
                <w:sz w:val="21"/>
                <w:highlight w:val="none"/>
              </w:rPr>
            </w:pPr>
            <w:r>
              <w:rPr>
                <w:color w:val="auto"/>
                <w:sz w:val="21"/>
                <w:highlight w:val="none"/>
              </w:rPr>
              <w:t>地上部分</w:t>
            </w:r>
          </w:p>
        </w:tc>
        <w:tc>
          <w:tcPr>
            <w:tcW w:w="1151" w:type="dxa"/>
          </w:tcPr>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spacing w:before="172"/>
              <w:ind w:left="133" w:right="127"/>
              <w:jc w:val="center"/>
              <w:rPr>
                <w:color w:val="auto"/>
                <w:sz w:val="21"/>
                <w:highlight w:val="none"/>
              </w:rPr>
            </w:pPr>
            <w:r>
              <w:rPr>
                <w:rFonts w:hint="eastAsia" w:ascii="Times New Roman" w:hAnsi="Times New Roman"/>
                <w:color w:val="auto"/>
                <w:sz w:val="21"/>
                <w:highlight w:val="none"/>
                <w:lang w:eastAsia="zh-CN"/>
              </w:rPr>
              <w:t>BIM</w:t>
            </w:r>
            <w:r>
              <w:rPr>
                <w:color w:val="auto"/>
                <w:sz w:val="21"/>
                <w:highlight w:val="none"/>
              </w:rPr>
              <w:t xml:space="preserve"> 建模</w:t>
            </w:r>
          </w:p>
        </w:tc>
        <w:tc>
          <w:tcPr>
            <w:tcW w:w="5528" w:type="dxa"/>
          </w:tcPr>
          <w:p>
            <w:pPr>
              <w:pStyle w:val="65"/>
              <w:spacing w:before="109"/>
              <w:ind w:left="107"/>
              <w:rPr>
                <w:color w:val="auto"/>
                <w:sz w:val="21"/>
                <w:highlight w:val="none"/>
              </w:rPr>
            </w:pPr>
            <w:r>
              <w:rPr>
                <w:color w:val="auto"/>
                <w:sz w:val="21"/>
                <w:highlight w:val="none"/>
              </w:rPr>
              <w:t>设计成果：</w:t>
            </w:r>
          </w:p>
          <w:p>
            <w:pPr>
              <w:pStyle w:val="65"/>
              <w:numPr>
                <w:ilvl w:val="0"/>
                <w:numId w:val="26"/>
              </w:numPr>
              <w:tabs>
                <w:tab w:val="left" w:pos="527"/>
                <w:tab w:val="left" w:pos="528"/>
              </w:tabs>
              <w:spacing w:before="131" w:line="357" w:lineRule="auto"/>
              <w:ind w:right="3730" w:firstLine="0"/>
              <w:rPr>
                <w:color w:val="auto"/>
                <w:sz w:val="21"/>
                <w:highlight w:val="none"/>
                <w:lang w:eastAsia="zh-CN"/>
              </w:rPr>
            </w:pPr>
            <w:r>
              <w:rPr>
                <w:color w:val="auto"/>
                <w:spacing w:val="-3"/>
                <w:sz w:val="21"/>
                <w:highlight w:val="none"/>
                <w:lang w:eastAsia="zh-CN"/>
              </w:rPr>
              <w:t>模型浏览文件</w:t>
            </w:r>
            <w:r>
              <w:rPr>
                <w:color w:val="auto"/>
                <w:sz w:val="21"/>
                <w:highlight w:val="none"/>
                <w:lang w:eastAsia="zh-CN"/>
              </w:rPr>
              <w:t>技术要求：</w:t>
            </w:r>
          </w:p>
          <w:p>
            <w:pPr>
              <w:pStyle w:val="65"/>
              <w:numPr>
                <w:ilvl w:val="0"/>
                <w:numId w:val="26"/>
              </w:numPr>
              <w:tabs>
                <w:tab w:val="left" w:pos="527"/>
                <w:tab w:val="left" w:pos="528"/>
              </w:tabs>
              <w:spacing w:line="357" w:lineRule="auto"/>
              <w:ind w:left="527" w:right="159"/>
              <w:rPr>
                <w:color w:val="auto"/>
                <w:sz w:val="21"/>
                <w:highlight w:val="none"/>
                <w:lang w:eastAsia="zh-CN"/>
              </w:rPr>
            </w:pPr>
            <w:r>
              <w:rPr>
                <w:color w:val="auto"/>
                <w:w w:val="95"/>
                <w:sz w:val="21"/>
                <w:highlight w:val="none"/>
                <w:lang w:eastAsia="zh-CN"/>
              </w:rPr>
              <w:t xml:space="preserve">源文件模型：应包含全部地上相关专业内容的最终模 </w:t>
            </w:r>
            <w:r>
              <w:rPr>
                <w:color w:val="auto"/>
                <w:sz w:val="21"/>
                <w:highlight w:val="none"/>
                <w:lang w:eastAsia="zh-CN"/>
              </w:rPr>
              <w:t>型。</w:t>
            </w:r>
          </w:p>
          <w:p>
            <w:pPr>
              <w:pStyle w:val="65"/>
              <w:numPr>
                <w:ilvl w:val="0"/>
                <w:numId w:val="26"/>
              </w:numPr>
              <w:tabs>
                <w:tab w:val="left" w:pos="527"/>
                <w:tab w:val="left" w:pos="528"/>
              </w:tabs>
              <w:spacing w:line="355" w:lineRule="auto"/>
              <w:ind w:left="527" w:right="473"/>
              <w:rPr>
                <w:color w:val="auto"/>
                <w:sz w:val="21"/>
                <w:highlight w:val="none"/>
                <w:lang w:eastAsia="zh-CN"/>
              </w:rPr>
            </w:pPr>
            <w:r>
              <w:rPr>
                <w:color w:val="auto"/>
                <w:w w:val="95"/>
                <w:sz w:val="21"/>
                <w:highlight w:val="none"/>
                <w:lang w:eastAsia="zh-CN"/>
              </w:rPr>
              <w:t xml:space="preserve">模型浏览文件：应根据阶段提供,便于项目进行浏 </w:t>
            </w:r>
            <w:r>
              <w:rPr>
                <w:color w:val="auto"/>
                <w:sz w:val="21"/>
                <w:highlight w:val="none"/>
                <w:lang w:eastAsia="zh-CN"/>
              </w:rPr>
              <w:t>览。</w:t>
            </w:r>
          </w:p>
          <w:p>
            <w:pPr>
              <w:pStyle w:val="65"/>
              <w:numPr>
                <w:ilvl w:val="0"/>
                <w:numId w:val="26"/>
              </w:numPr>
              <w:tabs>
                <w:tab w:val="left" w:pos="527"/>
                <w:tab w:val="left" w:pos="528"/>
              </w:tabs>
              <w:ind w:left="527" w:hanging="421"/>
              <w:rPr>
                <w:color w:val="auto"/>
                <w:sz w:val="21"/>
                <w:highlight w:val="none"/>
                <w:lang w:eastAsia="zh-CN"/>
              </w:rPr>
            </w:pPr>
            <w:r>
              <w:rPr>
                <w:color w:val="auto"/>
                <w:sz w:val="21"/>
                <w:highlight w:val="none"/>
                <w:lang w:eastAsia="zh-CN"/>
              </w:rPr>
              <w:t>模型文件须配有支持打开浏览的软件。</w:t>
            </w:r>
          </w:p>
          <w:p>
            <w:pPr>
              <w:pStyle w:val="65"/>
              <w:numPr>
                <w:ilvl w:val="0"/>
                <w:numId w:val="26"/>
              </w:numPr>
              <w:tabs>
                <w:tab w:val="left" w:pos="527"/>
                <w:tab w:val="left" w:pos="528"/>
              </w:tabs>
              <w:spacing w:before="127"/>
              <w:ind w:left="527" w:hanging="421"/>
              <w:rPr>
                <w:color w:val="auto"/>
                <w:sz w:val="21"/>
                <w:highlight w:val="none"/>
              </w:rPr>
            </w:pPr>
            <w:r>
              <w:rPr>
                <w:color w:val="auto"/>
                <w:spacing w:val="-6"/>
                <w:sz w:val="21"/>
                <w:highlight w:val="none"/>
              </w:rPr>
              <w:t xml:space="preserve">模型精度：不低于 </w:t>
            </w:r>
            <w:r>
              <w:rPr>
                <w:rFonts w:hint="eastAsia" w:ascii="Times New Roman" w:hAnsi="Times New Roman"/>
                <w:color w:val="auto"/>
                <w:sz w:val="21"/>
                <w:highlight w:val="none"/>
                <w:lang w:eastAsia="zh-CN"/>
              </w:rPr>
              <w:t>LOD300</w:t>
            </w:r>
          </w:p>
        </w:tc>
        <w:tc>
          <w:tcPr>
            <w:tcW w:w="850" w:type="dxa"/>
          </w:tcPr>
          <w:p>
            <w:pPr>
              <w:pStyle w:val="65"/>
              <w:spacing w:before="109"/>
              <w:ind w:left="86" w:right="83"/>
              <w:jc w:val="center"/>
              <w:rPr>
                <w:color w:val="auto"/>
                <w:sz w:val="21"/>
                <w:highlight w:val="none"/>
              </w:rPr>
            </w:pPr>
            <w:r>
              <w:rPr>
                <w:color w:val="auto"/>
                <w:sz w:val="21"/>
                <w:highlight w:val="none"/>
              </w:rPr>
              <w:t>电子版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0" w:hRule="atLeast"/>
        </w:trPr>
        <w:tc>
          <w:tcPr>
            <w:tcW w:w="1084" w:type="dxa"/>
            <w:vMerge w:val="continue"/>
            <w:tcBorders>
              <w:top w:val="nil"/>
            </w:tcBorders>
          </w:tcPr>
          <w:p>
            <w:pPr>
              <w:rPr>
                <w:color w:val="auto"/>
                <w:sz w:val="2"/>
                <w:szCs w:val="2"/>
                <w:highlight w:val="none"/>
              </w:rPr>
            </w:pPr>
          </w:p>
        </w:tc>
        <w:tc>
          <w:tcPr>
            <w:tcW w:w="1151" w:type="dxa"/>
          </w:tcPr>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spacing w:before="172"/>
              <w:ind w:left="133" w:right="127"/>
              <w:jc w:val="center"/>
              <w:rPr>
                <w:color w:val="auto"/>
                <w:sz w:val="21"/>
                <w:highlight w:val="none"/>
              </w:rPr>
            </w:pPr>
            <w:r>
              <w:rPr>
                <w:color w:val="auto"/>
                <w:sz w:val="21"/>
                <w:highlight w:val="none"/>
              </w:rPr>
              <w:t>图纸校验</w:t>
            </w:r>
          </w:p>
        </w:tc>
        <w:tc>
          <w:tcPr>
            <w:tcW w:w="5528" w:type="dxa"/>
          </w:tcPr>
          <w:p>
            <w:pPr>
              <w:pStyle w:val="65"/>
              <w:spacing w:before="111"/>
              <w:ind w:left="107"/>
              <w:rPr>
                <w:color w:val="auto"/>
                <w:sz w:val="21"/>
                <w:highlight w:val="none"/>
              </w:rPr>
            </w:pPr>
            <w:r>
              <w:rPr>
                <w:color w:val="auto"/>
                <w:sz w:val="21"/>
                <w:highlight w:val="none"/>
              </w:rPr>
              <w:t>设计成果</w:t>
            </w:r>
          </w:p>
          <w:p>
            <w:pPr>
              <w:pStyle w:val="65"/>
              <w:numPr>
                <w:ilvl w:val="0"/>
                <w:numId w:val="27"/>
              </w:numPr>
              <w:tabs>
                <w:tab w:val="left" w:pos="528"/>
              </w:tabs>
              <w:spacing w:before="128"/>
              <w:ind w:left="527" w:hanging="421"/>
              <w:jc w:val="both"/>
              <w:rPr>
                <w:color w:val="auto"/>
                <w:sz w:val="21"/>
                <w:highlight w:val="none"/>
              </w:rPr>
            </w:pPr>
            <w:r>
              <w:rPr>
                <w:color w:val="auto"/>
                <w:sz w:val="21"/>
                <w:highlight w:val="none"/>
              </w:rPr>
              <w:t>图纸审核问题报告</w:t>
            </w:r>
          </w:p>
          <w:p>
            <w:pPr>
              <w:pStyle w:val="65"/>
              <w:numPr>
                <w:ilvl w:val="0"/>
                <w:numId w:val="27"/>
              </w:numPr>
              <w:tabs>
                <w:tab w:val="left" w:pos="528"/>
              </w:tabs>
              <w:spacing w:before="131" w:line="357" w:lineRule="auto"/>
              <w:ind w:right="1839" w:firstLine="0"/>
              <w:jc w:val="both"/>
              <w:rPr>
                <w:color w:val="auto"/>
                <w:sz w:val="21"/>
                <w:highlight w:val="none"/>
                <w:lang w:eastAsia="zh-CN"/>
              </w:rPr>
            </w:pPr>
            <w:r>
              <w:rPr>
                <w:color w:val="auto"/>
                <w:w w:val="95"/>
                <w:sz w:val="21"/>
                <w:highlight w:val="none"/>
                <w:lang w:eastAsia="zh-CN"/>
              </w:rPr>
              <w:t>辅助的三维分析图或平面定位图纸</w:t>
            </w:r>
            <w:r>
              <w:rPr>
                <w:color w:val="auto"/>
                <w:sz w:val="21"/>
                <w:highlight w:val="none"/>
                <w:lang w:eastAsia="zh-CN"/>
              </w:rPr>
              <w:t>技术要求：</w:t>
            </w:r>
          </w:p>
          <w:p>
            <w:pPr>
              <w:pStyle w:val="65"/>
              <w:numPr>
                <w:ilvl w:val="0"/>
                <w:numId w:val="27"/>
              </w:numPr>
              <w:tabs>
                <w:tab w:val="left" w:pos="528"/>
              </w:tabs>
              <w:spacing w:line="357" w:lineRule="auto"/>
              <w:ind w:left="527" w:right="159"/>
              <w:jc w:val="both"/>
              <w:rPr>
                <w:color w:val="auto"/>
                <w:sz w:val="21"/>
                <w:highlight w:val="none"/>
                <w:lang w:eastAsia="zh-CN"/>
              </w:rPr>
            </w:pPr>
            <w:r>
              <w:rPr>
                <w:color w:val="auto"/>
                <w:w w:val="95"/>
                <w:sz w:val="21"/>
                <w:highlight w:val="none"/>
                <w:lang w:eastAsia="zh-CN"/>
              </w:rPr>
              <w:t xml:space="preserve">图纸审核问题报告中应明确问题涉及专业、问题所在 的图纸编号及轴线位置、问题内容表达清晰、优化建 议应合理、解决方案是应经甲方、原设计单位书面确 </w:t>
            </w:r>
            <w:r>
              <w:rPr>
                <w:color w:val="auto"/>
                <w:sz w:val="21"/>
                <w:highlight w:val="none"/>
                <w:lang w:eastAsia="zh-CN"/>
              </w:rPr>
              <w:t>认。</w:t>
            </w:r>
          </w:p>
          <w:p>
            <w:pPr>
              <w:pStyle w:val="65"/>
              <w:numPr>
                <w:ilvl w:val="0"/>
                <w:numId w:val="27"/>
              </w:numPr>
              <w:tabs>
                <w:tab w:val="left" w:pos="528"/>
              </w:tabs>
              <w:spacing w:line="266" w:lineRule="exact"/>
              <w:ind w:left="527" w:hanging="421"/>
              <w:jc w:val="both"/>
              <w:rPr>
                <w:color w:val="auto"/>
                <w:sz w:val="21"/>
                <w:highlight w:val="none"/>
                <w:lang w:eastAsia="zh-CN"/>
              </w:rPr>
            </w:pPr>
            <w:r>
              <w:rPr>
                <w:color w:val="auto"/>
                <w:sz w:val="21"/>
                <w:highlight w:val="none"/>
                <w:lang w:eastAsia="zh-CN"/>
              </w:rPr>
              <w:t>图纸审核问题报告可根据设计阶段分期提供。</w:t>
            </w:r>
          </w:p>
        </w:tc>
        <w:tc>
          <w:tcPr>
            <w:tcW w:w="850" w:type="dxa"/>
          </w:tcPr>
          <w:p>
            <w:pPr>
              <w:pStyle w:val="65"/>
              <w:spacing w:before="111"/>
              <w:ind w:left="86" w:right="83"/>
              <w:jc w:val="center"/>
              <w:rPr>
                <w:color w:val="auto"/>
                <w:sz w:val="21"/>
                <w:highlight w:val="none"/>
              </w:rPr>
            </w:pPr>
            <w:r>
              <w:rPr>
                <w:color w:val="auto"/>
                <w:sz w:val="21"/>
                <w:highlight w:val="none"/>
              </w:rPr>
              <w:t>电子版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084" w:type="dxa"/>
            <w:vMerge w:val="continue"/>
            <w:tcBorders>
              <w:top w:val="nil"/>
            </w:tcBorders>
          </w:tcPr>
          <w:p>
            <w:pPr>
              <w:rPr>
                <w:color w:val="auto"/>
                <w:sz w:val="2"/>
                <w:szCs w:val="2"/>
                <w:highlight w:val="none"/>
              </w:rPr>
            </w:pPr>
          </w:p>
        </w:tc>
        <w:tc>
          <w:tcPr>
            <w:tcW w:w="1151" w:type="dxa"/>
          </w:tcPr>
          <w:p>
            <w:pPr>
              <w:pStyle w:val="65"/>
              <w:spacing w:before="110" w:line="267" w:lineRule="exact"/>
              <w:ind w:left="133" w:right="127"/>
              <w:jc w:val="center"/>
              <w:rPr>
                <w:color w:val="auto"/>
                <w:sz w:val="21"/>
                <w:highlight w:val="none"/>
              </w:rPr>
            </w:pPr>
            <w:r>
              <w:rPr>
                <w:color w:val="auto"/>
                <w:sz w:val="21"/>
                <w:highlight w:val="none"/>
              </w:rPr>
              <w:t>其他相关</w:t>
            </w:r>
          </w:p>
        </w:tc>
        <w:tc>
          <w:tcPr>
            <w:tcW w:w="5528" w:type="dxa"/>
          </w:tcPr>
          <w:p>
            <w:pPr>
              <w:pStyle w:val="65"/>
              <w:spacing w:before="110" w:line="267" w:lineRule="exact"/>
              <w:ind w:left="107"/>
              <w:rPr>
                <w:color w:val="auto"/>
                <w:sz w:val="21"/>
                <w:highlight w:val="none"/>
              </w:rPr>
            </w:pPr>
            <w:r>
              <w:rPr>
                <w:color w:val="auto"/>
                <w:sz w:val="21"/>
                <w:highlight w:val="none"/>
              </w:rPr>
              <w:t>设计成果：</w:t>
            </w:r>
          </w:p>
        </w:tc>
        <w:tc>
          <w:tcPr>
            <w:tcW w:w="850" w:type="dxa"/>
          </w:tcPr>
          <w:p>
            <w:pPr>
              <w:pStyle w:val="6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084" w:type="dxa"/>
          </w:tcPr>
          <w:p>
            <w:pPr>
              <w:pStyle w:val="65"/>
              <w:rPr>
                <w:rFonts w:ascii="Times New Roman"/>
                <w:color w:val="auto"/>
                <w:sz w:val="20"/>
                <w:highlight w:val="none"/>
              </w:rPr>
            </w:pPr>
          </w:p>
        </w:tc>
        <w:tc>
          <w:tcPr>
            <w:tcW w:w="1151" w:type="dxa"/>
          </w:tcPr>
          <w:p>
            <w:pPr>
              <w:pStyle w:val="65"/>
              <w:spacing w:before="107"/>
              <w:ind w:left="133" w:right="127"/>
              <w:jc w:val="center"/>
              <w:rPr>
                <w:color w:val="auto"/>
                <w:sz w:val="21"/>
                <w:highlight w:val="none"/>
              </w:rPr>
            </w:pPr>
            <w:r>
              <w:rPr>
                <w:color w:val="auto"/>
                <w:sz w:val="21"/>
                <w:highlight w:val="none"/>
              </w:rPr>
              <w:t>图纸（可</w:t>
            </w:r>
          </w:p>
          <w:p>
            <w:pPr>
              <w:pStyle w:val="65"/>
              <w:spacing w:before="131"/>
              <w:ind w:left="131" w:right="127"/>
              <w:jc w:val="center"/>
              <w:rPr>
                <w:color w:val="auto"/>
                <w:sz w:val="21"/>
                <w:highlight w:val="none"/>
              </w:rPr>
            </w:pPr>
            <w:r>
              <w:rPr>
                <w:color w:val="auto"/>
                <w:sz w:val="21"/>
                <w:highlight w:val="none"/>
              </w:rPr>
              <w:t>选）</w:t>
            </w:r>
          </w:p>
        </w:tc>
        <w:tc>
          <w:tcPr>
            <w:tcW w:w="5528" w:type="dxa"/>
          </w:tcPr>
          <w:p>
            <w:pPr>
              <w:pStyle w:val="65"/>
              <w:numPr>
                <w:ilvl w:val="0"/>
                <w:numId w:val="28"/>
              </w:numPr>
              <w:tabs>
                <w:tab w:val="left" w:pos="527"/>
                <w:tab w:val="left" w:pos="528"/>
              </w:tabs>
              <w:spacing w:before="106"/>
              <w:ind w:hanging="421"/>
              <w:rPr>
                <w:color w:val="auto"/>
                <w:sz w:val="21"/>
                <w:highlight w:val="none"/>
              </w:rPr>
            </w:pPr>
            <w:r>
              <w:rPr>
                <w:color w:val="auto"/>
                <w:sz w:val="21"/>
                <w:highlight w:val="none"/>
              </w:rPr>
              <w:t>安装预埋施工图</w:t>
            </w:r>
          </w:p>
          <w:p>
            <w:pPr>
              <w:pStyle w:val="65"/>
              <w:numPr>
                <w:ilvl w:val="0"/>
                <w:numId w:val="28"/>
              </w:numPr>
              <w:tabs>
                <w:tab w:val="left" w:pos="527"/>
                <w:tab w:val="left" w:pos="528"/>
              </w:tabs>
              <w:spacing w:before="130"/>
              <w:ind w:hanging="421"/>
              <w:rPr>
                <w:color w:val="auto"/>
                <w:sz w:val="21"/>
                <w:highlight w:val="none"/>
              </w:rPr>
            </w:pPr>
            <w:r>
              <w:rPr>
                <w:color w:val="auto"/>
                <w:sz w:val="21"/>
                <w:highlight w:val="none"/>
              </w:rPr>
              <w:t>其他</w:t>
            </w:r>
          </w:p>
        </w:tc>
        <w:tc>
          <w:tcPr>
            <w:tcW w:w="850" w:type="dxa"/>
          </w:tcPr>
          <w:p>
            <w:pPr>
              <w:pStyle w:val="6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0" w:hRule="atLeast"/>
        </w:trPr>
        <w:tc>
          <w:tcPr>
            <w:tcW w:w="1084" w:type="dxa"/>
            <w:vMerge w:val="restart"/>
          </w:tcPr>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spacing w:before="12"/>
              <w:rPr>
                <w:b/>
                <w:color w:val="auto"/>
                <w:sz w:val="28"/>
                <w:highlight w:val="none"/>
              </w:rPr>
            </w:pPr>
          </w:p>
          <w:p>
            <w:pPr>
              <w:pStyle w:val="65"/>
              <w:ind w:left="226"/>
              <w:rPr>
                <w:color w:val="auto"/>
                <w:sz w:val="21"/>
                <w:highlight w:val="none"/>
              </w:rPr>
            </w:pPr>
            <w:r>
              <w:rPr>
                <w:color w:val="auto"/>
                <w:sz w:val="21"/>
                <w:highlight w:val="none"/>
              </w:rPr>
              <w:t>地下室</w:t>
            </w:r>
          </w:p>
        </w:tc>
        <w:tc>
          <w:tcPr>
            <w:tcW w:w="1151" w:type="dxa"/>
            <w:tcBorders>
              <w:bottom w:val="single" w:color="000000" w:sz="4" w:space="0"/>
            </w:tcBorders>
          </w:tcPr>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spacing w:before="11"/>
              <w:rPr>
                <w:b/>
                <w:color w:val="auto"/>
                <w:sz w:val="28"/>
                <w:highlight w:val="none"/>
              </w:rPr>
            </w:pPr>
          </w:p>
          <w:p>
            <w:pPr>
              <w:pStyle w:val="65"/>
              <w:spacing w:before="1"/>
              <w:ind w:left="133" w:right="127"/>
              <w:jc w:val="center"/>
              <w:rPr>
                <w:color w:val="auto"/>
                <w:sz w:val="21"/>
                <w:highlight w:val="none"/>
              </w:rPr>
            </w:pPr>
            <w:r>
              <w:rPr>
                <w:rFonts w:hint="eastAsia" w:ascii="Times New Roman" w:hAnsi="Times New Roman"/>
                <w:color w:val="auto"/>
                <w:sz w:val="21"/>
                <w:highlight w:val="none"/>
                <w:lang w:eastAsia="zh-CN"/>
              </w:rPr>
              <w:t>BIM</w:t>
            </w:r>
            <w:r>
              <w:rPr>
                <w:color w:val="auto"/>
                <w:sz w:val="21"/>
                <w:highlight w:val="none"/>
              </w:rPr>
              <w:t xml:space="preserve"> 建模</w:t>
            </w:r>
          </w:p>
        </w:tc>
        <w:tc>
          <w:tcPr>
            <w:tcW w:w="5528" w:type="dxa"/>
            <w:tcBorders>
              <w:bottom w:val="single" w:color="000000" w:sz="4" w:space="0"/>
            </w:tcBorders>
          </w:tcPr>
          <w:p>
            <w:pPr>
              <w:pStyle w:val="65"/>
              <w:spacing w:before="108"/>
              <w:ind w:left="107"/>
              <w:rPr>
                <w:color w:val="auto"/>
                <w:sz w:val="21"/>
                <w:highlight w:val="none"/>
              </w:rPr>
            </w:pPr>
            <w:r>
              <w:rPr>
                <w:color w:val="auto"/>
                <w:sz w:val="21"/>
                <w:highlight w:val="none"/>
              </w:rPr>
              <w:t>设计成果：</w:t>
            </w:r>
          </w:p>
          <w:p>
            <w:pPr>
              <w:pStyle w:val="65"/>
              <w:numPr>
                <w:ilvl w:val="0"/>
                <w:numId w:val="29"/>
              </w:numPr>
              <w:tabs>
                <w:tab w:val="left" w:pos="527"/>
                <w:tab w:val="left" w:pos="528"/>
              </w:tabs>
              <w:spacing w:before="128" w:line="357" w:lineRule="auto"/>
              <w:ind w:right="3730" w:firstLine="0"/>
              <w:rPr>
                <w:color w:val="auto"/>
                <w:sz w:val="21"/>
                <w:highlight w:val="none"/>
                <w:lang w:eastAsia="zh-CN"/>
              </w:rPr>
            </w:pPr>
            <w:r>
              <w:rPr>
                <w:color w:val="auto"/>
                <w:spacing w:val="-3"/>
                <w:sz w:val="21"/>
                <w:highlight w:val="none"/>
                <w:lang w:eastAsia="zh-CN"/>
              </w:rPr>
              <w:t>模型浏览文件</w:t>
            </w:r>
            <w:r>
              <w:rPr>
                <w:color w:val="auto"/>
                <w:sz w:val="21"/>
                <w:highlight w:val="none"/>
                <w:lang w:eastAsia="zh-CN"/>
              </w:rPr>
              <w:t>技术要求：</w:t>
            </w:r>
          </w:p>
          <w:p>
            <w:pPr>
              <w:pStyle w:val="65"/>
              <w:numPr>
                <w:ilvl w:val="0"/>
                <w:numId w:val="29"/>
              </w:numPr>
              <w:tabs>
                <w:tab w:val="left" w:pos="527"/>
                <w:tab w:val="left" w:pos="528"/>
              </w:tabs>
              <w:spacing w:line="355" w:lineRule="auto"/>
              <w:ind w:left="527" w:right="159"/>
              <w:rPr>
                <w:color w:val="auto"/>
                <w:sz w:val="21"/>
                <w:highlight w:val="none"/>
                <w:lang w:eastAsia="zh-CN"/>
              </w:rPr>
            </w:pPr>
            <w:r>
              <w:rPr>
                <w:color w:val="auto"/>
                <w:w w:val="95"/>
                <w:sz w:val="21"/>
                <w:highlight w:val="none"/>
                <w:lang w:eastAsia="zh-CN"/>
              </w:rPr>
              <w:t xml:space="preserve">源文件模型：应包含地下室的建筑、结构、机电、精 </w:t>
            </w:r>
            <w:r>
              <w:rPr>
                <w:color w:val="auto"/>
                <w:sz w:val="21"/>
                <w:highlight w:val="none"/>
                <w:lang w:eastAsia="zh-CN"/>
              </w:rPr>
              <w:t>装、人防等相关专业内容的最终模型。</w:t>
            </w:r>
          </w:p>
          <w:p>
            <w:pPr>
              <w:pStyle w:val="65"/>
              <w:numPr>
                <w:ilvl w:val="0"/>
                <w:numId w:val="29"/>
              </w:numPr>
              <w:tabs>
                <w:tab w:val="left" w:pos="527"/>
                <w:tab w:val="left" w:pos="528"/>
              </w:tabs>
              <w:spacing w:line="357" w:lineRule="auto"/>
              <w:ind w:left="527" w:right="159"/>
              <w:rPr>
                <w:color w:val="auto"/>
                <w:sz w:val="21"/>
                <w:highlight w:val="none"/>
                <w:lang w:eastAsia="zh-CN"/>
              </w:rPr>
            </w:pPr>
            <w:r>
              <w:rPr>
                <w:color w:val="auto"/>
                <w:w w:val="95"/>
                <w:sz w:val="21"/>
                <w:highlight w:val="none"/>
                <w:lang w:eastAsia="zh-CN"/>
              </w:rPr>
              <w:t xml:space="preserve">管线综合三维模型应能协助项目公司解决碰撞、净高 </w:t>
            </w:r>
            <w:r>
              <w:rPr>
                <w:color w:val="auto"/>
                <w:sz w:val="21"/>
                <w:highlight w:val="none"/>
                <w:lang w:eastAsia="zh-CN"/>
              </w:rPr>
              <w:t>空间、管线排布等问题。</w:t>
            </w:r>
          </w:p>
          <w:p>
            <w:pPr>
              <w:pStyle w:val="65"/>
              <w:numPr>
                <w:ilvl w:val="0"/>
                <w:numId w:val="29"/>
              </w:numPr>
              <w:tabs>
                <w:tab w:val="left" w:pos="527"/>
                <w:tab w:val="left" w:pos="528"/>
              </w:tabs>
              <w:spacing w:line="266" w:lineRule="exact"/>
              <w:ind w:left="527" w:hanging="421"/>
              <w:rPr>
                <w:color w:val="auto"/>
                <w:sz w:val="21"/>
                <w:highlight w:val="none"/>
                <w:lang w:eastAsia="zh-CN"/>
              </w:rPr>
            </w:pPr>
            <w:r>
              <w:rPr>
                <w:color w:val="auto"/>
                <w:sz w:val="21"/>
                <w:highlight w:val="none"/>
                <w:lang w:eastAsia="zh-CN"/>
              </w:rPr>
              <w:t>模型浏览文件：应根据阶段提供,便于项目进行浏览</w:t>
            </w:r>
          </w:p>
          <w:p>
            <w:pPr>
              <w:pStyle w:val="65"/>
              <w:numPr>
                <w:ilvl w:val="0"/>
                <w:numId w:val="29"/>
              </w:numPr>
              <w:tabs>
                <w:tab w:val="left" w:pos="527"/>
                <w:tab w:val="left" w:pos="528"/>
              </w:tabs>
              <w:spacing w:before="131"/>
              <w:ind w:left="527" w:hanging="421"/>
              <w:rPr>
                <w:color w:val="auto"/>
                <w:sz w:val="21"/>
                <w:highlight w:val="none"/>
                <w:lang w:eastAsia="zh-CN"/>
              </w:rPr>
            </w:pPr>
            <w:r>
              <w:rPr>
                <w:color w:val="auto"/>
                <w:sz w:val="21"/>
                <w:highlight w:val="none"/>
                <w:lang w:eastAsia="zh-CN"/>
              </w:rPr>
              <w:t>模型文件须配有支持打开浏览的软件。</w:t>
            </w:r>
          </w:p>
          <w:p>
            <w:pPr>
              <w:pStyle w:val="65"/>
              <w:numPr>
                <w:ilvl w:val="0"/>
                <w:numId w:val="29"/>
              </w:numPr>
              <w:tabs>
                <w:tab w:val="left" w:pos="527"/>
                <w:tab w:val="left" w:pos="528"/>
              </w:tabs>
              <w:spacing w:before="131"/>
              <w:ind w:left="527" w:hanging="421"/>
              <w:rPr>
                <w:color w:val="auto"/>
                <w:sz w:val="21"/>
                <w:highlight w:val="none"/>
              </w:rPr>
            </w:pPr>
            <w:r>
              <w:rPr>
                <w:color w:val="auto"/>
                <w:spacing w:val="-6"/>
                <w:sz w:val="21"/>
                <w:highlight w:val="none"/>
              </w:rPr>
              <w:t xml:space="preserve">模型精度：不低于 </w:t>
            </w:r>
            <w:r>
              <w:rPr>
                <w:rFonts w:hint="eastAsia" w:ascii="Times New Roman" w:hAnsi="Times New Roman"/>
                <w:color w:val="auto"/>
                <w:sz w:val="21"/>
                <w:highlight w:val="none"/>
                <w:lang w:eastAsia="zh-CN"/>
              </w:rPr>
              <w:t>LOD300</w:t>
            </w:r>
          </w:p>
        </w:tc>
        <w:tc>
          <w:tcPr>
            <w:tcW w:w="850" w:type="dxa"/>
          </w:tcPr>
          <w:p>
            <w:pPr>
              <w:pStyle w:val="65"/>
              <w:spacing w:before="108"/>
              <w:ind w:left="107"/>
              <w:rPr>
                <w:color w:val="auto"/>
                <w:sz w:val="21"/>
                <w:highlight w:val="none"/>
              </w:rPr>
            </w:pPr>
            <w:r>
              <w:rPr>
                <w:color w:val="auto"/>
                <w:sz w:val="21"/>
                <w:highlight w:val="none"/>
              </w:rPr>
              <w:t>电子版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0" w:hRule="atLeast"/>
        </w:trPr>
        <w:tc>
          <w:tcPr>
            <w:tcW w:w="1084" w:type="dxa"/>
            <w:vMerge w:val="continue"/>
          </w:tcPr>
          <w:p>
            <w:pPr>
              <w:rPr>
                <w:color w:val="auto"/>
                <w:sz w:val="2"/>
                <w:szCs w:val="2"/>
                <w:highlight w:val="none"/>
              </w:rPr>
            </w:pPr>
          </w:p>
        </w:tc>
        <w:tc>
          <w:tcPr>
            <w:tcW w:w="1151" w:type="dxa"/>
            <w:tcBorders>
              <w:top w:val="single" w:color="000000" w:sz="4" w:space="0"/>
              <w:bottom w:val="single" w:color="000000" w:sz="4" w:space="0"/>
            </w:tcBorders>
          </w:tcPr>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spacing w:before="12"/>
              <w:rPr>
                <w:b/>
                <w:color w:val="auto"/>
                <w:sz w:val="21"/>
                <w:highlight w:val="none"/>
              </w:rPr>
            </w:pPr>
          </w:p>
          <w:p>
            <w:pPr>
              <w:pStyle w:val="65"/>
              <w:ind w:left="133" w:right="127"/>
              <w:jc w:val="center"/>
              <w:rPr>
                <w:color w:val="auto"/>
                <w:sz w:val="21"/>
                <w:highlight w:val="none"/>
              </w:rPr>
            </w:pPr>
            <w:r>
              <w:rPr>
                <w:color w:val="auto"/>
                <w:sz w:val="21"/>
                <w:highlight w:val="none"/>
              </w:rPr>
              <w:t>图纸校验</w:t>
            </w:r>
          </w:p>
        </w:tc>
        <w:tc>
          <w:tcPr>
            <w:tcW w:w="5528" w:type="dxa"/>
            <w:tcBorders>
              <w:top w:val="single" w:color="000000" w:sz="4" w:space="0"/>
              <w:bottom w:val="single" w:color="000000" w:sz="4" w:space="0"/>
            </w:tcBorders>
          </w:tcPr>
          <w:p>
            <w:pPr>
              <w:pStyle w:val="65"/>
              <w:spacing w:before="106"/>
              <w:ind w:left="107"/>
              <w:rPr>
                <w:color w:val="auto"/>
                <w:sz w:val="21"/>
                <w:highlight w:val="none"/>
              </w:rPr>
            </w:pPr>
            <w:r>
              <w:rPr>
                <w:color w:val="auto"/>
                <w:sz w:val="21"/>
                <w:highlight w:val="none"/>
              </w:rPr>
              <w:t>设计成果：</w:t>
            </w:r>
          </w:p>
          <w:p>
            <w:pPr>
              <w:pStyle w:val="65"/>
              <w:numPr>
                <w:ilvl w:val="0"/>
                <w:numId w:val="30"/>
              </w:numPr>
              <w:tabs>
                <w:tab w:val="left" w:pos="527"/>
                <w:tab w:val="left" w:pos="528"/>
              </w:tabs>
              <w:spacing w:before="131" w:line="357" w:lineRule="auto"/>
              <w:ind w:right="3310" w:firstLine="0"/>
              <w:rPr>
                <w:color w:val="auto"/>
                <w:sz w:val="21"/>
                <w:highlight w:val="none"/>
                <w:lang w:eastAsia="zh-CN"/>
              </w:rPr>
            </w:pPr>
            <w:r>
              <w:rPr>
                <w:color w:val="auto"/>
                <w:spacing w:val="-2"/>
                <w:sz w:val="21"/>
                <w:highlight w:val="none"/>
                <w:lang w:eastAsia="zh-CN"/>
              </w:rPr>
              <w:t>图纸审核问题报告</w:t>
            </w:r>
            <w:r>
              <w:rPr>
                <w:color w:val="auto"/>
                <w:sz w:val="21"/>
                <w:highlight w:val="none"/>
                <w:lang w:eastAsia="zh-CN"/>
              </w:rPr>
              <w:t>技术要求：</w:t>
            </w:r>
          </w:p>
          <w:p>
            <w:pPr>
              <w:pStyle w:val="65"/>
              <w:numPr>
                <w:ilvl w:val="0"/>
                <w:numId w:val="30"/>
              </w:numPr>
              <w:tabs>
                <w:tab w:val="left" w:pos="527"/>
                <w:tab w:val="left" w:pos="528"/>
              </w:tabs>
              <w:spacing w:line="357" w:lineRule="auto"/>
              <w:ind w:left="527" w:right="159"/>
              <w:rPr>
                <w:color w:val="auto"/>
                <w:sz w:val="21"/>
                <w:highlight w:val="none"/>
                <w:lang w:eastAsia="zh-CN"/>
              </w:rPr>
            </w:pPr>
            <w:r>
              <w:rPr>
                <w:color w:val="auto"/>
                <w:w w:val="95"/>
                <w:sz w:val="21"/>
                <w:highlight w:val="none"/>
                <w:lang w:eastAsia="zh-CN"/>
              </w:rPr>
              <w:t xml:space="preserve">问题报告中应明确问题涉及专业、问题所在的图纸编 </w:t>
            </w:r>
            <w:r>
              <w:rPr>
                <w:color w:val="auto"/>
                <w:sz w:val="21"/>
                <w:highlight w:val="none"/>
                <w:lang w:eastAsia="zh-CN"/>
              </w:rPr>
              <w:t>号及轴线位置、问题内容表达清晰、优化建议应合 理、解决方案是应经甲方、原设计单位书面确认。</w:t>
            </w:r>
          </w:p>
          <w:p>
            <w:pPr>
              <w:pStyle w:val="65"/>
              <w:numPr>
                <w:ilvl w:val="0"/>
                <w:numId w:val="30"/>
              </w:numPr>
              <w:tabs>
                <w:tab w:val="left" w:pos="527"/>
                <w:tab w:val="left" w:pos="528"/>
              </w:tabs>
              <w:spacing w:line="266" w:lineRule="exact"/>
              <w:ind w:left="527" w:hanging="421"/>
              <w:rPr>
                <w:color w:val="auto"/>
                <w:sz w:val="21"/>
                <w:highlight w:val="none"/>
                <w:lang w:eastAsia="zh-CN"/>
              </w:rPr>
            </w:pPr>
            <w:r>
              <w:rPr>
                <w:color w:val="auto"/>
                <w:sz w:val="21"/>
                <w:highlight w:val="none"/>
                <w:lang w:eastAsia="zh-CN"/>
              </w:rPr>
              <w:t>图纸审核问题报告可根据设计阶段分期提供。</w:t>
            </w:r>
          </w:p>
        </w:tc>
        <w:tc>
          <w:tcPr>
            <w:tcW w:w="850" w:type="dxa"/>
          </w:tcPr>
          <w:p>
            <w:pPr>
              <w:pStyle w:val="65"/>
              <w:spacing w:before="106"/>
              <w:ind w:left="107"/>
              <w:rPr>
                <w:color w:val="auto"/>
                <w:sz w:val="21"/>
                <w:highlight w:val="none"/>
              </w:rPr>
            </w:pPr>
            <w:r>
              <w:rPr>
                <w:color w:val="auto"/>
                <w:sz w:val="21"/>
                <w:highlight w:val="none"/>
              </w:rPr>
              <w:t>电子版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0" w:hRule="atLeast"/>
        </w:trPr>
        <w:tc>
          <w:tcPr>
            <w:tcW w:w="1084" w:type="dxa"/>
            <w:vMerge w:val="continue"/>
          </w:tcPr>
          <w:p>
            <w:pPr>
              <w:rPr>
                <w:color w:val="auto"/>
                <w:sz w:val="2"/>
                <w:szCs w:val="2"/>
                <w:highlight w:val="none"/>
              </w:rPr>
            </w:pPr>
          </w:p>
        </w:tc>
        <w:tc>
          <w:tcPr>
            <w:tcW w:w="1151" w:type="dxa"/>
            <w:tcBorders>
              <w:top w:val="single" w:color="000000" w:sz="4" w:space="0"/>
            </w:tcBorders>
          </w:tcPr>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spacing w:before="1"/>
              <w:rPr>
                <w:b/>
                <w:color w:val="auto"/>
                <w:sz w:val="20"/>
                <w:highlight w:val="none"/>
              </w:rPr>
            </w:pPr>
          </w:p>
          <w:p>
            <w:pPr>
              <w:pStyle w:val="65"/>
              <w:ind w:left="133" w:right="127"/>
              <w:jc w:val="center"/>
              <w:rPr>
                <w:color w:val="auto"/>
                <w:sz w:val="21"/>
                <w:highlight w:val="none"/>
              </w:rPr>
            </w:pPr>
            <w:r>
              <w:rPr>
                <w:color w:val="auto"/>
                <w:sz w:val="21"/>
                <w:highlight w:val="none"/>
              </w:rPr>
              <w:t>管线优化</w:t>
            </w:r>
          </w:p>
        </w:tc>
        <w:tc>
          <w:tcPr>
            <w:tcW w:w="5528" w:type="dxa"/>
            <w:tcBorders>
              <w:top w:val="single" w:color="000000" w:sz="4" w:space="0"/>
            </w:tcBorders>
          </w:tcPr>
          <w:p>
            <w:pPr>
              <w:pStyle w:val="65"/>
              <w:spacing w:before="106"/>
              <w:ind w:left="107"/>
              <w:rPr>
                <w:color w:val="auto"/>
                <w:sz w:val="21"/>
                <w:highlight w:val="none"/>
              </w:rPr>
            </w:pPr>
            <w:r>
              <w:rPr>
                <w:color w:val="auto"/>
                <w:sz w:val="21"/>
                <w:highlight w:val="none"/>
              </w:rPr>
              <w:t>设计成果：</w:t>
            </w:r>
          </w:p>
          <w:p>
            <w:pPr>
              <w:pStyle w:val="65"/>
              <w:numPr>
                <w:ilvl w:val="0"/>
                <w:numId w:val="31"/>
              </w:numPr>
              <w:tabs>
                <w:tab w:val="left" w:pos="528"/>
              </w:tabs>
              <w:spacing w:before="131"/>
              <w:ind w:left="527" w:hanging="421"/>
              <w:jc w:val="both"/>
              <w:rPr>
                <w:color w:val="auto"/>
                <w:sz w:val="21"/>
                <w:highlight w:val="none"/>
                <w:lang w:eastAsia="zh-CN"/>
              </w:rPr>
            </w:pPr>
            <w:r>
              <w:rPr>
                <w:color w:val="auto"/>
                <w:spacing w:val="-14"/>
                <w:sz w:val="21"/>
                <w:highlight w:val="none"/>
                <w:lang w:eastAsia="zh-CN"/>
              </w:rPr>
              <w:t xml:space="preserve">地下室 </w:t>
            </w:r>
            <w:r>
              <w:rPr>
                <w:rFonts w:hint="eastAsia" w:ascii="Times New Roman" w:hAnsi="Times New Roman"/>
                <w:color w:val="auto"/>
                <w:sz w:val="21"/>
                <w:highlight w:val="none"/>
                <w:lang w:eastAsia="zh-CN"/>
              </w:rPr>
              <w:t>BIM</w:t>
            </w:r>
            <w:r>
              <w:rPr>
                <w:color w:val="auto"/>
                <w:spacing w:val="-9"/>
                <w:sz w:val="21"/>
                <w:highlight w:val="none"/>
                <w:lang w:eastAsia="zh-CN"/>
              </w:rPr>
              <w:t xml:space="preserve"> 设计方案报告</w:t>
            </w:r>
          </w:p>
          <w:p>
            <w:pPr>
              <w:pStyle w:val="65"/>
              <w:numPr>
                <w:ilvl w:val="0"/>
                <w:numId w:val="31"/>
              </w:numPr>
              <w:tabs>
                <w:tab w:val="left" w:pos="528"/>
              </w:tabs>
              <w:spacing w:before="131" w:line="355" w:lineRule="auto"/>
              <w:ind w:right="2470" w:firstLine="0"/>
              <w:jc w:val="both"/>
              <w:rPr>
                <w:color w:val="auto"/>
                <w:sz w:val="21"/>
                <w:highlight w:val="none"/>
                <w:lang w:eastAsia="zh-CN"/>
              </w:rPr>
            </w:pPr>
            <w:r>
              <w:rPr>
                <w:color w:val="auto"/>
                <w:spacing w:val="-14"/>
                <w:sz w:val="21"/>
                <w:highlight w:val="none"/>
                <w:lang w:eastAsia="zh-CN"/>
              </w:rPr>
              <w:t xml:space="preserve">地下室 </w:t>
            </w:r>
            <w:r>
              <w:rPr>
                <w:rFonts w:hint="eastAsia" w:ascii="Times New Roman" w:hAnsi="Times New Roman"/>
                <w:color w:val="auto"/>
                <w:sz w:val="21"/>
                <w:highlight w:val="none"/>
                <w:lang w:eastAsia="zh-CN"/>
              </w:rPr>
              <w:t>BIM</w:t>
            </w:r>
            <w:r>
              <w:rPr>
                <w:color w:val="auto"/>
                <w:spacing w:val="-10"/>
                <w:sz w:val="21"/>
                <w:highlight w:val="none"/>
                <w:lang w:eastAsia="zh-CN"/>
              </w:rPr>
              <w:t xml:space="preserve"> 综合管线施工图</w:t>
            </w:r>
            <w:r>
              <w:rPr>
                <w:color w:val="auto"/>
                <w:sz w:val="21"/>
                <w:highlight w:val="none"/>
                <w:lang w:eastAsia="zh-CN"/>
              </w:rPr>
              <w:t>技术要求：</w:t>
            </w:r>
          </w:p>
          <w:p>
            <w:pPr>
              <w:pStyle w:val="65"/>
              <w:numPr>
                <w:ilvl w:val="0"/>
                <w:numId w:val="31"/>
              </w:numPr>
              <w:tabs>
                <w:tab w:val="left" w:pos="528"/>
              </w:tabs>
              <w:spacing w:before="1" w:line="355" w:lineRule="auto"/>
              <w:ind w:left="527" w:right="159"/>
              <w:jc w:val="both"/>
              <w:rPr>
                <w:color w:val="auto"/>
                <w:sz w:val="21"/>
                <w:highlight w:val="none"/>
                <w:lang w:eastAsia="zh-CN"/>
              </w:rPr>
            </w:pPr>
            <w:r>
              <w:rPr>
                <w:color w:val="auto"/>
                <w:spacing w:val="-15"/>
                <w:sz w:val="21"/>
                <w:highlight w:val="none"/>
                <w:lang w:eastAsia="zh-CN"/>
              </w:rPr>
              <w:t xml:space="preserve">地下室 </w:t>
            </w:r>
            <w:r>
              <w:rPr>
                <w:rFonts w:hint="eastAsia" w:ascii="Times New Roman" w:hAnsi="Times New Roman"/>
                <w:color w:val="auto"/>
                <w:sz w:val="21"/>
                <w:highlight w:val="none"/>
                <w:lang w:eastAsia="zh-CN"/>
              </w:rPr>
              <w:t>BIM</w:t>
            </w:r>
            <w:r>
              <w:rPr>
                <w:color w:val="auto"/>
                <w:spacing w:val="-8"/>
                <w:sz w:val="21"/>
                <w:highlight w:val="none"/>
                <w:lang w:eastAsia="zh-CN"/>
              </w:rPr>
              <w:t xml:space="preserve"> 设计方案应包含剖面布置方案、平面布置</w:t>
            </w:r>
            <w:r>
              <w:rPr>
                <w:color w:val="auto"/>
                <w:spacing w:val="-8"/>
                <w:w w:val="95"/>
                <w:sz w:val="21"/>
                <w:highlight w:val="none"/>
                <w:lang w:eastAsia="zh-CN"/>
              </w:rPr>
              <w:t xml:space="preserve">方案、净高分析方案、坡道净高校核、综合支架布置 </w:t>
            </w:r>
            <w:r>
              <w:rPr>
                <w:color w:val="auto"/>
                <w:spacing w:val="-8"/>
                <w:sz w:val="21"/>
                <w:highlight w:val="none"/>
                <w:lang w:eastAsia="zh-CN"/>
              </w:rPr>
              <w:t>方案等。</w:t>
            </w:r>
          </w:p>
          <w:p>
            <w:pPr>
              <w:pStyle w:val="65"/>
              <w:numPr>
                <w:ilvl w:val="0"/>
                <w:numId w:val="31"/>
              </w:numPr>
              <w:tabs>
                <w:tab w:val="left" w:pos="527"/>
                <w:tab w:val="left" w:pos="528"/>
              </w:tabs>
              <w:spacing w:before="4" w:line="357" w:lineRule="auto"/>
              <w:ind w:left="527" w:right="159"/>
              <w:rPr>
                <w:color w:val="auto"/>
                <w:sz w:val="21"/>
                <w:highlight w:val="none"/>
              </w:rPr>
            </w:pPr>
            <w:r>
              <w:rPr>
                <w:color w:val="auto"/>
                <w:spacing w:val="-14"/>
                <w:sz w:val="21"/>
                <w:highlight w:val="none"/>
                <w:lang w:eastAsia="zh-CN"/>
              </w:rPr>
              <w:t xml:space="preserve">地下室 </w:t>
            </w:r>
            <w:r>
              <w:rPr>
                <w:rFonts w:hint="eastAsia" w:ascii="Times New Roman" w:hAnsi="Times New Roman"/>
                <w:color w:val="auto"/>
                <w:sz w:val="21"/>
                <w:highlight w:val="none"/>
                <w:lang w:eastAsia="zh-CN"/>
              </w:rPr>
              <w:t>BIM</w:t>
            </w:r>
            <w:r>
              <w:rPr>
                <w:color w:val="auto"/>
                <w:spacing w:val="-8"/>
                <w:sz w:val="21"/>
                <w:highlight w:val="none"/>
                <w:lang w:eastAsia="zh-CN"/>
              </w:rPr>
              <w:t xml:space="preserve"> 综合管线施工图应包含安装预埋施工图</w:t>
            </w:r>
            <w:r>
              <w:rPr>
                <w:color w:val="auto"/>
                <w:sz w:val="21"/>
                <w:highlight w:val="none"/>
                <w:lang w:eastAsia="zh-CN"/>
              </w:rPr>
              <w:t xml:space="preserve">/ </w:t>
            </w:r>
            <w:r>
              <w:rPr>
                <w:color w:val="auto"/>
                <w:w w:val="95"/>
                <w:sz w:val="21"/>
                <w:highlight w:val="none"/>
                <w:lang w:eastAsia="zh-CN"/>
              </w:rPr>
              <w:t>单专业平面施工图/管线综合平面施工图/综合支架施 工图等。对机电管线主管线的竖向布置、横向排布进 行管线综合。</w:t>
            </w:r>
            <w:r>
              <w:rPr>
                <w:color w:val="auto"/>
                <w:w w:val="95"/>
                <w:sz w:val="21"/>
                <w:highlight w:val="none"/>
              </w:rPr>
              <w:t>协助解决吊顶空间问题、机电设备的安</w:t>
            </w:r>
          </w:p>
          <w:p>
            <w:pPr>
              <w:pStyle w:val="65"/>
              <w:spacing w:line="266" w:lineRule="exact"/>
              <w:ind w:left="527"/>
              <w:rPr>
                <w:color w:val="auto"/>
                <w:sz w:val="21"/>
                <w:highlight w:val="none"/>
              </w:rPr>
            </w:pPr>
            <w:r>
              <w:rPr>
                <w:color w:val="auto"/>
                <w:sz w:val="21"/>
                <w:highlight w:val="none"/>
              </w:rPr>
              <w:t>装问题。</w:t>
            </w:r>
          </w:p>
        </w:tc>
        <w:tc>
          <w:tcPr>
            <w:tcW w:w="850" w:type="dxa"/>
          </w:tcPr>
          <w:p>
            <w:pPr>
              <w:pStyle w:val="65"/>
              <w:spacing w:before="106"/>
              <w:ind w:left="107"/>
              <w:rPr>
                <w:color w:val="auto"/>
                <w:sz w:val="21"/>
                <w:highlight w:val="none"/>
              </w:rPr>
            </w:pPr>
            <w:r>
              <w:rPr>
                <w:color w:val="auto"/>
                <w:sz w:val="21"/>
                <w:highlight w:val="none"/>
              </w:rPr>
              <w:t>电子版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5" w:hRule="atLeast"/>
        </w:trPr>
        <w:tc>
          <w:tcPr>
            <w:tcW w:w="1084" w:type="dxa"/>
            <w:vMerge w:val="continue"/>
          </w:tcPr>
          <w:p>
            <w:pPr>
              <w:rPr>
                <w:color w:val="auto"/>
                <w:sz w:val="2"/>
                <w:szCs w:val="2"/>
                <w:highlight w:val="none"/>
              </w:rPr>
            </w:pPr>
          </w:p>
        </w:tc>
        <w:tc>
          <w:tcPr>
            <w:tcW w:w="1151" w:type="dxa"/>
          </w:tcPr>
          <w:p>
            <w:pPr>
              <w:pStyle w:val="65"/>
              <w:rPr>
                <w:b/>
                <w:color w:val="auto"/>
                <w:sz w:val="20"/>
                <w:highlight w:val="none"/>
              </w:rPr>
            </w:pPr>
          </w:p>
          <w:p>
            <w:pPr>
              <w:pStyle w:val="65"/>
              <w:spacing w:before="7"/>
              <w:rPr>
                <w:b/>
                <w:color w:val="auto"/>
                <w:sz w:val="19"/>
                <w:highlight w:val="none"/>
              </w:rPr>
            </w:pPr>
          </w:p>
          <w:p>
            <w:pPr>
              <w:pStyle w:val="65"/>
              <w:spacing w:line="357" w:lineRule="auto"/>
              <w:ind w:left="363" w:right="146" w:hanging="209"/>
              <w:rPr>
                <w:color w:val="auto"/>
                <w:sz w:val="21"/>
                <w:highlight w:val="none"/>
              </w:rPr>
            </w:pPr>
            <w:r>
              <w:rPr>
                <w:color w:val="auto"/>
                <w:sz w:val="21"/>
                <w:highlight w:val="none"/>
              </w:rPr>
              <w:t>现场施工服务</w:t>
            </w:r>
          </w:p>
        </w:tc>
        <w:tc>
          <w:tcPr>
            <w:tcW w:w="5528" w:type="dxa"/>
          </w:tcPr>
          <w:p>
            <w:pPr>
              <w:pStyle w:val="65"/>
              <w:numPr>
                <w:ilvl w:val="0"/>
                <w:numId w:val="32"/>
              </w:numPr>
              <w:tabs>
                <w:tab w:val="left" w:pos="527"/>
                <w:tab w:val="left" w:pos="528"/>
              </w:tabs>
              <w:spacing w:before="105" w:line="357" w:lineRule="auto"/>
              <w:ind w:right="159"/>
              <w:rPr>
                <w:color w:val="auto"/>
                <w:sz w:val="21"/>
                <w:highlight w:val="none"/>
                <w:lang w:eastAsia="zh-CN"/>
              </w:rPr>
            </w:pPr>
            <w:r>
              <w:rPr>
                <w:color w:val="auto"/>
                <w:w w:val="95"/>
                <w:sz w:val="21"/>
                <w:highlight w:val="none"/>
                <w:lang w:eastAsia="zh-CN"/>
              </w:rPr>
              <w:t xml:space="preserve">施工图纸技术交底、施工工艺工法指导、主要施工成 </w:t>
            </w:r>
            <w:r>
              <w:rPr>
                <w:color w:val="auto"/>
                <w:sz w:val="21"/>
                <w:highlight w:val="none"/>
                <w:lang w:eastAsia="zh-CN"/>
              </w:rPr>
              <w:t>果校验、竣工模型调整等。</w:t>
            </w:r>
          </w:p>
          <w:p>
            <w:pPr>
              <w:pStyle w:val="65"/>
              <w:numPr>
                <w:ilvl w:val="0"/>
                <w:numId w:val="32"/>
              </w:numPr>
              <w:tabs>
                <w:tab w:val="left" w:pos="527"/>
                <w:tab w:val="left" w:pos="528"/>
              </w:tabs>
              <w:spacing w:line="269" w:lineRule="exact"/>
              <w:ind w:hanging="421"/>
              <w:rPr>
                <w:color w:val="auto"/>
                <w:sz w:val="21"/>
                <w:highlight w:val="none"/>
                <w:lang w:eastAsia="zh-CN"/>
              </w:rPr>
            </w:pPr>
            <w:r>
              <w:rPr>
                <w:color w:val="auto"/>
                <w:sz w:val="21"/>
                <w:highlight w:val="none"/>
                <w:lang w:eastAsia="zh-CN"/>
              </w:rPr>
              <w:t>项目施工中提供经验丰富的安装工程师进行现场安装</w:t>
            </w:r>
          </w:p>
          <w:p>
            <w:pPr>
              <w:pStyle w:val="65"/>
              <w:spacing w:before="107"/>
              <w:ind w:left="527"/>
              <w:rPr>
                <w:color w:val="auto"/>
                <w:sz w:val="21"/>
                <w:highlight w:val="none"/>
                <w:lang w:eastAsia="zh-CN"/>
              </w:rPr>
            </w:pPr>
            <w:r>
              <w:rPr>
                <w:color w:val="auto"/>
                <w:sz w:val="21"/>
                <w:highlight w:val="none"/>
                <w:lang w:eastAsia="zh-CN"/>
              </w:rPr>
              <w:t xml:space="preserve">指导，帮助施工单位理解 </w:t>
            </w:r>
            <w:r>
              <w:rPr>
                <w:rFonts w:hint="eastAsia" w:ascii="Times New Roman" w:hAnsi="Times New Roman"/>
                <w:color w:val="auto"/>
                <w:sz w:val="21"/>
                <w:highlight w:val="none"/>
                <w:lang w:eastAsia="zh-CN"/>
              </w:rPr>
              <w:t>BIM</w:t>
            </w:r>
            <w:r>
              <w:rPr>
                <w:color w:val="auto"/>
                <w:sz w:val="21"/>
                <w:highlight w:val="none"/>
                <w:lang w:eastAsia="zh-CN"/>
              </w:rPr>
              <w:t xml:space="preserve"> 设计图纸，优化不利点的安装方式，协助施工单位进行放样，安装定位工</w:t>
            </w:r>
            <w:r>
              <w:rPr>
                <w:color w:val="auto"/>
                <w:sz w:val="21"/>
                <w:highlight w:val="none"/>
              </w:rPr>
              <w:t>作。</w:t>
            </w:r>
          </w:p>
        </w:tc>
        <w:tc>
          <w:tcPr>
            <w:tcW w:w="850" w:type="dxa"/>
          </w:tcPr>
          <w:p>
            <w:pPr>
              <w:pStyle w:val="65"/>
              <w:spacing w:before="106"/>
              <w:ind w:left="107"/>
              <w:rPr>
                <w:color w:val="auto"/>
                <w:sz w:val="21"/>
                <w:highlight w:val="none"/>
              </w:rPr>
            </w:pPr>
            <w:r>
              <w:rPr>
                <w:color w:val="auto"/>
                <w:w w:val="99"/>
                <w:sz w:val="21"/>
                <w:highlight w:val="none"/>
              </w:rPr>
              <w:t>/</w:t>
            </w:r>
          </w:p>
        </w:tc>
      </w:tr>
    </w:tbl>
    <w:p>
      <w:pPr>
        <w:spacing w:before="108" w:after="20"/>
        <w:ind w:left="820"/>
        <w:rPr>
          <w:b/>
          <w:color w:val="auto"/>
          <w:sz w:val="21"/>
          <w:highlight w:val="none"/>
        </w:rPr>
      </w:pPr>
      <w:r>
        <w:rPr>
          <w:rFonts w:hint="eastAsia" w:ascii="Times New Roman" w:hAnsi="Times New Roman"/>
          <w:b/>
          <w:color w:val="auto"/>
          <w:sz w:val="21"/>
          <w:highlight w:val="none"/>
          <w:lang w:eastAsia="zh-CN"/>
        </w:rPr>
        <w:t>5</w:t>
      </w:r>
      <w:r>
        <w:rPr>
          <w:b/>
          <w:color w:val="auto"/>
          <w:sz w:val="21"/>
          <w:highlight w:val="none"/>
        </w:rPr>
        <w:t>、基坑专项设计内容</w:t>
      </w:r>
    </w:p>
    <w:tbl>
      <w:tblPr>
        <w:tblStyle w:val="104"/>
        <w:tblW w:w="0" w:type="auto"/>
        <w:tblInd w:w="7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1"/>
        <w:gridCol w:w="6662"/>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101" w:type="dxa"/>
          </w:tcPr>
          <w:p>
            <w:pPr>
              <w:pStyle w:val="65"/>
              <w:spacing w:before="109"/>
              <w:ind w:left="128" w:right="121"/>
              <w:jc w:val="center"/>
              <w:rPr>
                <w:b/>
                <w:color w:val="auto"/>
                <w:sz w:val="21"/>
                <w:highlight w:val="none"/>
              </w:rPr>
            </w:pPr>
            <w:r>
              <w:rPr>
                <w:b/>
                <w:color w:val="auto"/>
                <w:sz w:val="21"/>
                <w:highlight w:val="none"/>
              </w:rPr>
              <w:t>阶段</w:t>
            </w:r>
          </w:p>
        </w:tc>
        <w:tc>
          <w:tcPr>
            <w:tcW w:w="6662" w:type="dxa"/>
          </w:tcPr>
          <w:p>
            <w:pPr>
              <w:pStyle w:val="65"/>
              <w:spacing w:before="109"/>
              <w:ind w:left="2572" w:right="2564"/>
              <w:jc w:val="center"/>
              <w:rPr>
                <w:b/>
                <w:color w:val="auto"/>
                <w:sz w:val="21"/>
                <w:highlight w:val="none"/>
              </w:rPr>
            </w:pPr>
            <w:r>
              <w:rPr>
                <w:b/>
                <w:color w:val="auto"/>
                <w:sz w:val="21"/>
                <w:highlight w:val="none"/>
              </w:rPr>
              <w:t>设计及服务内容</w:t>
            </w:r>
          </w:p>
        </w:tc>
        <w:tc>
          <w:tcPr>
            <w:tcW w:w="850" w:type="dxa"/>
          </w:tcPr>
          <w:p>
            <w:pPr>
              <w:pStyle w:val="65"/>
              <w:spacing w:before="109"/>
              <w:ind w:left="212"/>
              <w:rPr>
                <w:b/>
                <w:color w:val="auto"/>
                <w:sz w:val="21"/>
                <w:highlight w:val="none"/>
              </w:rPr>
            </w:pPr>
            <w:r>
              <w:rPr>
                <w:b/>
                <w:color w:val="auto"/>
                <w:sz w:val="21"/>
                <w:highlight w:val="none"/>
              </w:rPr>
              <w:t>份数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0" w:hRule="atLeast"/>
        </w:trPr>
        <w:tc>
          <w:tcPr>
            <w:tcW w:w="1101" w:type="dxa"/>
          </w:tcPr>
          <w:p>
            <w:pPr>
              <w:pStyle w:val="65"/>
              <w:rPr>
                <w:b/>
                <w:color w:val="auto"/>
                <w:highlight w:val="none"/>
              </w:rPr>
            </w:pPr>
          </w:p>
          <w:p>
            <w:pPr>
              <w:pStyle w:val="65"/>
              <w:rPr>
                <w:b/>
                <w:color w:val="auto"/>
                <w:highlight w:val="none"/>
              </w:rPr>
            </w:pPr>
          </w:p>
          <w:p>
            <w:pPr>
              <w:pStyle w:val="65"/>
              <w:rPr>
                <w:b/>
                <w:color w:val="auto"/>
                <w:highlight w:val="none"/>
              </w:rPr>
            </w:pPr>
          </w:p>
          <w:p>
            <w:pPr>
              <w:pStyle w:val="65"/>
              <w:spacing w:before="11"/>
              <w:rPr>
                <w:b/>
                <w:color w:val="auto"/>
                <w:sz w:val="19"/>
                <w:highlight w:val="none"/>
              </w:rPr>
            </w:pPr>
          </w:p>
          <w:p>
            <w:pPr>
              <w:pStyle w:val="65"/>
              <w:ind w:left="89" w:right="82"/>
              <w:jc w:val="center"/>
              <w:rPr>
                <w:color w:val="auto"/>
                <w:highlight w:val="none"/>
              </w:rPr>
            </w:pPr>
            <w:r>
              <w:rPr>
                <w:color w:val="auto"/>
                <w:highlight w:val="none"/>
              </w:rPr>
              <w:t>概念方案</w:t>
            </w:r>
          </w:p>
        </w:tc>
        <w:tc>
          <w:tcPr>
            <w:tcW w:w="6662" w:type="dxa"/>
          </w:tcPr>
          <w:p>
            <w:pPr>
              <w:pStyle w:val="65"/>
              <w:spacing w:before="109" w:line="357" w:lineRule="auto"/>
              <w:ind w:left="106" w:right="243" w:firstLine="420"/>
              <w:rPr>
                <w:color w:val="auto"/>
                <w:sz w:val="21"/>
                <w:highlight w:val="none"/>
              </w:rPr>
            </w:pPr>
            <w:r>
              <w:rPr>
                <w:color w:val="auto"/>
                <w:w w:val="95"/>
                <w:sz w:val="21"/>
                <w:highlight w:val="none"/>
                <w:lang w:eastAsia="zh-CN"/>
              </w:rPr>
              <w:t xml:space="preserve">对基坑周边环境条件进行现场踏勘，确定基坑周边的重点保护对 象和危险源。结合基坑周边的环境条件、地基土质条件、开挖深度和  </w:t>
            </w:r>
            <w:r>
              <w:rPr>
                <w:color w:val="auto"/>
                <w:sz w:val="21"/>
                <w:highlight w:val="none"/>
                <w:lang w:eastAsia="zh-CN"/>
              </w:rPr>
              <w:t>施工工期要求，对围护结构的合理选型进行对比分析，提出可行的</w:t>
            </w:r>
            <w:r>
              <w:rPr>
                <w:rFonts w:hint="eastAsia" w:ascii="Times New Roman" w:hAnsi="Times New Roman"/>
                <w:color w:val="auto"/>
                <w:sz w:val="21"/>
                <w:highlight w:val="none"/>
                <w:lang w:eastAsia="zh-CN"/>
              </w:rPr>
              <w:t>2</w:t>
            </w:r>
            <w:r>
              <w:rPr>
                <w:color w:val="auto"/>
                <w:sz w:val="21"/>
                <w:highlight w:val="none"/>
                <w:lang w:eastAsia="zh-CN"/>
              </w:rPr>
              <w:t>~</w:t>
            </w:r>
            <w:r>
              <w:rPr>
                <w:rFonts w:hint="eastAsia" w:ascii="Times New Roman" w:hAnsi="Times New Roman"/>
                <w:color w:val="auto"/>
                <w:sz w:val="21"/>
                <w:highlight w:val="none"/>
                <w:lang w:eastAsia="zh-CN"/>
              </w:rPr>
              <w:t>3</w:t>
            </w:r>
            <w:r>
              <w:rPr>
                <w:color w:val="auto"/>
                <w:spacing w:val="-8"/>
                <w:sz w:val="21"/>
                <w:highlight w:val="none"/>
                <w:lang w:eastAsia="zh-CN"/>
              </w:rPr>
              <w:t xml:space="preserve"> 种设计方案，并对各方案的优缺点、造价及工期等方面进行分析</w:t>
            </w:r>
            <w:r>
              <w:rPr>
                <w:color w:val="auto"/>
                <w:spacing w:val="-8"/>
                <w:w w:val="95"/>
                <w:sz w:val="21"/>
                <w:highlight w:val="none"/>
                <w:lang w:eastAsia="zh-CN"/>
              </w:rPr>
              <w:t>估算，供业主及代建方决策参考。</w:t>
            </w:r>
            <w:r>
              <w:rPr>
                <w:color w:val="auto"/>
                <w:spacing w:val="-8"/>
                <w:w w:val="95"/>
                <w:sz w:val="21"/>
                <w:highlight w:val="none"/>
              </w:rPr>
              <w:t>最后确定基坑所采用的围护结构型</w:t>
            </w:r>
          </w:p>
          <w:p>
            <w:pPr>
              <w:pStyle w:val="65"/>
              <w:spacing w:line="266" w:lineRule="exact"/>
              <w:ind w:left="106"/>
              <w:rPr>
                <w:color w:val="auto"/>
                <w:sz w:val="21"/>
                <w:highlight w:val="none"/>
              </w:rPr>
            </w:pPr>
            <w:r>
              <w:rPr>
                <w:color w:val="auto"/>
                <w:sz w:val="21"/>
                <w:highlight w:val="none"/>
              </w:rPr>
              <w:t>式。</w:t>
            </w:r>
          </w:p>
        </w:tc>
        <w:tc>
          <w:tcPr>
            <w:tcW w:w="850" w:type="dxa"/>
          </w:tcPr>
          <w:p>
            <w:pPr>
              <w:pStyle w:val="65"/>
              <w:spacing w:before="109"/>
              <w:ind w:left="107"/>
              <w:rPr>
                <w:color w:val="auto"/>
                <w:sz w:val="21"/>
                <w:highlight w:val="none"/>
              </w:rPr>
            </w:pPr>
            <w:r>
              <w:rPr>
                <w:color w:val="auto"/>
                <w:sz w:val="21"/>
                <w:highlight w:val="none"/>
              </w:rPr>
              <w:t>电子版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00" w:hRule="atLeast"/>
        </w:trPr>
        <w:tc>
          <w:tcPr>
            <w:tcW w:w="1101" w:type="dxa"/>
          </w:tcPr>
          <w:p>
            <w:pPr>
              <w:pStyle w:val="65"/>
              <w:rPr>
                <w:b/>
                <w:color w:val="auto"/>
                <w:highlight w:val="none"/>
              </w:rPr>
            </w:pPr>
          </w:p>
          <w:p>
            <w:pPr>
              <w:pStyle w:val="65"/>
              <w:rPr>
                <w:b/>
                <w:color w:val="auto"/>
                <w:highlight w:val="none"/>
              </w:rPr>
            </w:pPr>
          </w:p>
          <w:p>
            <w:pPr>
              <w:pStyle w:val="65"/>
              <w:spacing w:before="3"/>
              <w:rPr>
                <w:b/>
                <w:color w:val="auto"/>
                <w:sz w:val="26"/>
                <w:highlight w:val="none"/>
              </w:rPr>
            </w:pPr>
          </w:p>
          <w:p>
            <w:pPr>
              <w:pStyle w:val="65"/>
              <w:spacing w:before="1"/>
              <w:ind w:left="89" w:right="82"/>
              <w:jc w:val="center"/>
              <w:rPr>
                <w:color w:val="auto"/>
                <w:highlight w:val="none"/>
              </w:rPr>
            </w:pPr>
            <w:r>
              <w:rPr>
                <w:color w:val="auto"/>
                <w:highlight w:val="none"/>
              </w:rPr>
              <w:t>方案深化</w:t>
            </w:r>
          </w:p>
        </w:tc>
        <w:tc>
          <w:tcPr>
            <w:tcW w:w="6662" w:type="dxa"/>
          </w:tcPr>
          <w:p>
            <w:pPr>
              <w:pStyle w:val="65"/>
              <w:spacing w:before="109" w:line="357" w:lineRule="auto"/>
              <w:ind w:left="106" w:right="245" w:firstLine="420"/>
              <w:rPr>
                <w:color w:val="auto"/>
                <w:sz w:val="21"/>
                <w:highlight w:val="none"/>
                <w:lang w:eastAsia="zh-CN"/>
              </w:rPr>
            </w:pPr>
            <w:r>
              <w:rPr>
                <w:color w:val="auto"/>
                <w:w w:val="95"/>
                <w:sz w:val="21"/>
                <w:highlight w:val="none"/>
                <w:lang w:eastAsia="zh-CN"/>
              </w:rPr>
              <w:t xml:space="preserve">提交设计方案论证文本，内容包括：工程概况、环境条件、工程 </w:t>
            </w:r>
            <w:r>
              <w:rPr>
                <w:color w:val="auto"/>
                <w:sz w:val="21"/>
                <w:highlight w:val="none"/>
                <w:lang w:eastAsia="zh-CN"/>
              </w:rPr>
              <w:t>地质条件、围护体系选择、围护结构相关技术措施、基坑降排水措 施、基坑土方开挖要求、基坑风险源分析和应急措施、基坑监测要 求、计算书、设计图纸等，并确保围护设计方案一次性通过专家论</w:t>
            </w:r>
          </w:p>
          <w:p>
            <w:pPr>
              <w:pStyle w:val="65"/>
              <w:spacing w:line="266" w:lineRule="exact"/>
              <w:ind w:left="106"/>
              <w:rPr>
                <w:color w:val="auto"/>
                <w:sz w:val="21"/>
                <w:highlight w:val="none"/>
              </w:rPr>
            </w:pPr>
            <w:r>
              <w:rPr>
                <w:color w:val="auto"/>
                <w:sz w:val="21"/>
                <w:highlight w:val="none"/>
              </w:rPr>
              <w:t>证。</w:t>
            </w:r>
          </w:p>
        </w:tc>
        <w:tc>
          <w:tcPr>
            <w:tcW w:w="850" w:type="dxa"/>
          </w:tcPr>
          <w:p>
            <w:pPr>
              <w:pStyle w:val="65"/>
              <w:spacing w:before="109"/>
              <w:ind w:left="107"/>
              <w:rPr>
                <w:color w:val="auto"/>
                <w:sz w:val="21"/>
                <w:highlight w:val="none"/>
              </w:rPr>
            </w:pPr>
            <w:r>
              <w:rPr>
                <w:color w:val="auto"/>
                <w:sz w:val="21"/>
                <w:highlight w:val="none"/>
              </w:rPr>
              <w:t>电子版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101" w:type="dxa"/>
          </w:tcPr>
          <w:p>
            <w:pPr>
              <w:pStyle w:val="65"/>
              <w:spacing w:before="7"/>
              <w:rPr>
                <w:b/>
                <w:color w:val="auto"/>
                <w:sz w:val="23"/>
                <w:highlight w:val="none"/>
              </w:rPr>
            </w:pPr>
          </w:p>
          <w:p>
            <w:pPr>
              <w:pStyle w:val="65"/>
              <w:ind w:left="128" w:right="121"/>
              <w:jc w:val="center"/>
              <w:rPr>
                <w:color w:val="auto"/>
                <w:highlight w:val="none"/>
              </w:rPr>
            </w:pPr>
            <w:r>
              <w:rPr>
                <w:color w:val="auto"/>
                <w:highlight w:val="none"/>
              </w:rPr>
              <w:t>施工图</w:t>
            </w:r>
          </w:p>
        </w:tc>
        <w:tc>
          <w:tcPr>
            <w:tcW w:w="6662" w:type="dxa"/>
          </w:tcPr>
          <w:p>
            <w:pPr>
              <w:pStyle w:val="65"/>
              <w:spacing w:before="110"/>
              <w:ind w:left="526"/>
              <w:rPr>
                <w:color w:val="auto"/>
                <w:sz w:val="21"/>
                <w:highlight w:val="none"/>
                <w:lang w:eastAsia="zh-CN"/>
              </w:rPr>
            </w:pPr>
            <w:r>
              <w:rPr>
                <w:color w:val="auto"/>
                <w:sz w:val="21"/>
                <w:highlight w:val="none"/>
                <w:lang w:eastAsia="zh-CN"/>
              </w:rPr>
              <w:t>在基坑设计论证后，根据专家及业主、代建方的意见，对设计图</w:t>
            </w:r>
          </w:p>
          <w:p>
            <w:pPr>
              <w:pStyle w:val="65"/>
              <w:spacing w:before="132" w:line="269" w:lineRule="exact"/>
              <w:ind w:left="106"/>
              <w:rPr>
                <w:color w:val="auto"/>
                <w:sz w:val="21"/>
                <w:highlight w:val="none"/>
                <w:lang w:eastAsia="zh-CN"/>
              </w:rPr>
            </w:pPr>
            <w:r>
              <w:rPr>
                <w:color w:val="auto"/>
                <w:sz w:val="21"/>
                <w:highlight w:val="none"/>
                <w:lang w:eastAsia="zh-CN"/>
              </w:rPr>
              <w:t>纸进行修改完善，提交设计施工图。</w:t>
            </w:r>
          </w:p>
        </w:tc>
        <w:tc>
          <w:tcPr>
            <w:tcW w:w="850" w:type="dxa"/>
          </w:tcPr>
          <w:p>
            <w:pPr>
              <w:pStyle w:val="65"/>
              <w:spacing w:before="110"/>
              <w:ind w:left="107"/>
              <w:rPr>
                <w:rFonts w:hint="eastAsia" w:eastAsia="宋体"/>
                <w:color w:val="auto"/>
                <w:sz w:val="21"/>
                <w:highlight w:val="none"/>
                <w:lang w:eastAsia="zh-CN"/>
              </w:rPr>
            </w:pPr>
            <w:r>
              <w:rPr>
                <w:rFonts w:hint="eastAsia" w:ascii="Times New Roman" w:hAnsi="Times New Roman"/>
                <w:color w:val="auto"/>
                <w:w w:val="99"/>
                <w:sz w:val="21"/>
                <w:highlight w:val="none"/>
                <w:lang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1101" w:type="dxa"/>
          </w:tcPr>
          <w:p>
            <w:pPr>
              <w:pStyle w:val="65"/>
              <w:spacing w:before="101" w:line="338" w:lineRule="auto"/>
              <w:ind w:left="108" w:right="99"/>
              <w:jc w:val="center"/>
              <w:rPr>
                <w:color w:val="auto"/>
                <w:highlight w:val="none"/>
                <w:lang w:eastAsia="zh-CN"/>
              </w:rPr>
            </w:pPr>
            <w:r>
              <w:rPr>
                <w:color w:val="auto"/>
                <w:highlight w:val="none"/>
                <w:lang w:eastAsia="zh-CN"/>
              </w:rPr>
              <w:t>施工阶段的监督及</w:t>
            </w:r>
          </w:p>
          <w:p>
            <w:pPr>
              <w:pStyle w:val="65"/>
              <w:spacing w:before="5" w:line="279" w:lineRule="exact"/>
              <w:ind w:left="130" w:right="121"/>
              <w:jc w:val="center"/>
              <w:rPr>
                <w:color w:val="auto"/>
                <w:highlight w:val="none"/>
                <w:lang w:eastAsia="zh-CN"/>
              </w:rPr>
            </w:pPr>
            <w:r>
              <w:rPr>
                <w:color w:val="auto"/>
                <w:highlight w:val="none"/>
                <w:lang w:eastAsia="zh-CN"/>
              </w:rPr>
              <w:t>配合</w:t>
            </w:r>
          </w:p>
        </w:tc>
        <w:tc>
          <w:tcPr>
            <w:tcW w:w="6662" w:type="dxa"/>
          </w:tcPr>
          <w:p>
            <w:pPr>
              <w:pStyle w:val="65"/>
              <w:spacing w:before="109" w:line="357" w:lineRule="auto"/>
              <w:ind w:left="106" w:right="245" w:firstLine="420"/>
              <w:rPr>
                <w:color w:val="auto"/>
                <w:sz w:val="21"/>
                <w:highlight w:val="none"/>
                <w:lang w:eastAsia="zh-CN"/>
              </w:rPr>
            </w:pPr>
            <w:r>
              <w:rPr>
                <w:color w:val="auto"/>
                <w:w w:val="95"/>
                <w:sz w:val="21"/>
                <w:highlight w:val="none"/>
                <w:lang w:eastAsia="zh-CN"/>
              </w:rPr>
              <w:t>基坑施工前，对项目部、施工单位进行技术交底。在基坑实施过 程中，针对施工现场出现的实际情况，做好配合服务工作，及时提出</w:t>
            </w:r>
          </w:p>
          <w:p>
            <w:pPr>
              <w:pStyle w:val="65"/>
              <w:spacing w:line="269" w:lineRule="exact"/>
              <w:ind w:left="106"/>
              <w:rPr>
                <w:color w:val="auto"/>
                <w:sz w:val="21"/>
                <w:highlight w:val="none"/>
                <w:lang w:eastAsia="zh-CN"/>
              </w:rPr>
            </w:pPr>
            <w:r>
              <w:rPr>
                <w:color w:val="auto"/>
                <w:sz w:val="21"/>
                <w:highlight w:val="none"/>
                <w:lang w:eastAsia="zh-CN"/>
              </w:rPr>
              <w:t>针对性的处理方案和措施。</w:t>
            </w:r>
          </w:p>
        </w:tc>
        <w:tc>
          <w:tcPr>
            <w:tcW w:w="850" w:type="dxa"/>
          </w:tcPr>
          <w:p>
            <w:pPr>
              <w:pStyle w:val="65"/>
              <w:spacing w:before="109"/>
              <w:ind w:left="107"/>
              <w:rPr>
                <w:color w:val="auto"/>
                <w:sz w:val="21"/>
                <w:highlight w:val="none"/>
              </w:rPr>
            </w:pPr>
            <w:r>
              <w:rPr>
                <w:color w:val="auto"/>
                <w:w w:val="99"/>
                <w:sz w:val="21"/>
                <w:highlight w:val="none"/>
              </w:rPr>
              <w:t>/</w:t>
            </w:r>
          </w:p>
        </w:tc>
      </w:tr>
    </w:tbl>
    <w:p>
      <w:pPr>
        <w:spacing w:before="111" w:after="20"/>
        <w:ind w:left="820"/>
        <w:rPr>
          <w:b/>
          <w:color w:val="auto"/>
          <w:sz w:val="21"/>
          <w:highlight w:val="none"/>
          <w:lang w:eastAsia="zh-CN"/>
        </w:rPr>
      </w:pPr>
      <w:r>
        <w:rPr>
          <w:rFonts w:hint="eastAsia" w:ascii="Times New Roman" w:hAnsi="Times New Roman"/>
          <w:b/>
          <w:color w:val="auto"/>
          <w:sz w:val="21"/>
          <w:highlight w:val="none"/>
          <w:lang w:eastAsia="zh-CN"/>
        </w:rPr>
        <w:t>6</w:t>
      </w:r>
      <w:r>
        <w:rPr>
          <w:b/>
          <w:color w:val="auto"/>
          <w:sz w:val="21"/>
          <w:highlight w:val="none"/>
          <w:lang w:eastAsia="zh-CN"/>
        </w:rPr>
        <w:t>、门窗深化专项设计内容</w:t>
      </w:r>
    </w:p>
    <w:tbl>
      <w:tblPr>
        <w:tblStyle w:val="104"/>
        <w:tblW w:w="0" w:type="auto"/>
        <w:tblInd w:w="7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1"/>
        <w:gridCol w:w="1134"/>
        <w:gridCol w:w="5528"/>
        <w:gridCol w:w="7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101" w:type="dxa"/>
          </w:tcPr>
          <w:p>
            <w:pPr>
              <w:pStyle w:val="65"/>
              <w:spacing w:before="109"/>
              <w:ind w:left="338"/>
              <w:rPr>
                <w:b/>
                <w:color w:val="auto"/>
                <w:sz w:val="21"/>
                <w:highlight w:val="none"/>
              </w:rPr>
            </w:pPr>
            <w:r>
              <w:rPr>
                <w:b/>
                <w:color w:val="auto"/>
                <w:sz w:val="21"/>
                <w:highlight w:val="none"/>
              </w:rPr>
              <w:t>阶段</w:t>
            </w:r>
          </w:p>
        </w:tc>
        <w:tc>
          <w:tcPr>
            <w:tcW w:w="6662" w:type="dxa"/>
            <w:gridSpan w:val="2"/>
          </w:tcPr>
          <w:p>
            <w:pPr>
              <w:pStyle w:val="65"/>
              <w:spacing w:before="109"/>
              <w:ind w:left="2572" w:right="2564"/>
              <w:jc w:val="center"/>
              <w:rPr>
                <w:b/>
                <w:color w:val="auto"/>
                <w:sz w:val="21"/>
                <w:highlight w:val="none"/>
              </w:rPr>
            </w:pPr>
            <w:r>
              <w:rPr>
                <w:b/>
                <w:color w:val="auto"/>
                <w:sz w:val="21"/>
                <w:highlight w:val="none"/>
              </w:rPr>
              <w:t>设计内容及范围</w:t>
            </w:r>
          </w:p>
        </w:tc>
        <w:tc>
          <w:tcPr>
            <w:tcW w:w="759" w:type="dxa"/>
          </w:tcPr>
          <w:p>
            <w:pPr>
              <w:pStyle w:val="65"/>
              <w:spacing w:before="109"/>
              <w:ind w:left="167"/>
              <w:rPr>
                <w:b/>
                <w:color w:val="auto"/>
                <w:sz w:val="21"/>
                <w:highlight w:val="none"/>
              </w:rPr>
            </w:pPr>
            <w:r>
              <w:rPr>
                <w:b/>
                <w:color w:val="auto"/>
                <w:sz w:val="21"/>
                <w:highlight w:val="none"/>
              </w:rPr>
              <w:t>份数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101" w:type="dxa"/>
            <w:vMerge w:val="restart"/>
          </w:tcPr>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spacing w:before="12"/>
              <w:rPr>
                <w:b/>
                <w:color w:val="auto"/>
                <w:sz w:val="16"/>
                <w:highlight w:val="none"/>
              </w:rPr>
            </w:pPr>
          </w:p>
          <w:p>
            <w:pPr>
              <w:pStyle w:val="65"/>
              <w:ind w:left="235"/>
              <w:rPr>
                <w:color w:val="auto"/>
                <w:sz w:val="21"/>
                <w:highlight w:val="none"/>
              </w:rPr>
            </w:pPr>
            <w:r>
              <w:rPr>
                <w:color w:val="auto"/>
                <w:sz w:val="21"/>
                <w:highlight w:val="none"/>
              </w:rPr>
              <w:t>施工图</w:t>
            </w:r>
          </w:p>
        </w:tc>
        <w:tc>
          <w:tcPr>
            <w:tcW w:w="1134" w:type="dxa"/>
          </w:tcPr>
          <w:p>
            <w:pPr>
              <w:pStyle w:val="65"/>
              <w:spacing w:before="109"/>
              <w:ind w:left="126" w:right="118"/>
              <w:jc w:val="center"/>
              <w:rPr>
                <w:color w:val="auto"/>
                <w:sz w:val="21"/>
                <w:highlight w:val="none"/>
              </w:rPr>
            </w:pPr>
            <w:r>
              <w:rPr>
                <w:color w:val="auto"/>
                <w:sz w:val="21"/>
                <w:highlight w:val="none"/>
              </w:rPr>
              <w:t>设计范围</w:t>
            </w:r>
          </w:p>
        </w:tc>
        <w:tc>
          <w:tcPr>
            <w:tcW w:w="5528" w:type="dxa"/>
          </w:tcPr>
          <w:p>
            <w:pPr>
              <w:pStyle w:val="65"/>
              <w:spacing w:before="109"/>
              <w:ind w:left="107"/>
              <w:rPr>
                <w:color w:val="auto"/>
                <w:sz w:val="21"/>
                <w:highlight w:val="none"/>
                <w:lang w:eastAsia="zh-CN"/>
              </w:rPr>
            </w:pPr>
            <w:r>
              <w:rPr>
                <w:color w:val="auto"/>
                <w:sz w:val="21"/>
                <w:highlight w:val="none"/>
                <w:lang w:eastAsia="zh-CN"/>
              </w:rPr>
              <w:t>铝合金门窗，玻璃栏板，百叶，铝合金栏杆。</w:t>
            </w:r>
          </w:p>
        </w:tc>
        <w:tc>
          <w:tcPr>
            <w:tcW w:w="759" w:type="dxa"/>
            <w:vMerge w:val="restart"/>
          </w:tcPr>
          <w:p>
            <w:pPr>
              <w:pStyle w:val="65"/>
              <w:rPr>
                <w:b/>
                <w:color w:val="auto"/>
                <w:highlight w:val="none"/>
                <w:lang w:eastAsia="zh-CN"/>
              </w:rPr>
            </w:pPr>
          </w:p>
          <w:p>
            <w:pPr>
              <w:pStyle w:val="65"/>
              <w:rPr>
                <w:b/>
                <w:color w:val="auto"/>
                <w:highlight w:val="none"/>
                <w:lang w:eastAsia="zh-CN"/>
              </w:rPr>
            </w:pPr>
          </w:p>
          <w:p>
            <w:pPr>
              <w:pStyle w:val="65"/>
              <w:rPr>
                <w:b/>
                <w:color w:val="auto"/>
                <w:highlight w:val="none"/>
                <w:lang w:eastAsia="zh-CN"/>
              </w:rPr>
            </w:pPr>
          </w:p>
          <w:p>
            <w:pPr>
              <w:pStyle w:val="65"/>
              <w:rPr>
                <w:b/>
                <w:color w:val="auto"/>
                <w:highlight w:val="none"/>
                <w:lang w:eastAsia="zh-CN"/>
              </w:rPr>
            </w:pPr>
          </w:p>
          <w:p>
            <w:pPr>
              <w:pStyle w:val="65"/>
              <w:rPr>
                <w:b/>
                <w:color w:val="auto"/>
                <w:highlight w:val="none"/>
                <w:lang w:eastAsia="zh-CN"/>
              </w:rPr>
            </w:pPr>
          </w:p>
          <w:p>
            <w:pPr>
              <w:pStyle w:val="65"/>
              <w:rPr>
                <w:b/>
                <w:color w:val="auto"/>
                <w:highlight w:val="none"/>
                <w:lang w:eastAsia="zh-CN"/>
              </w:rPr>
            </w:pPr>
          </w:p>
          <w:p>
            <w:pPr>
              <w:pStyle w:val="65"/>
              <w:rPr>
                <w:b/>
                <w:color w:val="auto"/>
                <w:highlight w:val="none"/>
                <w:lang w:eastAsia="zh-CN"/>
              </w:rPr>
            </w:pPr>
          </w:p>
          <w:p>
            <w:pPr>
              <w:pStyle w:val="65"/>
              <w:rPr>
                <w:b/>
                <w:color w:val="auto"/>
                <w:highlight w:val="none"/>
                <w:lang w:eastAsia="zh-CN"/>
              </w:rPr>
            </w:pPr>
          </w:p>
          <w:p>
            <w:pPr>
              <w:pStyle w:val="65"/>
              <w:spacing w:before="1"/>
              <w:rPr>
                <w:b/>
                <w:color w:val="auto"/>
                <w:highlight w:val="none"/>
                <w:lang w:eastAsia="zh-CN"/>
              </w:rPr>
            </w:pPr>
          </w:p>
          <w:p>
            <w:pPr>
              <w:pStyle w:val="65"/>
              <w:ind w:left="107"/>
              <w:rPr>
                <w:rFonts w:hint="eastAsia" w:ascii="Times New Roman" w:eastAsia="宋体"/>
                <w:color w:val="auto"/>
                <w:sz w:val="21"/>
                <w:highlight w:val="none"/>
                <w:lang w:eastAsia="zh-CN"/>
              </w:rPr>
            </w:pPr>
            <w:r>
              <w:rPr>
                <w:rFonts w:hint="eastAsia" w:ascii="Times New Roman" w:hAnsi="Times New Roman"/>
                <w:color w:val="auto"/>
                <w:w w:val="99"/>
                <w:sz w:val="21"/>
                <w:highlight w:val="none"/>
                <w:lang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1101" w:type="dxa"/>
            <w:vMerge w:val="continue"/>
            <w:tcBorders>
              <w:top w:val="nil"/>
            </w:tcBorders>
          </w:tcPr>
          <w:p>
            <w:pPr>
              <w:rPr>
                <w:color w:val="auto"/>
                <w:sz w:val="2"/>
                <w:szCs w:val="2"/>
                <w:highlight w:val="none"/>
              </w:rPr>
            </w:pPr>
          </w:p>
        </w:tc>
        <w:tc>
          <w:tcPr>
            <w:tcW w:w="1134" w:type="dxa"/>
          </w:tcPr>
          <w:p>
            <w:pPr>
              <w:pStyle w:val="65"/>
              <w:rPr>
                <w:b/>
                <w:color w:val="auto"/>
                <w:sz w:val="20"/>
                <w:highlight w:val="none"/>
              </w:rPr>
            </w:pPr>
          </w:p>
          <w:p>
            <w:pPr>
              <w:pStyle w:val="65"/>
              <w:rPr>
                <w:b/>
                <w:color w:val="auto"/>
                <w:sz w:val="20"/>
                <w:highlight w:val="none"/>
              </w:rPr>
            </w:pPr>
          </w:p>
          <w:p>
            <w:pPr>
              <w:pStyle w:val="65"/>
              <w:spacing w:before="152"/>
              <w:ind w:left="126" w:right="118"/>
              <w:jc w:val="center"/>
              <w:rPr>
                <w:color w:val="auto"/>
                <w:sz w:val="21"/>
                <w:highlight w:val="none"/>
              </w:rPr>
            </w:pPr>
            <w:r>
              <w:rPr>
                <w:color w:val="auto"/>
                <w:sz w:val="21"/>
                <w:highlight w:val="none"/>
              </w:rPr>
              <w:t>基本要求</w:t>
            </w:r>
          </w:p>
        </w:tc>
        <w:tc>
          <w:tcPr>
            <w:tcW w:w="5528" w:type="dxa"/>
          </w:tcPr>
          <w:p>
            <w:pPr>
              <w:pStyle w:val="65"/>
              <w:numPr>
                <w:ilvl w:val="0"/>
                <w:numId w:val="33"/>
              </w:numPr>
              <w:tabs>
                <w:tab w:val="left" w:pos="527"/>
                <w:tab w:val="left" w:pos="528"/>
              </w:tabs>
              <w:spacing w:before="109" w:line="357" w:lineRule="auto"/>
              <w:ind w:right="159"/>
              <w:rPr>
                <w:color w:val="auto"/>
                <w:sz w:val="21"/>
                <w:highlight w:val="none"/>
                <w:lang w:eastAsia="zh-CN"/>
              </w:rPr>
            </w:pPr>
            <w:r>
              <w:rPr>
                <w:color w:val="auto"/>
                <w:w w:val="95"/>
                <w:sz w:val="21"/>
                <w:highlight w:val="none"/>
                <w:lang w:eastAsia="zh-CN"/>
              </w:rPr>
              <w:t xml:space="preserve">设计说明、平面图、立面图、大样图、节点详图应完 </w:t>
            </w:r>
            <w:r>
              <w:rPr>
                <w:color w:val="auto"/>
                <w:sz w:val="21"/>
                <w:highlight w:val="none"/>
                <w:lang w:eastAsia="zh-CN"/>
              </w:rPr>
              <w:t>整，且图中尺寸，标注应齐全</w:t>
            </w:r>
          </w:p>
          <w:p>
            <w:pPr>
              <w:pStyle w:val="65"/>
              <w:numPr>
                <w:ilvl w:val="0"/>
                <w:numId w:val="33"/>
              </w:numPr>
              <w:tabs>
                <w:tab w:val="left" w:pos="527"/>
                <w:tab w:val="left" w:pos="528"/>
              </w:tabs>
              <w:spacing w:line="266" w:lineRule="exact"/>
              <w:ind w:hanging="421"/>
              <w:rPr>
                <w:color w:val="auto"/>
                <w:sz w:val="21"/>
                <w:highlight w:val="none"/>
                <w:lang w:eastAsia="zh-CN"/>
              </w:rPr>
            </w:pPr>
            <w:r>
              <w:rPr>
                <w:color w:val="auto"/>
                <w:sz w:val="21"/>
                <w:highlight w:val="none"/>
                <w:lang w:eastAsia="zh-CN"/>
              </w:rPr>
              <w:t>深化设计图纸图签应完整规范，包括深化设计单位、</w:t>
            </w:r>
          </w:p>
          <w:p>
            <w:pPr>
              <w:pStyle w:val="65"/>
              <w:spacing w:before="131"/>
              <w:ind w:left="527"/>
              <w:rPr>
                <w:color w:val="auto"/>
                <w:sz w:val="21"/>
                <w:highlight w:val="none"/>
              </w:rPr>
            </w:pPr>
            <w:r>
              <w:rPr>
                <w:color w:val="auto"/>
                <w:sz w:val="21"/>
                <w:highlight w:val="none"/>
              </w:rPr>
              <w:t>审核人及设计人员。</w:t>
            </w:r>
          </w:p>
        </w:tc>
        <w:tc>
          <w:tcPr>
            <w:tcW w:w="759" w:type="dxa"/>
            <w:vMerge w:val="continue"/>
            <w:tcBorders>
              <w:top w:val="nil"/>
            </w:tcBorders>
          </w:tcPr>
          <w:p>
            <w:pPr>
              <w:rPr>
                <w:color w:val="auto"/>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101" w:type="dxa"/>
            <w:vMerge w:val="continue"/>
            <w:tcBorders>
              <w:top w:val="nil"/>
            </w:tcBorders>
          </w:tcPr>
          <w:p>
            <w:pPr>
              <w:rPr>
                <w:color w:val="auto"/>
                <w:sz w:val="2"/>
                <w:szCs w:val="2"/>
                <w:highlight w:val="none"/>
              </w:rPr>
            </w:pPr>
          </w:p>
        </w:tc>
        <w:tc>
          <w:tcPr>
            <w:tcW w:w="1134" w:type="dxa"/>
          </w:tcPr>
          <w:p>
            <w:pPr>
              <w:pStyle w:val="65"/>
              <w:spacing w:before="7"/>
              <w:rPr>
                <w:b/>
                <w:color w:val="auto"/>
                <w:sz w:val="20"/>
                <w:highlight w:val="none"/>
              </w:rPr>
            </w:pPr>
          </w:p>
          <w:p>
            <w:pPr>
              <w:pStyle w:val="65"/>
              <w:ind w:left="124" w:right="118"/>
              <w:jc w:val="center"/>
              <w:rPr>
                <w:color w:val="auto"/>
                <w:sz w:val="21"/>
                <w:highlight w:val="none"/>
              </w:rPr>
            </w:pPr>
            <w:r>
              <w:rPr>
                <w:color w:val="auto"/>
                <w:sz w:val="21"/>
                <w:highlight w:val="none"/>
              </w:rPr>
              <w:t>总说明</w:t>
            </w:r>
          </w:p>
        </w:tc>
        <w:tc>
          <w:tcPr>
            <w:tcW w:w="5528" w:type="dxa"/>
          </w:tcPr>
          <w:p>
            <w:pPr>
              <w:pStyle w:val="65"/>
              <w:spacing w:before="110"/>
              <w:ind w:left="107"/>
              <w:rPr>
                <w:color w:val="auto"/>
                <w:sz w:val="21"/>
                <w:highlight w:val="none"/>
                <w:lang w:eastAsia="zh-CN"/>
              </w:rPr>
            </w:pPr>
            <w:r>
              <w:rPr>
                <w:color w:val="auto"/>
                <w:sz w:val="21"/>
                <w:highlight w:val="none"/>
                <w:lang w:eastAsia="zh-CN"/>
              </w:rPr>
              <w:t>工程概况、设计依据、设计参数、性能指标、系列材料、</w:t>
            </w:r>
          </w:p>
          <w:p>
            <w:pPr>
              <w:pStyle w:val="65"/>
              <w:spacing w:before="132" w:line="269" w:lineRule="exact"/>
              <w:ind w:left="107"/>
              <w:rPr>
                <w:color w:val="auto"/>
                <w:sz w:val="21"/>
                <w:highlight w:val="none"/>
                <w:lang w:eastAsia="zh-CN"/>
              </w:rPr>
            </w:pPr>
            <w:r>
              <w:rPr>
                <w:color w:val="auto"/>
                <w:sz w:val="21"/>
                <w:highlight w:val="none"/>
                <w:lang w:eastAsia="zh-CN"/>
              </w:rPr>
              <w:t>施工要求、设计规范等。</w:t>
            </w:r>
          </w:p>
        </w:tc>
        <w:tc>
          <w:tcPr>
            <w:tcW w:w="759" w:type="dxa"/>
            <w:vMerge w:val="continue"/>
            <w:tcBorders>
              <w:top w:val="nil"/>
            </w:tcBorders>
          </w:tcPr>
          <w:p>
            <w:pPr>
              <w:rPr>
                <w:color w:val="auto"/>
                <w:sz w:val="2"/>
                <w:szCs w:val="2"/>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7" w:hRule="atLeast"/>
        </w:trPr>
        <w:tc>
          <w:tcPr>
            <w:tcW w:w="1101" w:type="dxa"/>
            <w:vMerge w:val="continue"/>
            <w:tcBorders>
              <w:top w:val="nil"/>
            </w:tcBorders>
          </w:tcPr>
          <w:p>
            <w:pPr>
              <w:rPr>
                <w:color w:val="auto"/>
                <w:sz w:val="2"/>
                <w:szCs w:val="2"/>
                <w:highlight w:val="none"/>
                <w:lang w:eastAsia="zh-CN"/>
              </w:rPr>
            </w:pPr>
          </w:p>
        </w:tc>
        <w:tc>
          <w:tcPr>
            <w:tcW w:w="1134" w:type="dxa"/>
          </w:tcPr>
          <w:p>
            <w:pPr>
              <w:pStyle w:val="65"/>
              <w:rPr>
                <w:b/>
                <w:color w:val="auto"/>
                <w:sz w:val="20"/>
                <w:highlight w:val="none"/>
                <w:lang w:eastAsia="zh-CN"/>
              </w:rPr>
            </w:pPr>
          </w:p>
          <w:p>
            <w:pPr>
              <w:pStyle w:val="65"/>
              <w:rPr>
                <w:b/>
                <w:color w:val="auto"/>
                <w:sz w:val="20"/>
                <w:highlight w:val="none"/>
                <w:lang w:eastAsia="zh-CN"/>
              </w:rPr>
            </w:pPr>
          </w:p>
          <w:p>
            <w:pPr>
              <w:pStyle w:val="65"/>
              <w:rPr>
                <w:b/>
                <w:color w:val="auto"/>
                <w:sz w:val="20"/>
                <w:highlight w:val="none"/>
                <w:lang w:eastAsia="zh-CN"/>
              </w:rPr>
            </w:pPr>
          </w:p>
          <w:p>
            <w:pPr>
              <w:pStyle w:val="65"/>
              <w:rPr>
                <w:b/>
                <w:color w:val="auto"/>
                <w:sz w:val="23"/>
                <w:highlight w:val="none"/>
                <w:lang w:eastAsia="zh-CN"/>
              </w:rPr>
            </w:pPr>
          </w:p>
          <w:p>
            <w:pPr>
              <w:pStyle w:val="65"/>
              <w:spacing w:before="1"/>
              <w:ind w:left="124" w:right="118"/>
              <w:jc w:val="center"/>
              <w:rPr>
                <w:color w:val="auto"/>
                <w:sz w:val="21"/>
                <w:highlight w:val="none"/>
              </w:rPr>
            </w:pPr>
            <w:r>
              <w:rPr>
                <w:color w:val="auto"/>
                <w:sz w:val="21"/>
                <w:highlight w:val="none"/>
              </w:rPr>
              <w:t>平立面</w:t>
            </w:r>
          </w:p>
        </w:tc>
        <w:tc>
          <w:tcPr>
            <w:tcW w:w="5528" w:type="dxa"/>
          </w:tcPr>
          <w:p>
            <w:pPr>
              <w:pStyle w:val="65"/>
              <w:numPr>
                <w:ilvl w:val="0"/>
                <w:numId w:val="34"/>
              </w:numPr>
              <w:tabs>
                <w:tab w:val="left" w:pos="527"/>
                <w:tab w:val="left" w:pos="528"/>
              </w:tabs>
              <w:spacing w:before="108"/>
              <w:ind w:hanging="421"/>
              <w:rPr>
                <w:color w:val="auto"/>
                <w:sz w:val="21"/>
                <w:highlight w:val="none"/>
              </w:rPr>
            </w:pPr>
            <w:r>
              <w:rPr>
                <w:color w:val="auto"/>
                <w:sz w:val="21"/>
                <w:highlight w:val="none"/>
              </w:rPr>
              <w:t>平立面应对应。</w:t>
            </w:r>
          </w:p>
          <w:p>
            <w:pPr>
              <w:pStyle w:val="65"/>
              <w:numPr>
                <w:ilvl w:val="0"/>
                <w:numId w:val="34"/>
              </w:numPr>
              <w:tabs>
                <w:tab w:val="left" w:pos="527"/>
                <w:tab w:val="left" w:pos="528"/>
              </w:tabs>
              <w:spacing w:before="130" w:line="357" w:lineRule="auto"/>
              <w:ind w:right="159"/>
              <w:rPr>
                <w:color w:val="auto"/>
                <w:sz w:val="21"/>
                <w:highlight w:val="none"/>
                <w:lang w:eastAsia="zh-CN"/>
              </w:rPr>
            </w:pPr>
            <w:r>
              <w:rPr>
                <w:color w:val="auto"/>
                <w:w w:val="95"/>
                <w:sz w:val="21"/>
                <w:highlight w:val="none"/>
                <w:lang w:eastAsia="zh-CN"/>
              </w:rPr>
              <w:t xml:space="preserve">门窗牵引、编号应表达并一一对应；平开窗开启位置 </w:t>
            </w:r>
            <w:r>
              <w:rPr>
                <w:color w:val="auto"/>
                <w:sz w:val="21"/>
                <w:highlight w:val="none"/>
                <w:lang w:eastAsia="zh-CN"/>
              </w:rPr>
              <w:t>与方向。</w:t>
            </w:r>
          </w:p>
          <w:p>
            <w:pPr>
              <w:pStyle w:val="65"/>
              <w:numPr>
                <w:ilvl w:val="0"/>
                <w:numId w:val="34"/>
              </w:numPr>
              <w:tabs>
                <w:tab w:val="left" w:pos="527"/>
                <w:tab w:val="left" w:pos="528"/>
              </w:tabs>
              <w:spacing w:line="357" w:lineRule="auto"/>
              <w:ind w:right="159"/>
              <w:rPr>
                <w:color w:val="auto"/>
                <w:sz w:val="21"/>
                <w:highlight w:val="none"/>
                <w:lang w:eastAsia="zh-CN"/>
              </w:rPr>
            </w:pPr>
            <w:r>
              <w:rPr>
                <w:color w:val="auto"/>
                <w:w w:val="95"/>
                <w:sz w:val="21"/>
                <w:highlight w:val="none"/>
                <w:lang w:eastAsia="zh-CN"/>
              </w:rPr>
              <w:t>分格尺寸、开启形式、开启方向应明确，并与施工图 对应，确保外立面效果；窗户，栏板分格应表达在立</w:t>
            </w:r>
          </w:p>
          <w:p>
            <w:pPr>
              <w:pStyle w:val="65"/>
              <w:spacing w:line="267" w:lineRule="exact"/>
              <w:ind w:left="527"/>
              <w:rPr>
                <w:color w:val="auto"/>
                <w:sz w:val="21"/>
                <w:highlight w:val="none"/>
              </w:rPr>
            </w:pPr>
            <w:r>
              <w:rPr>
                <w:color w:val="auto"/>
                <w:sz w:val="21"/>
                <w:highlight w:val="none"/>
              </w:rPr>
              <w:t>面表达。</w:t>
            </w:r>
          </w:p>
        </w:tc>
        <w:tc>
          <w:tcPr>
            <w:tcW w:w="759" w:type="dxa"/>
            <w:vMerge w:val="continue"/>
            <w:tcBorders>
              <w:top w:val="nil"/>
            </w:tcBorders>
          </w:tcPr>
          <w:p>
            <w:pPr>
              <w:rPr>
                <w:color w:val="auto"/>
                <w:sz w:val="2"/>
                <w:szCs w:val="2"/>
                <w:highlight w:val="none"/>
              </w:rPr>
            </w:pPr>
          </w:p>
        </w:tc>
      </w:tr>
    </w:tbl>
    <w:p>
      <w:pPr>
        <w:rPr>
          <w:color w:val="auto"/>
          <w:sz w:val="2"/>
          <w:szCs w:val="2"/>
          <w:highlight w:val="none"/>
        </w:rPr>
        <w:sectPr>
          <w:pgSz w:w="11849" w:h="16792"/>
          <w:pgMar w:top="1417" w:right="850" w:bottom="1417" w:left="850" w:header="850" w:footer="850" w:gutter="0"/>
          <w:pgBorders>
            <w:top w:val="none" w:sz="0" w:space="0"/>
            <w:left w:val="none" w:sz="0" w:space="0"/>
            <w:bottom w:val="none" w:sz="0" w:space="0"/>
            <w:right w:val="none" w:sz="0" w:space="0"/>
          </w:pgBorders>
          <w:pgNumType w:fmt="decimal"/>
          <w:cols w:space="0" w:num="1"/>
          <w:rtlGutter w:val="0"/>
          <w:docGrid w:linePitch="0" w:charSpace="0"/>
        </w:sectPr>
      </w:pPr>
    </w:p>
    <w:tbl>
      <w:tblPr>
        <w:tblStyle w:val="104"/>
        <w:tblW w:w="0" w:type="auto"/>
        <w:tblInd w:w="7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1"/>
        <w:gridCol w:w="1134"/>
        <w:gridCol w:w="5528"/>
        <w:gridCol w:w="7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1101" w:type="dxa"/>
            <w:vMerge w:val="restart"/>
          </w:tcPr>
          <w:p>
            <w:pPr>
              <w:pStyle w:val="65"/>
              <w:rPr>
                <w:rFonts w:ascii="Times New Roman"/>
                <w:color w:val="auto"/>
                <w:sz w:val="20"/>
                <w:highlight w:val="none"/>
              </w:rPr>
            </w:pPr>
          </w:p>
        </w:tc>
        <w:tc>
          <w:tcPr>
            <w:tcW w:w="1134" w:type="dxa"/>
          </w:tcPr>
          <w:p>
            <w:pPr>
              <w:pStyle w:val="65"/>
              <w:rPr>
                <w:b/>
                <w:color w:val="auto"/>
                <w:sz w:val="20"/>
                <w:highlight w:val="none"/>
              </w:rPr>
            </w:pPr>
          </w:p>
          <w:p>
            <w:pPr>
              <w:pStyle w:val="65"/>
              <w:rPr>
                <w:b/>
                <w:color w:val="auto"/>
                <w:sz w:val="16"/>
                <w:highlight w:val="none"/>
              </w:rPr>
            </w:pPr>
          </w:p>
          <w:p>
            <w:pPr>
              <w:pStyle w:val="65"/>
              <w:spacing w:before="1"/>
              <w:ind w:left="124" w:right="118"/>
              <w:jc w:val="center"/>
              <w:rPr>
                <w:color w:val="auto"/>
                <w:sz w:val="21"/>
                <w:highlight w:val="none"/>
              </w:rPr>
            </w:pPr>
            <w:r>
              <w:rPr>
                <w:color w:val="auto"/>
                <w:sz w:val="21"/>
                <w:highlight w:val="none"/>
              </w:rPr>
              <w:t>大样图</w:t>
            </w:r>
          </w:p>
        </w:tc>
        <w:tc>
          <w:tcPr>
            <w:tcW w:w="5528" w:type="dxa"/>
          </w:tcPr>
          <w:p>
            <w:pPr>
              <w:pStyle w:val="65"/>
              <w:spacing w:before="107"/>
              <w:ind w:left="107"/>
              <w:rPr>
                <w:color w:val="auto"/>
                <w:sz w:val="21"/>
                <w:highlight w:val="none"/>
                <w:lang w:eastAsia="zh-CN"/>
              </w:rPr>
            </w:pPr>
            <w:r>
              <w:rPr>
                <w:color w:val="auto"/>
                <w:sz w:val="21"/>
                <w:highlight w:val="none"/>
                <w:lang w:eastAsia="zh-CN"/>
              </w:rPr>
              <w:t>大样图应齐全；门窗编号、门窗类型、玻璃、五金、位</w:t>
            </w:r>
          </w:p>
          <w:p>
            <w:pPr>
              <w:pStyle w:val="65"/>
              <w:spacing w:before="1" w:line="400" w:lineRule="atLeast"/>
              <w:ind w:left="107" w:right="159"/>
              <w:rPr>
                <w:color w:val="auto"/>
                <w:sz w:val="21"/>
                <w:highlight w:val="none"/>
                <w:lang w:eastAsia="zh-CN"/>
              </w:rPr>
            </w:pPr>
            <w:r>
              <w:rPr>
                <w:color w:val="auto"/>
                <w:w w:val="95"/>
                <w:sz w:val="21"/>
                <w:highlight w:val="none"/>
                <w:lang w:eastAsia="zh-CN"/>
              </w:rPr>
              <w:t xml:space="preserve">置、趟数、门窗类型应注明；窗户，栏板分格应表达在立 </w:t>
            </w:r>
            <w:r>
              <w:rPr>
                <w:color w:val="auto"/>
                <w:sz w:val="21"/>
                <w:highlight w:val="none"/>
                <w:lang w:eastAsia="zh-CN"/>
              </w:rPr>
              <w:t>面表达。</w:t>
            </w:r>
          </w:p>
        </w:tc>
        <w:tc>
          <w:tcPr>
            <w:tcW w:w="759" w:type="dxa"/>
            <w:vMerge w:val="restart"/>
          </w:tcPr>
          <w:p>
            <w:pPr>
              <w:pStyle w:val="65"/>
              <w:rPr>
                <w:rFonts w:ascii="Times New Roman"/>
                <w:color w:val="auto"/>
                <w:sz w:val="2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1101" w:type="dxa"/>
            <w:vMerge w:val="continue"/>
            <w:tcBorders>
              <w:top w:val="nil"/>
            </w:tcBorders>
          </w:tcPr>
          <w:p>
            <w:pPr>
              <w:rPr>
                <w:color w:val="auto"/>
                <w:sz w:val="2"/>
                <w:szCs w:val="2"/>
                <w:highlight w:val="none"/>
                <w:lang w:eastAsia="zh-CN"/>
              </w:rPr>
            </w:pPr>
          </w:p>
        </w:tc>
        <w:tc>
          <w:tcPr>
            <w:tcW w:w="1134" w:type="dxa"/>
          </w:tcPr>
          <w:p>
            <w:pPr>
              <w:pStyle w:val="65"/>
              <w:rPr>
                <w:b/>
                <w:color w:val="auto"/>
                <w:sz w:val="20"/>
                <w:highlight w:val="none"/>
                <w:lang w:eastAsia="zh-CN"/>
              </w:rPr>
            </w:pPr>
          </w:p>
          <w:p>
            <w:pPr>
              <w:pStyle w:val="65"/>
              <w:rPr>
                <w:b/>
                <w:color w:val="auto"/>
                <w:sz w:val="16"/>
                <w:highlight w:val="none"/>
                <w:lang w:eastAsia="zh-CN"/>
              </w:rPr>
            </w:pPr>
          </w:p>
          <w:p>
            <w:pPr>
              <w:pStyle w:val="65"/>
              <w:ind w:left="124" w:right="118"/>
              <w:jc w:val="center"/>
              <w:rPr>
                <w:color w:val="auto"/>
                <w:sz w:val="21"/>
                <w:highlight w:val="none"/>
              </w:rPr>
            </w:pPr>
            <w:r>
              <w:rPr>
                <w:color w:val="auto"/>
                <w:sz w:val="21"/>
                <w:highlight w:val="none"/>
              </w:rPr>
              <w:t>节点图</w:t>
            </w:r>
          </w:p>
        </w:tc>
        <w:tc>
          <w:tcPr>
            <w:tcW w:w="5528" w:type="dxa"/>
          </w:tcPr>
          <w:p>
            <w:pPr>
              <w:pStyle w:val="65"/>
              <w:spacing w:before="106" w:line="357" w:lineRule="auto"/>
              <w:ind w:left="107" w:right="159"/>
              <w:rPr>
                <w:color w:val="auto"/>
                <w:sz w:val="21"/>
                <w:highlight w:val="none"/>
                <w:lang w:eastAsia="zh-CN"/>
              </w:rPr>
            </w:pPr>
            <w:r>
              <w:rPr>
                <w:color w:val="auto"/>
                <w:w w:val="95"/>
                <w:sz w:val="21"/>
                <w:highlight w:val="none"/>
                <w:lang w:eastAsia="zh-CN"/>
              </w:rPr>
              <w:t>节点图应齐全；各型材编号、截面尺寸、执手锁具、加强 中梃（横梁）、密封胶、排水孔等；门窗与墙体、玻璃栏</w:t>
            </w:r>
          </w:p>
          <w:p>
            <w:pPr>
              <w:pStyle w:val="65"/>
              <w:spacing w:line="269" w:lineRule="exact"/>
              <w:ind w:left="107"/>
              <w:rPr>
                <w:color w:val="auto"/>
                <w:sz w:val="21"/>
                <w:highlight w:val="none"/>
                <w:lang w:eastAsia="zh-CN"/>
              </w:rPr>
            </w:pPr>
            <w:r>
              <w:rPr>
                <w:color w:val="auto"/>
                <w:sz w:val="21"/>
                <w:highlight w:val="none"/>
                <w:lang w:eastAsia="zh-CN"/>
              </w:rPr>
              <w:t>板、栏杆中各部位的连接做法；预埋件图；防雷节点。</w:t>
            </w:r>
          </w:p>
        </w:tc>
        <w:tc>
          <w:tcPr>
            <w:tcW w:w="759" w:type="dxa"/>
            <w:vMerge w:val="continue"/>
            <w:tcBorders>
              <w:top w:val="nil"/>
            </w:tcBorders>
          </w:tcPr>
          <w:p>
            <w:pPr>
              <w:rPr>
                <w:color w:val="auto"/>
                <w:sz w:val="2"/>
                <w:szCs w:val="2"/>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1101" w:type="dxa"/>
            <w:vMerge w:val="continue"/>
            <w:tcBorders>
              <w:top w:val="nil"/>
            </w:tcBorders>
          </w:tcPr>
          <w:p>
            <w:pPr>
              <w:rPr>
                <w:color w:val="auto"/>
                <w:sz w:val="2"/>
                <w:szCs w:val="2"/>
                <w:highlight w:val="none"/>
                <w:lang w:eastAsia="zh-CN"/>
              </w:rPr>
            </w:pPr>
          </w:p>
        </w:tc>
        <w:tc>
          <w:tcPr>
            <w:tcW w:w="1134" w:type="dxa"/>
          </w:tcPr>
          <w:p>
            <w:pPr>
              <w:pStyle w:val="65"/>
              <w:spacing w:before="106"/>
              <w:ind w:left="124" w:right="118"/>
              <w:jc w:val="center"/>
              <w:rPr>
                <w:color w:val="auto"/>
                <w:sz w:val="21"/>
                <w:highlight w:val="none"/>
              </w:rPr>
            </w:pPr>
            <w:r>
              <w:rPr>
                <w:color w:val="auto"/>
                <w:sz w:val="21"/>
                <w:highlight w:val="none"/>
              </w:rPr>
              <w:t>型材图</w:t>
            </w:r>
          </w:p>
        </w:tc>
        <w:tc>
          <w:tcPr>
            <w:tcW w:w="5528" w:type="dxa"/>
          </w:tcPr>
          <w:p>
            <w:pPr>
              <w:pStyle w:val="65"/>
              <w:spacing w:before="106"/>
              <w:ind w:left="107"/>
              <w:rPr>
                <w:color w:val="auto"/>
                <w:sz w:val="21"/>
                <w:highlight w:val="none"/>
                <w:lang w:eastAsia="zh-CN"/>
              </w:rPr>
            </w:pPr>
            <w:r>
              <w:rPr>
                <w:color w:val="auto"/>
                <w:sz w:val="21"/>
                <w:highlight w:val="none"/>
                <w:lang w:eastAsia="zh-CN"/>
              </w:rPr>
              <w:t>材料名称（节点图对应）、表面处理、材料状态牌号。</w:t>
            </w:r>
          </w:p>
        </w:tc>
        <w:tc>
          <w:tcPr>
            <w:tcW w:w="759" w:type="dxa"/>
            <w:vMerge w:val="continue"/>
            <w:tcBorders>
              <w:top w:val="nil"/>
            </w:tcBorders>
          </w:tcPr>
          <w:p>
            <w:pPr>
              <w:rPr>
                <w:color w:val="auto"/>
                <w:sz w:val="2"/>
                <w:szCs w:val="2"/>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1101" w:type="dxa"/>
            <w:vMerge w:val="continue"/>
            <w:tcBorders>
              <w:top w:val="nil"/>
            </w:tcBorders>
          </w:tcPr>
          <w:p>
            <w:pPr>
              <w:rPr>
                <w:color w:val="auto"/>
                <w:sz w:val="2"/>
                <w:szCs w:val="2"/>
                <w:highlight w:val="none"/>
                <w:lang w:eastAsia="zh-CN"/>
              </w:rPr>
            </w:pPr>
          </w:p>
        </w:tc>
        <w:tc>
          <w:tcPr>
            <w:tcW w:w="1134" w:type="dxa"/>
          </w:tcPr>
          <w:p>
            <w:pPr>
              <w:pStyle w:val="65"/>
              <w:rPr>
                <w:b/>
                <w:color w:val="auto"/>
                <w:sz w:val="20"/>
                <w:highlight w:val="none"/>
                <w:lang w:eastAsia="zh-CN"/>
              </w:rPr>
            </w:pPr>
          </w:p>
          <w:p>
            <w:pPr>
              <w:pStyle w:val="65"/>
              <w:rPr>
                <w:b/>
                <w:color w:val="auto"/>
                <w:sz w:val="16"/>
                <w:highlight w:val="none"/>
                <w:lang w:eastAsia="zh-CN"/>
              </w:rPr>
            </w:pPr>
          </w:p>
          <w:p>
            <w:pPr>
              <w:pStyle w:val="65"/>
              <w:ind w:left="124" w:right="118"/>
              <w:jc w:val="center"/>
              <w:rPr>
                <w:color w:val="auto"/>
                <w:sz w:val="21"/>
                <w:highlight w:val="none"/>
              </w:rPr>
            </w:pPr>
            <w:r>
              <w:rPr>
                <w:color w:val="auto"/>
                <w:sz w:val="21"/>
                <w:highlight w:val="none"/>
              </w:rPr>
              <w:t>计算书</w:t>
            </w:r>
          </w:p>
        </w:tc>
        <w:tc>
          <w:tcPr>
            <w:tcW w:w="5528" w:type="dxa"/>
          </w:tcPr>
          <w:p>
            <w:pPr>
              <w:pStyle w:val="65"/>
              <w:numPr>
                <w:ilvl w:val="0"/>
                <w:numId w:val="35"/>
              </w:numPr>
              <w:tabs>
                <w:tab w:val="left" w:pos="527"/>
                <w:tab w:val="left" w:pos="528"/>
              </w:tabs>
              <w:spacing w:before="105"/>
              <w:ind w:hanging="421"/>
              <w:rPr>
                <w:color w:val="auto"/>
                <w:sz w:val="21"/>
                <w:highlight w:val="none"/>
              </w:rPr>
            </w:pPr>
            <w:r>
              <w:rPr>
                <w:color w:val="auto"/>
                <w:sz w:val="21"/>
                <w:highlight w:val="none"/>
              </w:rPr>
              <w:t>门窗热工计算书。</w:t>
            </w:r>
          </w:p>
          <w:p>
            <w:pPr>
              <w:pStyle w:val="65"/>
              <w:numPr>
                <w:ilvl w:val="0"/>
                <w:numId w:val="35"/>
              </w:numPr>
              <w:tabs>
                <w:tab w:val="left" w:pos="527"/>
                <w:tab w:val="left" w:pos="528"/>
              </w:tabs>
              <w:spacing w:before="1" w:line="400" w:lineRule="atLeast"/>
              <w:ind w:right="159"/>
              <w:rPr>
                <w:color w:val="auto"/>
                <w:sz w:val="21"/>
                <w:highlight w:val="none"/>
                <w:lang w:eastAsia="zh-CN"/>
              </w:rPr>
            </w:pPr>
            <w:r>
              <w:rPr>
                <w:color w:val="auto"/>
                <w:w w:val="95"/>
                <w:sz w:val="21"/>
                <w:highlight w:val="none"/>
                <w:lang w:eastAsia="zh-CN"/>
              </w:rPr>
              <w:t xml:space="preserve">结构（包含抗风压）计算书。（舟山，台州等台风地 </w:t>
            </w:r>
            <w:r>
              <w:rPr>
                <w:color w:val="auto"/>
                <w:sz w:val="21"/>
                <w:highlight w:val="none"/>
                <w:lang w:eastAsia="zh-CN"/>
              </w:rPr>
              <w:t>区应特别注意抗风压）</w:t>
            </w:r>
          </w:p>
        </w:tc>
        <w:tc>
          <w:tcPr>
            <w:tcW w:w="759" w:type="dxa"/>
            <w:vMerge w:val="continue"/>
            <w:tcBorders>
              <w:top w:val="nil"/>
            </w:tcBorders>
          </w:tcPr>
          <w:p>
            <w:pPr>
              <w:rPr>
                <w:color w:val="auto"/>
                <w:sz w:val="2"/>
                <w:szCs w:val="2"/>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1101" w:type="dxa"/>
          </w:tcPr>
          <w:p>
            <w:pPr>
              <w:pStyle w:val="65"/>
              <w:spacing w:before="98"/>
              <w:ind w:left="108"/>
              <w:rPr>
                <w:color w:val="auto"/>
                <w:highlight w:val="none"/>
                <w:lang w:eastAsia="zh-CN"/>
              </w:rPr>
            </w:pPr>
            <w:r>
              <w:rPr>
                <w:color w:val="auto"/>
                <w:highlight w:val="none"/>
                <w:lang w:eastAsia="zh-CN"/>
              </w:rPr>
              <w:t>施工阶段</w:t>
            </w:r>
          </w:p>
          <w:p>
            <w:pPr>
              <w:pStyle w:val="65"/>
              <w:spacing w:before="1" w:line="400" w:lineRule="atLeast"/>
              <w:ind w:left="329" w:right="99" w:hanging="221"/>
              <w:rPr>
                <w:color w:val="auto"/>
                <w:highlight w:val="none"/>
                <w:lang w:eastAsia="zh-CN"/>
              </w:rPr>
            </w:pPr>
            <w:r>
              <w:rPr>
                <w:color w:val="auto"/>
                <w:highlight w:val="none"/>
                <w:lang w:eastAsia="zh-CN"/>
              </w:rPr>
              <w:t>的监督及配合</w:t>
            </w:r>
          </w:p>
        </w:tc>
        <w:tc>
          <w:tcPr>
            <w:tcW w:w="6662" w:type="dxa"/>
            <w:gridSpan w:val="2"/>
          </w:tcPr>
          <w:p>
            <w:pPr>
              <w:pStyle w:val="65"/>
              <w:spacing w:before="106"/>
              <w:ind w:left="106" w:firstLine="420"/>
              <w:rPr>
                <w:color w:val="auto"/>
                <w:sz w:val="21"/>
                <w:highlight w:val="none"/>
                <w:lang w:eastAsia="zh-CN"/>
              </w:rPr>
            </w:pPr>
            <w:r>
              <w:rPr>
                <w:color w:val="auto"/>
                <w:sz w:val="21"/>
                <w:highlight w:val="none"/>
                <w:lang w:eastAsia="zh-CN"/>
              </w:rPr>
              <w:t>门窗安装施工前，对项目部、施工单位进行技术交底。在门窗安</w:t>
            </w:r>
          </w:p>
          <w:p>
            <w:pPr>
              <w:pStyle w:val="65"/>
              <w:spacing w:before="1" w:line="400" w:lineRule="atLeast"/>
              <w:ind w:left="106" w:right="245"/>
              <w:rPr>
                <w:color w:val="auto"/>
                <w:sz w:val="21"/>
                <w:highlight w:val="none"/>
                <w:lang w:eastAsia="zh-CN"/>
              </w:rPr>
            </w:pPr>
            <w:r>
              <w:rPr>
                <w:color w:val="auto"/>
                <w:w w:val="95"/>
                <w:sz w:val="21"/>
                <w:highlight w:val="none"/>
                <w:lang w:eastAsia="zh-CN"/>
              </w:rPr>
              <w:t xml:space="preserve">装实施过程中，针对施工现场出现的实际情况，做好配合服务工作，  </w:t>
            </w:r>
            <w:r>
              <w:rPr>
                <w:color w:val="auto"/>
                <w:sz w:val="21"/>
                <w:highlight w:val="none"/>
                <w:lang w:eastAsia="zh-CN"/>
              </w:rPr>
              <w:t>及时提出针对性的处理方案和措施。</w:t>
            </w:r>
          </w:p>
        </w:tc>
        <w:tc>
          <w:tcPr>
            <w:tcW w:w="759" w:type="dxa"/>
          </w:tcPr>
          <w:p>
            <w:pPr>
              <w:pStyle w:val="65"/>
              <w:spacing w:before="120"/>
              <w:ind w:left="107"/>
              <w:rPr>
                <w:rFonts w:ascii="Times New Roman"/>
                <w:color w:val="auto"/>
                <w:sz w:val="21"/>
                <w:highlight w:val="none"/>
              </w:rPr>
            </w:pPr>
            <w:r>
              <w:rPr>
                <w:rFonts w:ascii="Times New Roman"/>
                <w:color w:val="auto"/>
                <w:w w:val="99"/>
                <w:sz w:val="21"/>
                <w:highlight w:val="none"/>
              </w:rPr>
              <w:t>/</w:t>
            </w:r>
          </w:p>
        </w:tc>
      </w:tr>
    </w:tbl>
    <w:p>
      <w:pPr>
        <w:spacing w:before="108" w:after="20"/>
        <w:ind w:left="820"/>
        <w:rPr>
          <w:b/>
          <w:color w:val="auto"/>
          <w:sz w:val="21"/>
          <w:highlight w:val="none"/>
        </w:rPr>
      </w:pPr>
      <w:r>
        <w:rPr>
          <w:rFonts w:hint="eastAsia" w:ascii="Times New Roman" w:hAnsi="Times New Roman"/>
          <w:b/>
          <w:color w:val="auto"/>
          <w:sz w:val="21"/>
          <w:highlight w:val="none"/>
          <w:lang w:eastAsia="zh-CN"/>
        </w:rPr>
        <w:t>7</w:t>
      </w:r>
      <w:r>
        <w:rPr>
          <w:b/>
          <w:color w:val="auto"/>
          <w:sz w:val="21"/>
          <w:highlight w:val="none"/>
        </w:rPr>
        <w:t>、幕墙专项设计内容</w:t>
      </w:r>
    </w:p>
    <w:tbl>
      <w:tblPr>
        <w:tblStyle w:val="104"/>
        <w:tblW w:w="0" w:type="auto"/>
        <w:tblInd w:w="7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1"/>
        <w:gridCol w:w="1134"/>
        <w:gridCol w:w="5528"/>
        <w:gridCol w:w="7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101" w:type="dxa"/>
          </w:tcPr>
          <w:p>
            <w:pPr>
              <w:pStyle w:val="65"/>
              <w:spacing w:before="109"/>
              <w:ind w:left="108"/>
              <w:rPr>
                <w:b/>
                <w:color w:val="auto"/>
                <w:sz w:val="21"/>
                <w:highlight w:val="none"/>
              </w:rPr>
            </w:pPr>
            <w:r>
              <w:rPr>
                <w:b/>
                <w:color w:val="auto"/>
                <w:sz w:val="21"/>
                <w:highlight w:val="none"/>
              </w:rPr>
              <w:t>阶段</w:t>
            </w:r>
          </w:p>
        </w:tc>
        <w:tc>
          <w:tcPr>
            <w:tcW w:w="6662" w:type="dxa"/>
            <w:gridSpan w:val="2"/>
          </w:tcPr>
          <w:p>
            <w:pPr>
              <w:pStyle w:val="65"/>
              <w:spacing w:before="109"/>
              <w:ind w:left="106"/>
              <w:rPr>
                <w:b/>
                <w:color w:val="auto"/>
                <w:sz w:val="21"/>
                <w:highlight w:val="none"/>
              </w:rPr>
            </w:pPr>
            <w:r>
              <w:rPr>
                <w:b/>
                <w:color w:val="auto"/>
                <w:sz w:val="21"/>
                <w:highlight w:val="none"/>
              </w:rPr>
              <w:t>设计内容及范围</w:t>
            </w:r>
          </w:p>
        </w:tc>
        <w:tc>
          <w:tcPr>
            <w:tcW w:w="759" w:type="dxa"/>
          </w:tcPr>
          <w:p>
            <w:pPr>
              <w:pStyle w:val="65"/>
              <w:spacing w:before="109"/>
              <w:ind w:left="107"/>
              <w:rPr>
                <w:b/>
                <w:color w:val="auto"/>
                <w:sz w:val="21"/>
                <w:highlight w:val="none"/>
              </w:rPr>
            </w:pPr>
            <w:r>
              <w:rPr>
                <w:b/>
                <w:color w:val="auto"/>
                <w:sz w:val="21"/>
                <w:highlight w:val="none"/>
              </w:rPr>
              <w:t>份数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101" w:type="dxa"/>
            <w:vMerge w:val="restart"/>
          </w:tcPr>
          <w:p>
            <w:pPr>
              <w:pStyle w:val="65"/>
              <w:rPr>
                <w:b/>
                <w:color w:val="auto"/>
                <w:highlight w:val="none"/>
              </w:rPr>
            </w:pPr>
          </w:p>
          <w:p>
            <w:pPr>
              <w:pStyle w:val="65"/>
              <w:rPr>
                <w:b/>
                <w:color w:val="auto"/>
                <w:highlight w:val="none"/>
              </w:rPr>
            </w:pPr>
          </w:p>
          <w:p>
            <w:pPr>
              <w:pStyle w:val="65"/>
              <w:rPr>
                <w:b/>
                <w:color w:val="auto"/>
                <w:highlight w:val="none"/>
              </w:rPr>
            </w:pPr>
          </w:p>
          <w:p>
            <w:pPr>
              <w:pStyle w:val="65"/>
              <w:rPr>
                <w:b/>
                <w:color w:val="auto"/>
                <w:highlight w:val="none"/>
              </w:rPr>
            </w:pPr>
          </w:p>
          <w:p>
            <w:pPr>
              <w:pStyle w:val="65"/>
              <w:rPr>
                <w:b/>
                <w:color w:val="auto"/>
                <w:highlight w:val="none"/>
              </w:rPr>
            </w:pPr>
          </w:p>
          <w:p>
            <w:pPr>
              <w:pStyle w:val="65"/>
              <w:rPr>
                <w:b/>
                <w:color w:val="auto"/>
                <w:highlight w:val="none"/>
              </w:rPr>
            </w:pPr>
          </w:p>
          <w:p>
            <w:pPr>
              <w:pStyle w:val="65"/>
              <w:rPr>
                <w:b/>
                <w:color w:val="auto"/>
                <w:highlight w:val="none"/>
              </w:rPr>
            </w:pPr>
          </w:p>
          <w:p>
            <w:pPr>
              <w:pStyle w:val="65"/>
              <w:rPr>
                <w:b/>
                <w:color w:val="auto"/>
                <w:highlight w:val="none"/>
              </w:rPr>
            </w:pPr>
          </w:p>
          <w:p>
            <w:pPr>
              <w:pStyle w:val="65"/>
              <w:rPr>
                <w:b/>
                <w:color w:val="auto"/>
                <w:highlight w:val="none"/>
              </w:rPr>
            </w:pPr>
          </w:p>
          <w:p>
            <w:pPr>
              <w:pStyle w:val="65"/>
              <w:rPr>
                <w:b/>
                <w:color w:val="auto"/>
                <w:highlight w:val="none"/>
              </w:rPr>
            </w:pPr>
          </w:p>
          <w:p>
            <w:pPr>
              <w:pStyle w:val="65"/>
              <w:rPr>
                <w:b/>
                <w:color w:val="auto"/>
                <w:highlight w:val="none"/>
              </w:rPr>
            </w:pPr>
          </w:p>
          <w:p>
            <w:pPr>
              <w:pStyle w:val="65"/>
              <w:rPr>
                <w:b/>
                <w:color w:val="auto"/>
                <w:highlight w:val="none"/>
              </w:rPr>
            </w:pPr>
          </w:p>
          <w:p>
            <w:pPr>
              <w:pStyle w:val="65"/>
              <w:spacing w:before="8"/>
              <w:rPr>
                <w:b/>
                <w:color w:val="auto"/>
                <w:sz w:val="25"/>
                <w:highlight w:val="none"/>
              </w:rPr>
            </w:pPr>
          </w:p>
          <w:p>
            <w:pPr>
              <w:pStyle w:val="65"/>
              <w:ind w:left="218"/>
              <w:rPr>
                <w:color w:val="auto"/>
                <w:highlight w:val="none"/>
              </w:rPr>
            </w:pPr>
            <w:r>
              <w:rPr>
                <w:color w:val="auto"/>
                <w:highlight w:val="none"/>
              </w:rPr>
              <w:t>施工图</w:t>
            </w:r>
          </w:p>
        </w:tc>
        <w:tc>
          <w:tcPr>
            <w:tcW w:w="1134" w:type="dxa"/>
          </w:tcPr>
          <w:p>
            <w:pPr>
              <w:pStyle w:val="65"/>
              <w:spacing w:before="3"/>
              <w:rPr>
                <w:b/>
                <w:color w:val="auto"/>
                <w:sz w:val="24"/>
                <w:highlight w:val="none"/>
              </w:rPr>
            </w:pPr>
          </w:p>
          <w:p>
            <w:pPr>
              <w:pStyle w:val="65"/>
              <w:ind w:left="126" w:right="118"/>
              <w:jc w:val="center"/>
              <w:rPr>
                <w:color w:val="auto"/>
                <w:sz w:val="21"/>
                <w:highlight w:val="none"/>
              </w:rPr>
            </w:pPr>
            <w:r>
              <w:rPr>
                <w:color w:val="auto"/>
                <w:sz w:val="21"/>
                <w:highlight w:val="none"/>
              </w:rPr>
              <w:t>设计范围</w:t>
            </w:r>
          </w:p>
        </w:tc>
        <w:tc>
          <w:tcPr>
            <w:tcW w:w="5528" w:type="dxa"/>
          </w:tcPr>
          <w:p>
            <w:pPr>
              <w:pStyle w:val="65"/>
              <w:spacing w:before="109"/>
              <w:ind w:left="527"/>
              <w:rPr>
                <w:color w:val="auto"/>
                <w:sz w:val="21"/>
                <w:highlight w:val="none"/>
                <w:lang w:eastAsia="zh-CN"/>
              </w:rPr>
            </w:pPr>
            <w:r>
              <w:rPr>
                <w:color w:val="auto"/>
                <w:sz w:val="21"/>
                <w:highlight w:val="none"/>
                <w:lang w:eastAsia="zh-CN"/>
              </w:rPr>
              <w:t>石材幕墙，金属幕墙，金属装饰线条，玻璃幕墙，坡</w:t>
            </w:r>
          </w:p>
          <w:p>
            <w:pPr>
              <w:pStyle w:val="65"/>
              <w:spacing w:before="132"/>
              <w:ind w:left="107"/>
              <w:rPr>
                <w:color w:val="auto"/>
                <w:sz w:val="21"/>
                <w:highlight w:val="none"/>
              </w:rPr>
            </w:pPr>
            <w:r>
              <w:rPr>
                <w:color w:val="auto"/>
                <w:sz w:val="21"/>
                <w:highlight w:val="none"/>
              </w:rPr>
              <w:t>道顶盖，外挑雨棚等</w:t>
            </w:r>
          </w:p>
        </w:tc>
        <w:tc>
          <w:tcPr>
            <w:tcW w:w="759" w:type="dxa"/>
            <w:vMerge w:val="restart"/>
          </w:tcPr>
          <w:p>
            <w:pPr>
              <w:pStyle w:val="65"/>
              <w:rPr>
                <w:b/>
                <w:color w:val="auto"/>
                <w:highlight w:val="none"/>
              </w:rPr>
            </w:pPr>
          </w:p>
          <w:p>
            <w:pPr>
              <w:pStyle w:val="65"/>
              <w:rPr>
                <w:b/>
                <w:color w:val="auto"/>
                <w:highlight w:val="none"/>
              </w:rPr>
            </w:pPr>
          </w:p>
          <w:p>
            <w:pPr>
              <w:pStyle w:val="65"/>
              <w:rPr>
                <w:b/>
                <w:color w:val="auto"/>
                <w:highlight w:val="none"/>
              </w:rPr>
            </w:pPr>
          </w:p>
          <w:p>
            <w:pPr>
              <w:pStyle w:val="65"/>
              <w:rPr>
                <w:b/>
                <w:color w:val="auto"/>
                <w:highlight w:val="none"/>
              </w:rPr>
            </w:pPr>
          </w:p>
          <w:p>
            <w:pPr>
              <w:pStyle w:val="65"/>
              <w:rPr>
                <w:b/>
                <w:color w:val="auto"/>
                <w:highlight w:val="none"/>
              </w:rPr>
            </w:pPr>
          </w:p>
          <w:p>
            <w:pPr>
              <w:pStyle w:val="65"/>
              <w:rPr>
                <w:b/>
                <w:color w:val="auto"/>
                <w:highlight w:val="none"/>
              </w:rPr>
            </w:pPr>
          </w:p>
          <w:p>
            <w:pPr>
              <w:pStyle w:val="65"/>
              <w:rPr>
                <w:b/>
                <w:color w:val="auto"/>
                <w:highlight w:val="none"/>
              </w:rPr>
            </w:pPr>
          </w:p>
          <w:p>
            <w:pPr>
              <w:pStyle w:val="65"/>
              <w:rPr>
                <w:b/>
                <w:color w:val="auto"/>
                <w:highlight w:val="none"/>
              </w:rPr>
            </w:pPr>
          </w:p>
          <w:p>
            <w:pPr>
              <w:pStyle w:val="65"/>
              <w:rPr>
                <w:b/>
                <w:color w:val="auto"/>
                <w:highlight w:val="none"/>
              </w:rPr>
            </w:pPr>
          </w:p>
          <w:p>
            <w:pPr>
              <w:pStyle w:val="65"/>
              <w:rPr>
                <w:b/>
                <w:color w:val="auto"/>
                <w:highlight w:val="none"/>
              </w:rPr>
            </w:pPr>
          </w:p>
          <w:p>
            <w:pPr>
              <w:pStyle w:val="65"/>
              <w:rPr>
                <w:b/>
                <w:color w:val="auto"/>
                <w:highlight w:val="none"/>
              </w:rPr>
            </w:pPr>
          </w:p>
          <w:p>
            <w:pPr>
              <w:pStyle w:val="65"/>
              <w:rPr>
                <w:b/>
                <w:color w:val="auto"/>
                <w:highlight w:val="none"/>
              </w:rPr>
            </w:pPr>
          </w:p>
          <w:p>
            <w:pPr>
              <w:pStyle w:val="65"/>
              <w:spacing w:before="4"/>
              <w:rPr>
                <w:b/>
                <w:color w:val="auto"/>
                <w:sz w:val="27"/>
                <w:highlight w:val="none"/>
              </w:rPr>
            </w:pPr>
          </w:p>
          <w:p>
            <w:pPr>
              <w:pStyle w:val="65"/>
              <w:ind w:left="107"/>
              <w:rPr>
                <w:rFonts w:hint="eastAsia" w:ascii="Times New Roman" w:eastAsia="宋体"/>
                <w:color w:val="auto"/>
                <w:sz w:val="21"/>
                <w:highlight w:val="none"/>
                <w:lang w:eastAsia="zh-CN"/>
              </w:rPr>
            </w:pPr>
            <w:r>
              <w:rPr>
                <w:rFonts w:hint="eastAsia" w:ascii="Times New Roman" w:hAnsi="Times New Roman"/>
                <w:color w:val="auto"/>
                <w:w w:val="99"/>
                <w:sz w:val="21"/>
                <w:highlight w:val="none"/>
                <w:lang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0" w:hRule="atLeast"/>
        </w:trPr>
        <w:tc>
          <w:tcPr>
            <w:tcW w:w="1101" w:type="dxa"/>
            <w:vMerge w:val="continue"/>
            <w:tcBorders>
              <w:top w:val="nil"/>
            </w:tcBorders>
          </w:tcPr>
          <w:p>
            <w:pPr>
              <w:rPr>
                <w:color w:val="auto"/>
                <w:sz w:val="2"/>
                <w:szCs w:val="2"/>
                <w:highlight w:val="none"/>
              </w:rPr>
            </w:pPr>
          </w:p>
        </w:tc>
        <w:tc>
          <w:tcPr>
            <w:tcW w:w="1134" w:type="dxa"/>
          </w:tcPr>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spacing w:before="128"/>
              <w:ind w:left="126" w:right="118"/>
              <w:jc w:val="center"/>
              <w:rPr>
                <w:color w:val="auto"/>
                <w:sz w:val="21"/>
                <w:highlight w:val="none"/>
              </w:rPr>
            </w:pPr>
            <w:r>
              <w:rPr>
                <w:color w:val="auto"/>
                <w:sz w:val="21"/>
                <w:highlight w:val="none"/>
              </w:rPr>
              <w:t>基本要求</w:t>
            </w:r>
          </w:p>
        </w:tc>
        <w:tc>
          <w:tcPr>
            <w:tcW w:w="5528" w:type="dxa"/>
          </w:tcPr>
          <w:p>
            <w:pPr>
              <w:pStyle w:val="65"/>
              <w:numPr>
                <w:ilvl w:val="0"/>
                <w:numId w:val="36"/>
              </w:numPr>
              <w:tabs>
                <w:tab w:val="left" w:pos="527"/>
                <w:tab w:val="left" w:pos="528"/>
              </w:tabs>
              <w:spacing w:before="109" w:line="355" w:lineRule="auto"/>
              <w:ind w:right="159"/>
              <w:rPr>
                <w:color w:val="auto"/>
                <w:sz w:val="21"/>
                <w:highlight w:val="none"/>
                <w:lang w:eastAsia="zh-CN"/>
              </w:rPr>
            </w:pPr>
            <w:r>
              <w:rPr>
                <w:color w:val="auto"/>
                <w:w w:val="95"/>
                <w:sz w:val="21"/>
                <w:highlight w:val="none"/>
                <w:lang w:eastAsia="zh-CN"/>
              </w:rPr>
              <w:t xml:space="preserve">设计说明、平面图、立面图、大样图、节点详图应完 </w:t>
            </w:r>
            <w:r>
              <w:rPr>
                <w:color w:val="auto"/>
                <w:sz w:val="21"/>
                <w:highlight w:val="none"/>
                <w:lang w:eastAsia="zh-CN"/>
              </w:rPr>
              <w:t>整，且图中尺寸，标注应齐全</w:t>
            </w:r>
          </w:p>
          <w:p>
            <w:pPr>
              <w:pStyle w:val="65"/>
              <w:numPr>
                <w:ilvl w:val="0"/>
                <w:numId w:val="36"/>
              </w:numPr>
              <w:tabs>
                <w:tab w:val="left" w:pos="527"/>
                <w:tab w:val="left" w:pos="528"/>
              </w:tabs>
              <w:spacing w:before="2" w:line="357" w:lineRule="auto"/>
              <w:ind w:right="159"/>
              <w:rPr>
                <w:color w:val="auto"/>
                <w:sz w:val="21"/>
                <w:highlight w:val="none"/>
                <w:lang w:eastAsia="zh-CN"/>
              </w:rPr>
            </w:pPr>
            <w:r>
              <w:rPr>
                <w:color w:val="auto"/>
                <w:w w:val="95"/>
                <w:sz w:val="21"/>
                <w:highlight w:val="none"/>
                <w:lang w:eastAsia="zh-CN"/>
              </w:rPr>
              <w:t xml:space="preserve">深化设计图纸图签应完整规范，包括深化设计单位、 </w:t>
            </w:r>
            <w:r>
              <w:rPr>
                <w:color w:val="auto"/>
                <w:sz w:val="21"/>
                <w:highlight w:val="none"/>
                <w:lang w:eastAsia="zh-CN"/>
              </w:rPr>
              <w:t>审核人及设计人员。</w:t>
            </w:r>
          </w:p>
          <w:p>
            <w:pPr>
              <w:pStyle w:val="65"/>
              <w:numPr>
                <w:ilvl w:val="0"/>
                <w:numId w:val="36"/>
              </w:numPr>
              <w:tabs>
                <w:tab w:val="left" w:pos="527"/>
                <w:tab w:val="left" w:pos="528"/>
              </w:tabs>
              <w:spacing w:line="266" w:lineRule="exact"/>
              <w:ind w:hanging="421"/>
              <w:rPr>
                <w:color w:val="auto"/>
                <w:sz w:val="21"/>
                <w:highlight w:val="none"/>
                <w:lang w:eastAsia="zh-CN"/>
              </w:rPr>
            </w:pPr>
            <w:r>
              <w:rPr>
                <w:color w:val="auto"/>
                <w:sz w:val="21"/>
                <w:highlight w:val="none"/>
                <w:lang w:eastAsia="zh-CN"/>
              </w:rPr>
              <w:t>建筑外立面风格的符合程度；</w:t>
            </w:r>
          </w:p>
          <w:p>
            <w:pPr>
              <w:pStyle w:val="65"/>
              <w:numPr>
                <w:ilvl w:val="0"/>
                <w:numId w:val="36"/>
              </w:numPr>
              <w:tabs>
                <w:tab w:val="left" w:pos="527"/>
                <w:tab w:val="left" w:pos="528"/>
              </w:tabs>
              <w:spacing w:before="130"/>
              <w:ind w:hanging="421"/>
              <w:rPr>
                <w:color w:val="auto"/>
                <w:sz w:val="21"/>
                <w:highlight w:val="none"/>
                <w:lang w:eastAsia="zh-CN"/>
              </w:rPr>
            </w:pPr>
            <w:r>
              <w:rPr>
                <w:color w:val="auto"/>
                <w:sz w:val="21"/>
                <w:highlight w:val="none"/>
                <w:lang w:eastAsia="zh-CN"/>
              </w:rPr>
              <w:t>幕墙饰面材料材质、颜色、机理；</w:t>
            </w:r>
          </w:p>
          <w:p>
            <w:pPr>
              <w:pStyle w:val="65"/>
              <w:numPr>
                <w:ilvl w:val="0"/>
                <w:numId w:val="36"/>
              </w:numPr>
              <w:tabs>
                <w:tab w:val="left" w:pos="527"/>
                <w:tab w:val="left" w:pos="528"/>
              </w:tabs>
              <w:spacing w:before="131" w:line="355" w:lineRule="auto"/>
              <w:ind w:right="159"/>
              <w:rPr>
                <w:color w:val="auto"/>
                <w:sz w:val="21"/>
                <w:highlight w:val="none"/>
                <w:lang w:eastAsia="zh-CN"/>
              </w:rPr>
            </w:pPr>
            <w:r>
              <w:rPr>
                <w:color w:val="auto"/>
                <w:w w:val="95"/>
                <w:sz w:val="21"/>
                <w:highlight w:val="none"/>
                <w:lang w:eastAsia="zh-CN"/>
              </w:rPr>
              <w:t xml:space="preserve">饰面板的分格尺寸、幕墙与门窗的交接方式、线条的 </w:t>
            </w:r>
            <w:r>
              <w:rPr>
                <w:color w:val="auto"/>
                <w:sz w:val="21"/>
                <w:highlight w:val="none"/>
                <w:lang w:eastAsia="zh-CN"/>
              </w:rPr>
              <w:t>尺寸大小、形状、比例关系等。</w:t>
            </w:r>
          </w:p>
          <w:p>
            <w:pPr>
              <w:pStyle w:val="65"/>
              <w:numPr>
                <w:ilvl w:val="0"/>
                <w:numId w:val="36"/>
              </w:numPr>
              <w:tabs>
                <w:tab w:val="left" w:pos="527"/>
                <w:tab w:val="left" w:pos="528"/>
              </w:tabs>
              <w:spacing w:before="2"/>
              <w:ind w:hanging="421"/>
              <w:rPr>
                <w:color w:val="auto"/>
                <w:sz w:val="21"/>
                <w:highlight w:val="none"/>
                <w:lang w:eastAsia="zh-CN"/>
              </w:rPr>
            </w:pPr>
            <w:r>
              <w:rPr>
                <w:color w:val="auto"/>
                <w:sz w:val="21"/>
                <w:highlight w:val="none"/>
                <w:lang w:eastAsia="zh-CN"/>
              </w:rPr>
              <w:t>应对泛光、清洗配套设施及广告牌收口等进行设计；</w:t>
            </w:r>
          </w:p>
        </w:tc>
        <w:tc>
          <w:tcPr>
            <w:tcW w:w="759" w:type="dxa"/>
            <w:vMerge w:val="continue"/>
            <w:tcBorders>
              <w:top w:val="nil"/>
            </w:tcBorders>
          </w:tcPr>
          <w:p>
            <w:pPr>
              <w:rPr>
                <w:color w:val="auto"/>
                <w:sz w:val="2"/>
                <w:szCs w:val="2"/>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7" w:hRule="atLeast"/>
        </w:trPr>
        <w:tc>
          <w:tcPr>
            <w:tcW w:w="1101" w:type="dxa"/>
            <w:vMerge w:val="continue"/>
            <w:tcBorders>
              <w:top w:val="nil"/>
            </w:tcBorders>
          </w:tcPr>
          <w:p>
            <w:pPr>
              <w:rPr>
                <w:color w:val="auto"/>
                <w:sz w:val="2"/>
                <w:szCs w:val="2"/>
                <w:highlight w:val="none"/>
                <w:lang w:eastAsia="zh-CN"/>
              </w:rPr>
            </w:pPr>
          </w:p>
        </w:tc>
        <w:tc>
          <w:tcPr>
            <w:tcW w:w="1134" w:type="dxa"/>
          </w:tcPr>
          <w:p>
            <w:pPr>
              <w:pStyle w:val="65"/>
              <w:rPr>
                <w:b/>
                <w:color w:val="auto"/>
                <w:sz w:val="20"/>
                <w:highlight w:val="none"/>
                <w:lang w:eastAsia="zh-CN"/>
              </w:rPr>
            </w:pPr>
          </w:p>
          <w:p>
            <w:pPr>
              <w:pStyle w:val="65"/>
              <w:rPr>
                <w:b/>
                <w:color w:val="auto"/>
                <w:sz w:val="20"/>
                <w:highlight w:val="none"/>
                <w:lang w:eastAsia="zh-CN"/>
              </w:rPr>
            </w:pPr>
          </w:p>
          <w:p>
            <w:pPr>
              <w:pStyle w:val="65"/>
              <w:rPr>
                <w:b/>
                <w:color w:val="auto"/>
                <w:sz w:val="20"/>
                <w:highlight w:val="none"/>
                <w:lang w:eastAsia="zh-CN"/>
              </w:rPr>
            </w:pPr>
          </w:p>
          <w:p>
            <w:pPr>
              <w:pStyle w:val="65"/>
              <w:rPr>
                <w:b/>
                <w:color w:val="auto"/>
                <w:sz w:val="20"/>
                <w:highlight w:val="none"/>
                <w:lang w:eastAsia="zh-CN"/>
              </w:rPr>
            </w:pPr>
          </w:p>
          <w:p>
            <w:pPr>
              <w:pStyle w:val="65"/>
              <w:rPr>
                <w:b/>
                <w:color w:val="auto"/>
                <w:sz w:val="20"/>
                <w:highlight w:val="none"/>
                <w:lang w:eastAsia="zh-CN"/>
              </w:rPr>
            </w:pPr>
          </w:p>
          <w:p>
            <w:pPr>
              <w:pStyle w:val="65"/>
              <w:spacing w:before="5"/>
              <w:rPr>
                <w:b/>
                <w:color w:val="auto"/>
                <w:sz w:val="14"/>
                <w:highlight w:val="none"/>
                <w:lang w:eastAsia="zh-CN"/>
              </w:rPr>
            </w:pPr>
          </w:p>
          <w:p>
            <w:pPr>
              <w:pStyle w:val="65"/>
              <w:ind w:left="124" w:right="118"/>
              <w:jc w:val="center"/>
              <w:rPr>
                <w:color w:val="auto"/>
                <w:sz w:val="21"/>
                <w:highlight w:val="none"/>
              </w:rPr>
            </w:pPr>
            <w:r>
              <w:rPr>
                <w:color w:val="auto"/>
                <w:sz w:val="21"/>
                <w:highlight w:val="none"/>
              </w:rPr>
              <w:t>总说明</w:t>
            </w:r>
          </w:p>
        </w:tc>
        <w:tc>
          <w:tcPr>
            <w:tcW w:w="5528" w:type="dxa"/>
          </w:tcPr>
          <w:p>
            <w:pPr>
              <w:pStyle w:val="65"/>
              <w:numPr>
                <w:ilvl w:val="0"/>
                <w:numId w:val="37"/>
              </w:numPr>
              <w:tabs>
                <w:tab w:val="left" w:pos="527"/>
                <w:tab w:val="left" w:pos="528"/>
              </w:tabs>
              <w:spacing w:before="109" w:line="357" w:lineRule="auto"/>
              <w:ind w:right="370"/>
              <w:rPr>
                <w:color w:val="auto"/>
                <w:sz w:val="21"/>
                <w:highlight w:val="none"/>
                <w:lang w:eastAsia="zh-CN"/>
              </w:rPr>
            </w:pPr>
            <w:r>
              <w:rPr>
                <w:color w:val="auto"/>
                <w:w w:val="95"/>
                <w:sz w:val="21"/>
                <w:highlight w:val="none"/>
                <w:lang w:eastAsia="zh-CN"/>
              </w:rPr>
              <w:t xml:space="preserve">应列出所参照的相关规范、规程、法令和行业标准 </w:t>
            </w:r>
            <w:r>
              <w:rPr>
                <w:color w:val="auto"/>
                <w:sz w:val="21"/>
                <w:highlight w:val="none"/>
                <w:lang w:eastAsia="zh-CN"/>
              </w:rPr>
              <w:t>等；</w:t>
            </w:r>
          </w:p>
          <w:p>
            <w:pPr>
              <w:pStyle w:val="65"/>
              <w:numPr>
                <w:ilvl w:val="0"/>
                <w:numId w:val="37"/>
              </w:numPr>
              <w:tabs>
                <w:tab w:val="left" w:pos="527"/>
                <w:tab w:val="left" w:pos="528"/>
              </w:tabs>
              <w:spacing w:line="357" w:lineRule="auto"/>
              <w:ind w:right="159"/>
              <w:rPr>
                <w:color w:val="auto"/>
                <w:sz w:val="21"/>
                <w:highlight w:val="none"/>
                <w:lang w:eastAsia="zh-CN"/>
              </w:rPr>
            </w:pPr>
            <w:r>
              <w:rPr>
                <w:color w:val="auto"/>
                <w:w w:val="95"/>
                <w:sz w:val="21"/>
                <w:highlight w:val="none"/>
                <w:lang w:eastAsia="zh-CN"/>
              </w:rPr>
              <w:t xml:space="preserve">表明设计构造形式和连接节点的安全性、合理性和先 </w:t>
            </w:r>
            <w:r>
              <w:rPr>
                <w:color w:val="auto"/>
                <w:sz w:val="21"/>
                <w:highlight w:val="none"/>
                <w:lang w:eastAsia="zh-CN"/>
              </w:rPr>
              <w:t>进性；</w:t>
            </w:r>
          </w:p>
          <w:p>
            <w:pPr>
              <w:pStyle w:val="65"/>
              <w:numPr>
                <w:ilvl w:val="0"/>
                <w:numId w:val="37"/>
              </w:numPr>
              <w:tabs>
                <w:tab w:val="left" w:pos="528"/>
              </w:tabs>
              <w:spacing w:line="269" w:lineRule="exact"/>
              <w:ind w:hanging="421"/>
              <w:jc w:val="both"/>
              <w:rPr>
                <w:color w:val="auto"/>
                <w:sz w:val="21"/>
                <w:highlight w:val="none"/>
                <w:lang w:eastAsia="zh-CN"/>
              </w:rPr>
            </w:pPr>
            <w:r>
              <w:rPr>
                <w:color w:val="auto"/>
                <w:sz w:val="21"/>
                <w:highlight w:val="none"/>
                <w:lang w:eastAsia="zh-CN"/>
              </w:rPr>
              <w:t>应对幕墙工程所采用的主要形式（系统）进行说明；</w:t>
            </w:r>
          </w:p>
          <w:p>
            <w:pPr>
              <w:pStyle w:val="65"/>
              <w:numPr>
                <w:ilvl w:val="0"/>
                <w:numId w:val="37"/>
              </w:numPr>
              <w:tabs>
                <w:tab w:val="left" w:pos="528"/>
              </w:tabs>
              <w:spacing w:before="15" w:line="400" w:lineRule="exact"/>
              <w:ind w:right="159"/>
              <w:jc w:val="both"/>
              <w:rPr>
                <w:color w:val="auto"/>
                <w:sz w:val="21"/>
                <w:highlight w:val="none"/>
                <w:lang w:eastAsia="zh-CN"/>
              </w:rPr>
            </w:pPr>
            <w:r>
              <w:rPr>
                <w:color w:val="auto"/>
                <w:w w:val="95"/>
                <w:sz w:val="21"/>
                <w:highlight w:val="none"/>
                <w:lang w:eastAsia="zh-CN"/>
              </w:rPr>
              <w:t>表明幕墙工程达到的技术物理性能等级，四项主要基 本性能指标（风压变形、空气渗透、雨水渗透、平面 内变形性能）、隔声、保温、耐撞击、防火、防雷等</w:t>
            </w:r>
          </w:p>
        </w:tc>
        <w:tc>
          <w:tcPr>
            <w:tcW w:w="759" w:type="dxa"/>
            <w:vMerge w:val="continue"/>
            <w:tcBorders>
              <w:top w:val="nil"/>
            </w:tcBorders>
          </w:tcPr>
          <w:p>
            <w:pPr>
              <w:rPr>
                <w:color w:val="auto"/>
                <w:sz w:val="2"/>
                <w:szCs w:val="2"/>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0" w:hRule="atLeast"/>
        </w:trPr>
        <w:tc>
          <w:tcPr>
            <w:tcW w:w="1101" w:type="dxa"/>
            <w:vMerge w:val="restart"/>
          </w:tcPr>
          <w:p>
            <w:pPr>
              <w:pStyle w:val="65"/>
              <w:rPr>
                <w:rFonts w:ascii="Times New Roman"/>
                <w:color w:val="auto"/>
                <w:sz w:val="20"/>
                <w:highlight w:val="none"/>
                <w:lang w:eastAsia="zh-CN"/>
              </w:rPr>
            </w:pPr>
          </w:p>
        </w:tc>
        <w:tc>
          <w:tcPr>
            <w:tcW w:w="1134" w:type="dxa"/>
          </w:tcPr>
          <w:p>
            <w:pPr>
              <w:pStyle w:val="65"/>
              <w:rPr>
                <w:rFonts w:ascii="Times New Roman"/>
                <w:color w:val="auto"/>
                <w:sz w:val="20"/>
                <w:highlight w:val="none"/>
                <w:lang w:eastAsia="zh-CN"/>
              </w:rPr>
            </w:pPr>
          </w:p>
        </w:tc>
        <w:tc>
          <w:tcPr>
            <w:tcW w:w="5528" w:type="dxa"/>
          </w:tcPr>
          <w:p>
            <w:pPr>
              <w:pStyle w:val="65"/>
              <w:spacing w:before="107"/>
              <w:ind w:left="527"/>
              <w:rPr>
                <w:color w:val="auto"/>
                <w:sz w:val="21"/>
                <w:highlight w:val="none"/>
              </w:rPr>
            </w:pPr>
            <w:r>
              <w:rPr>
                <w:color w:val="auto"/>
                <w:sz w:val="21"/>
                <w:highlight w:val="none"/>
              </w:rPr>
              <w:t>性能指标值；</w:t>
            </w:r>
          </w:p>
          <w:p>
            <w:pPr>
              <w:pStyle w:val="65"/>
              <w:numPr>
                <w:ilvl w:val="0"/>
                <w:numId w:val="38"/>
              </w:numPr>
              <w:tabs>
                <w:tab w:val="left" w:pos="527"/>
                <w:tab w:val="left" w:pos="528"/>
              </w:tabs>
              <w:spacing w:before="130" w:line="355" w:lineRule="auto"/>
              <w:ind w:right="159"/>
              <w:rPr>
                <w:color w:val="auto"/>
                <w:sz w:val="21"/>
                <w:highlight w:val="none"/>
                <w:lang w:eastAsia="zh-CN"/>
              </w:rPr>
            </w:pPr>
            <w:r>
              <w:rPr>
                <w:color w:val="auto"/>
                <w:w w:val="95"/>
                <w:sz w:val="21"/>
                <w:highlight w:val="none"/>
                <w:lang w:eastAsia="zh-CN"/>
              </w:rPr>
              <w:t xml:space="preserve">表明风荷载取值依据，列出最大风荷载标准值和最大 </w:t>
            </w:r>
            <w:r>
              <w:rPr>
                <w:color w:val="auto"/>
                <w:sz w:val="21"/>
                <w:highlight w:val="none"/>
                <w:lang w:eastAsia="zh-CN"/>
              </w:rPr>
              <w:t>风荷载设计值及其所处部位；</w:t>
            </w:r>
          </w:p>
          <w:p>
            <w:pPr>
              <w:pStyle w:val="65"/>
              <w:numPr>
                <w:ilvl w:val="0"/>
                <w:numId w:val="38"/>
              </w:numPr>
              <w:tabs>
                <w:tab w:val="left" w:pos="527"/>
                <w:tab w:val="left" w:pos="528"/>
              </w:tabs>
              <w:spacing w:before="2"/>
              <w:ind w:hanging="421"/>
              <w:rPr>
                <w:color w:val="auto"/>
                <w:sz w:val="21"/>
                <w:highlight w:val="none"/>
                <w:lang w:eastAsia="zh-CN"/>
              </w:rPr>
            </w:pPr>
            <w:r>
              <w:rPr>
                <w:color w:val="auto"/>
                <w:sz w:val="21"/>
                <w:highlight w:val="none"/>
                <w:lang w:eastAsia="zh-CN"/>
              </w:rPr>
              <w:t>表明所选用的主要材料的材质、表面处理、规格、性</w:t>
            </w:r>
          </w:p>
          <w:p>
            <w:pPr>
              <w:pStyle w:val="65"/>
              <w:spacing w:before="132"/>
              <w:ind w:left="527"/>
              <w:rPr>
                <w:color w:val="auto"/>
                <w:sz w:val="21"/>
                <w:highlight w:val="none"/>
              </w:rPr>
            </w:pPr>
            <w:r>
              <w:rPr>
                <w:color w:val="auto"/>
                <w:sz w:val="21"/>
                <w:highlight w:val="none"/>
              </w:rPr>
              <w:t>能和技术指标等。</w:t>
            </w:r>
          </w:p>
        </w:tc>
        <w:tc>
          <w:tcPr>
            <w:tcW w:w="759" w:type="dxa"/>
            <w:vMerge w:val="restart"/>
          </w:tcPr>
          <w:p>
            <w:pPr>
              <w:pStyle w:val="6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0" w:hRule="atLeast"/>
        </w:trPr>
        <w:tc>
          <w:tcPr>
            <w:tcW w:w="1101" w:type="dxa"/>
            <w:vMerge w:val="continue"/>
            <w:tcBorders>
              <w:top w:val="nil"/>
            </w:tcBorders>
          </w:tcPr>
          <w:p>
            <w:pPr>
              <w:rPr>
                <w:color w:val="auto"/>
                <w:sz w:val="2"/>
                <w:szCs w:val="2"/>
                <w:highlight w:val="none"/>
              </w:rPr>
            </w:pPr>
          </w:p>
        </w:tc>
        <w:tc>
          <w:tcPr>
            <w:tcW w:w="1134" w:type="dxa"/>
          </w:tcPr>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spacing w:before="6"/>
              <w:rPr>
                <w:b/>
                <w:color w:val="auto"/>
                <w:sz w:val="18"/>
                <w:highlight w:val="none"/>
              </w:rPr>
            </w:pPr>
          </w:p>
          <w:p>
            <w:pPr>
              <w:pStyle w:val="65"/>
              <w:spacing w:before="1"/>
              <w:ind w:left="124" w:right="118"/>
              <w:jc w:val="center"/>
              <w:rPr>
                <w:color w:val="auto"/>
                <w:sz w:val="21"/>
                <w:highlight w:val="none"/>
              </w:rPr>
            </w:pPr>
            <w:r>
              <w:rPr>
                <w:color w:val="auto"/>
                <w:sz w:val="21"/>
                <w:highlight w:val="none"/>
              </w:rPr>
              <w:t>平面图</w:t>
            </w:r>
          </w:p>
        </w:tc>
        <w:tc>
          <w:tcPr>
            <w:tcW w:w="5528" w:type="dxa"/>
          </w:tcPr>
          <w:p>
            <w:pPr>
              <w:pStyle w:val="65"/>
              <w:numPr>
                <w:ilvl w:val="0"/>
                <w:numId w:val="39"/>
              </w:numPr>
              <w:tabs>
                <w:tab w:val="left" w:pos="527"/>
                <w:tab w:val="left" w:pos="528"/>
              </w:tabs>
              <w:spacing w:before="107" w:line="355" w:lineRule="auto"/>
              <w:ind w:right="370"/>
              <w:rPr>
                <w:color w:val="auto"/>
                <w:sz w:val="21"/>
                <w:highlight w:val="none"/>
                <w:lang w:eastAsia="zh-CN"/>
              </w:rPr>
            </w:pPr>
            <w:r>
              <w:rPr>
                <w:color w:val="auto"/>
                <w:w w:val="95"/>
                <w:sz w:val="21"/>
                <w:highlight w:val="none"/>
                <w:lang w:eastAsia="zh-CN"/>
              </w:rPr>
              <w:t xml:space="preserve">体现雨水管、雨棚、线条、门窗、洞口等位置及尺 </w:t>
            </w:r>
            <w:r>
              <w:rPr>
                <w:color w:val="auto"/>
                <w:sz w:val="21"/>
                <w:highlight w:val="none"/>
                <w:lang w:eastAsia="zh-CN"/>
              </w:rPr>
              <w:t>寸；</w:t>
            </w:r>
          </w:p>
          <w:p>
            <w:pPr>
              <w:pStyle w:val="65"/>
              <w:numPr>
                <w:ilvl w:val="0"/>
                <w:numId w:val="39"/>
              </w:numPr>
              <w:tabs>
                <w:tab w:val="left" w:pos="527"/>
                <w:tab w:val="left" w:pos="528"/>
              </w:tabs>
              <w:spacing w:before="1"/>
              <w:ind w:hanging="421"/>
              <w:rPr>
                <w:color w:val="auto"/>
                <w:sz w:val="21"/>
                <w:highlight w:val="none"/>
                <w:lang w:eastAsia="zh-CN"/>
              </w:rPr>
            </w:pPr>
            <w:r>
              <w:rPr>
                <w:color w:val="auto"/>
                <w:sz w:val="21"/>
                <w:highlight w:val="none"/>
                <w:lang w:eastAsia="zh-CN"/>
              </w:rPr>
              <w:t>尺寸标注、标高与原建筑、结构设计相符；</w:t>
            </w:r>
          </w:p>
          <w:p>
            <w:pPr>
              <w:pStyle w:val="65"/>
              <w:numPr>
                <w:ilvl w:val="0"/>
                <w:numId w:val="39"/>
              </w:numPr>
              <w:tabs>
                <w:tab w:val="left" w:pos="527"/>
                <w:tab w:val="left" w:pos="528"/>
              </w:tabs>
              <w:spacing w:before="131"/>
              <w:ind w:hanging="421"/>
              <w:rPr>
                <w:color w:val="auto"/>
                <w:sz w:val="21"/>
                <w:highlight w:val="none"/>
                <w:lang w:eastAsia="zh-CN"/>
              </w:rPr>
            </w:pPr>
            <w:r>
              <w:rPr>
                <w:color w:val="auto"/>
                <w:sz w:val="21"/>
                <w:highlight w:val="none"/>
                <w:lang w:eastAsia="zh-CN"/>
              </w:rPr>
              <w:t>表达竖龙骨的布置及板块平面分格尺寸；</w:t>
            </w:r>
          </w:p>
          <w:p>
            <w:pPr>
              <w:pStyle w:val="65"/>
              <w:numPr>
                <w:ilvl w:val="0"/>
                <w:numId w:val="39"/>
              </w:numPr>
              <w:tabs>
                <w:tab w:val="left" w:pos="527"/>
                <w:tab w:val="left" w:pos="528"/>
              </w:tabs>
              <w:spacing w:before="128"/>
              <w:ind w:hanging="421"/>
              <w:rPr>
                <w:color w:val="auto"/>
                <w:sz w:val="21"/>
                <w:highlight w:val="none"/>
                <w:lang w:eastAsia="zh-CN"/>
              </w:rPr>
            </w:pPr>
            <w:r>
              <w:rPr>
                <w:color w:val="auto"/>
                <w:sz w:val="21"/>
                <w:highlight w:val="none"/>
                <w:lang w:eastAsia="zh-CN"/>
              </w:rPr>
              <w:t>表达屋面构架及女儿墙压顶分格；</w:t>
            </w:r>
          </w:p>
          <w:p>
            <w:pPr>
              <w:pStyle w:val="65"/>
              <w:numPr>
                <w:ilvl w:val="0"/>
                <w:numId w:val="39"/>
              </w:numPr>
              <w:tabs>
                <w:tab w:val="left" w:pos="527"/>
                <w:tab w:val="left" w:pos="528"/>
              </w:tabs>
              <w:spacing w:before="131"/>
              <w:ind w:hanging="421"/>
              <w:rPr>
                <w:color w:val="auto"/>
                <w:sz w:val="21"/>
                <w:highlight w:val="none"/>
              </w:rPr>
            </w:pPr>
            <w:r>
              <w:rPr>
                <w:color w:val="auto"/>
                <w:sz w:val="21"/>
                <w:highlight w:val="none"/>
              </w:rPr>
              <w:t>表达各类收口位置；</w:t>
            </w:r>
          </w:p>
          <w:p>
            <w:pPr>
              <w:pStyle w:val="65"/>
              <w:numPr>
                <w:ilvl w:val="0"/>
                <w:numId w:val="39"/>
              </w:numPr>
              <w:tabs>
                <w:tab w:val="left" w:pos="527"/>
                <w:tab w:val="left" w:pos="528"/>
              </w:tabs>
              <w:spacing w:before="130"/>
              <w:ind w:hanging="421"/>
              <w:rPr>
                <w:color w:val="auto"/>
                <w:sz w:val="21"/>
                <w:highlight w:val="none"/>
                <w:lang w:eastAsia="zh-CN"/>
              </w:rPr>
            </w:pPr>
            <w:r>
              <w:rPr>
                <w:color w:val="auto"/>
                <w:sz w:val="21"/>
                <w:highlight w:val="none"/>
                <w:lang w:eastAsia="zh-CN"/>
              </w:rPr>
              <w:t>表达幕墙开启扇形式及方向。</w:t>
            </w:r>
          </w:p>
        </w:tc>
        <w:tc>
          <w:tcPr>
            <w:tcW w:w="759" w:type="dxa"/>
            <w:vMerge w:val="continue"/>
            <w:tcBorders>
              <w:top w:val="nil"/>
            </w:tcBorders>
          </w:tcPr>
          <w:p>
            <w:pPr>
              <w:rPr>
                <w:color w:val="auto"/>
                <w:sz w:val="2"/>
                <w:szCs w:val="2"/>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0" w:hRule="atLeast"/>
        </w:trPr>
        <w:tc>
          <w:tcPr>
            <w:tcW w:w="1101" w:type="dxa"/>
            <w:vMerge w:val="continue"/>
            <w:tcBorders>
              <w:top w:val="nil"/>
            </w:tcBorders>
          </w:tcPr>
          <w:p>
            <w:pPr>
              <w:rPr>
                <w:color w:val="auto"/>
                <w:sz w:val="2"/>
                <w:szCs w:val="2"/>
                <w:highlight w:val="none"/>
                <w:lang w:eastAsia="zh-CN"/>
              </w:rPr>
            </w:pPr>
          </w:p>
        </w:tc>
        <w:tc>
          <w:tcPr>
            <w:tcW w:w="1134" w:type="dxa"/>
          </w:tcPr>
          <w:p>
            <w:pPr>
              <w:pStyle w:val="65"/>
              <w:rPr>
                <w:b/>
                <w:color w:val="auto"/>
                <w:sz w:val="20"/>
                <w:highlight w:val="none"/>
                <w:lang w:eastAsia="zh-CN"/>
              </w:rPr>
            </w:pPr>
          </w:p>
          <w:p>
            <w:pPr>
              <w:pStyle w:val="65"/>
              <w:rPr>
                <w:b/>
                <w:color w:val="auto"/>
                <w:sz w:val="20"/>
                <w:highlight w:val="none"/>
                <w:lang w:eastAsia="zh-CN"/>
              </w:rPr>
            </w:pPr>
          </w:p>
          <w:p>
            <w:pPr>
              <w:pStyle w:val="65"/>
              <w:spacing w:before="3"/>
              <w:rPr>
                <w:b/>
                <w:color w:val="auto"/>
                <w:sz w:val="27"/>
                <w:highlight w:val="none"/>
                <w:lang w:eastAsia="zh-CN"/>
              </w:rPr>
            </w:pPr>
          </w:p>
          <w:p>
            <w:pPr>
              <w:pStyle w:val="65"/>
              <w:ind w:left="124" w:right="118"/>
              <w:jc w:val="center"/>
              <w:rPr>
                <w:color w:val="auto"/>
                <w:sz w:val="21"/>
                <w:highlight w:val="none"/>
              </w:rPr>
            </w:pPr>
            <w:r>
              <w:rPr>
                <w:color w:val="auto"/>
                <w:sz w:val="21"/>
                <w:highlight w:val="none"/>
              </w:rPr>
              <w:t>立面图</w:t>
            </w:r>
          </w:p>
        </w:tc>
        <w:tc>
          <w:tcPr>
            <w:tcW w:w="5528" w:type="dxa"/>
          </w:tcPr>
          <w:p>
            <w:pPr>
              <w:pStyle w:val="65"/>
              <w:numPr>
                <w:ilvl w:val="0"/>
                <w:numId w:val="40"/>
              </w:numPr>
              <w:tabs>
                <w:tab w:val="left" w:pos="527"/>
                <w:tab w:val="left" w:pos="528"/>
              </w:tabs>
              <w:spacing w:before="105"/>
              <w:ind w:hanging="421"/>
              <w:rPr>
                <w:color w:val="auto"/>
                <w:sz w:val="21"/>
                <w:highlight w:val="none"/>
                <w:lang w:eastAsia="zh-CN"/>
              </w:rPr>
            </w:pPr>
            <w:r>
              <w:rPr>
                <w:color w:val="auto"/>
                <w:sz w:val="21"/>
                <w:highlight w:val="none"/>
                <w:lang w:eastAsia="zh-CN"/>
              </w:rPr>
              <w:t>表达幕墙的立面分格尺寸；</w:t>
            </w:r>
          </w:p>
          <w:p>
            <w:pPr>
              <w:pStyle w:val="65"/>
              <w:numPr>
                <w:ilvl w:val="0"/>
                <w:numId w:val="40"/>
              </w:numPr>
              <w:tabs>
                <w:tab w:val="left" w:pos="527"/>
                <w:tab w:val="left" w:pos="528"/>
              </w:tabs>
              <w:spacing w:before="130"/>
              <w:ind w:hanging="421"/>
              <w:rPr>
                <w:color w:val="auto"/>
                <w:sz w:val="21"/>
                <w:highlight w:val="none"/>
                <w:lang w:eastAsia="zh-CN"/>
              </w:rPr>
            </w:pPr>
            <w:r>
              <w:rPr>
                <w:color w:val="auto"/>
                <w:sz w:val="21"/>
                <w:highlight w:val="none"/>
                <w:lang w:eastAsia="zh-CN"/>
              </w:rPr>
              <w:t>标注说明幕墙的材质，各类玻璃的厚度及样式；</w:t>
            </w:r>
          </w:p>
          <w:p>
            <w:pPr>
              <w:pStyle w:val="65"/>
              <w:numPr>
                <w:ilvl w:val="0"/>
                <w:numId w:val="40"/>
              </w:numPr>
              <w:tabs>
                <w:tab w:val="left" w:pos="527"/>
                <w:tab w:val="left" w:pos="528"/>
              </w:tabs>
              <w:spacing w:before="131"/>
              <w:ind w:hanging="421"/>
              <w:rPr>
                <w:color w:val="auto"/>
                <w:sz w:val="21"/>
                <w:highlight w:val="none"/>
                <w:lang w:eastAsia="zh-CN"/>
              </w:rPr>
            </w:pPr>
            <w:r>
              <w:rPr>
                <w:color w:val="auto"/>
                <w:sz w:val="21"/>
                <w:highlight w:val="none"/>
                <w:lang w:eastAsia="zh-CN"/>
              </w:rPr>
              <w:t>表达消防救援口的位置；</w:t>
            </w:r>
          </w:p>
          <w:p>
            <w:pPr>
              <w:pStyle w:val="65"/>
              <w:numPr>
                <w:ilvl w:val="0"/>
                <w:numId w:val="40"/>
              </w:numPr>
              <w:tabs>
                <w:tab w:val="left" w:pos="527"/>
                <w:tab w:val="left" w:pos="528"/>
              </w:tabs>
              <w:spacing w:before="128"/>
              <w:ind w:hanging="421"/>
              <w:rPr>
                <w:color w:val="auto"/>
                <w:sz w:val="21"/>
                <w:highlight w:val="none"/>
              </w:rPr>
            </w:pPr>
            <w:r>
              <w:rPr>
                <w:color w:val="auto"/>
                <w:sz w:val="21"/>
                <w:highlight w:val="none"/>
              </w:rPr>
              <w:t>表达开启位置及方向；</w:t>
            </w:r>
          </w:p>
          <w:p>
            <w:pPr>
              <w:pStyle w:val="65"/>
              <w:numPr>
                <w:ilvl w:val="0"/>
                <w:numId w:val="40"/>
              </w:numPr>
              <w:tabs>
                <w:tab w:val="left" w:pos="527"/>
                <w:tab w:val="left" w:pos="528"/>
              </w:tabs>
              <w:spacing w:before="131"/>
              <w:ind w:hanging="421"/>
              <w:rPr>
                <w:color w:val="auto"/>
                <w:sz w:val="21"/>
                <w:highlight w:val="none"/>
                <w:lang w:eastAsia="zh-CN"/>
              </w:rPr>
            </w:pPr>
            <w:r>
              <w:rPr>
                <w:color w:val="auto"/>
                <w:sz w:val="21"/>
                <w:highlight w:val="none"/>
                <w:lang w:eastAsia="zh-CN"/>
              </w:rPr>
              <w:t>大样索引可在立面图上表示。</w:t>
            </w:r>
          </w:p>
        </w:tc>
        <w:tc>
          <w:tcPr>
            <w:tcW w:w="759" w:type="dxa"/>
            <w:vMerge w:val="continue"/>
            <w:tcBorders>
              <w:top w:val="nil"/>
            </w:tcBorders>
          </w:tcPr>
          <w:p>
            <w:pPr>
              <w:rPr>
                <w:color w:val="auto"/>
                <w:sz w:val="2"/>
                <w:szCs w:val="2"/>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0" w:hRule="atLeast"/>
        </w:trPr>
        <w:tc>
          <w:tcPr>
            <w:tcW w:w="1101" w:type="dxa"/>
            <w:vMerge w:val="continue"/>
            <w:tcBorders>
              <w:top w:val="nil"/>
            </w:tcBorders>
          </w:tcPr>
          <w:p>
            <w:pPr>
              <w:rPr>
                <w:color w:val="auto"/>
                <w:sz w:val="2"/>
                <w:szCs w:val="2"/>
                <w:highlight w:val="none"/>
                <w:lang w:eastAsia="zh-CN"/>
              </w:rPr>
            </w:pPr>
          </w:p>
        </w:tc>
        <w:tc>
          <w:tcPr>
            <w:tcW w:w="1134" w:type="dxa"/>
          </w:tcPr>
          <w:p>
            <w:pPr>
              <w:pStyle w:val="65"/>
              <w:rPr>
                <w:b/>
                <w:color w:val="auto"/>
                <w:sz w:val="20"/>
                <w:highlight w:val="none"/>
                <w:lang w:eastAsia="zh-CN"/>
              </w:rPr>
            </w:pPr>
          </w:p>
          <w:p>
            <w:pPr>
              <w:pStyle w:val="65"/>
              <w:rPr>
                <w:b/>
                <w:color w:val="auto"/>
                <w:sz w:val="20"/>
                <w:highlight w:val="none"/>
                <w:lang w:eastAsia="zh-CN"/>
              </w:rPr>
            </w:pPr>
          </w:p>
          <w:p>
            <w:pPr>
              <w:pStyle w:val="65"/>
              <w:rPr>
                <w:b/>
                <w:color w:val="auto"/>
                <w:sz w:val="20"/>
                <w:highlight w:val="none"/>
                <w:lang w:eastAsia="zh-CN"/>
              </w:rPr>
            </w:pPr>
          </w:p>
          <w:p>
            <w:pPr>
              <w:pStyle w:val="65"/>
              <w:rPr>
                <w:b/>
                <w:color w:val="auto"/>
                <w:sz w:val="20"/>
                <w:highlight w:val="none"/>
                <w:lang w:eastAsia="zh-CN"/>
              </w:rPr>
            </w:pPr>
          </w:p>
          <w:p>
            <w:pPr>
              <w:pStyle w:val="65"/>
              <w:rPr>
                <w:b/>
                <w:color w:val="auto"/>
                <w:sz w:val="20"/>
                <w:highlight w:val="none"/>
                <w:lang w:eastAsia="zh-CN"/>
              </w:rPr>
            </w:pPr>
          </w:p>
          <w:p>
            <w:pPr>
              <w:pStyle w:val="65"/>
              <w:rPr>
                <w:b/>
                <w:color w:val="auto"/>
                <w:sz w:val="20"/>
                <w:highlight w:val="none"/>
                <w:lang w:eastAsia="zh-CN"/>
              </w:rPr>
            </w:pPr>
          </w:p>
          <w:p>
            <w:pPr>
              <w:pStyle w:val="65"/>
              <w:rPr>
                <w:b/>
                <w:color w:val="auto"/>
                <w:sz w:val="20"/>
                <w:highlight w:val="none"/>
                <w:lang w:eastAsia="zh-CN"/>
              </w:rPr>
            </w:pPr>
          </w:p>
          <w:p>
            <w:pPr>
              <w:pStyle w:val="65"/>
              <w:rPr>
                <w:b/>
                <w:color w:val="auto"/>
                <w:sz w:val="20"/>
                <w:highlight w:val="none"/>
                <w:lang w:eastAsia="zh-CN"/>
              </w:rPr>
            </w:pPr>
          </w:p>
          <w:p>
            <w:pPr>
              <w:pStyle w:val="65"/>
              <w:spacing w:before="7"/>
              <w:rPr>
                <w:b/>
                <w:color w:val="auto"/>
                <w:sz w:val="16"/>
                <w:highlight w:val="none"/>
                <w:lang w:eastAsia="zh-CN"/>
              </w:rPr>
            </w:pPr>
          </w:p>
          <w:p>
            <w:pPr>
              <w:pStyle w:val="65"/>
              <w:ind w:left="124" w:right="118"/>
              <w:jc w:val="center"/>
              <w:rPr>
                <w:color w:val="auto"/>
                <w:sz w:val="21"/>
                <w:highlight w:val="none"/>
              </w:rPr>
            </w:pPr>
            <w:r>
              <w:rPr>
                <w:color w:val="auto"/>
                <w:sz w:val="21"/>
                <w:highlight w:val="none"/>
              </w:rPr>
              <w:t>大样图</w:t>
            </w:r>
          </w:p>
        </w:tc>
        <w:tc>
          <w:tcPr>
            <w:tcW w:w="5528" w:type="dxa"/>
          </w:tcPr>
          <w:p>
            <w:pPr>
              <w:pStyle w:val="65"/>
              <w:numPr>
                <w:ilvl w:val="0"/>
                <w:numId w:val="41"/>
              </w:numPr>
              <w:tabs>
                <w:tab w:val="left" w:pos="527"/>
                <w:tab w:val="left" w:pos="528"/>
              </w:tabs>
              <w:spacing w:before="106"/>
              <w:ind w:hanging="421"/>
              <w:rPr>
                <w:color w:val="auto"/>
                <w:sz w:val="21"/>
                <w:highlight w:val="none"/>
                <w:lang w:eastAsia="zh-CN"/>
              </w:rPr>
            </w:pPr>
            <w:r>
              <w:rPr>
                <w:color w:val="auto"/>
                <w:sz w:val="21"/>
                <w:highlight w:val="none"/>
                <w:lang w:eastAsia="zh-CN"/>
              </w:rPr>
              <w:t>绘制典型剖面的墙身大样；</w:t>
            </w:r>
          </w:p>
          <w:p>
            <w:pPr>
              <w:pStyle w:val="65"/>
              <w:numPr>
                <w:ilvl w:val="0"/>
                <w:numId w:val="41"/>
              </w:numPr>
              <w:tabs>
                <w:tab w:val="left" w:pos="527"/>
                <w:tab w:val="left" w:pos="528"/>
              </w:tabs>
              <w:spacing w:before="131"/>
              <w:ind w:hanging="421"/>
              <w:rPr>
                <w:color w:val="auto"/>
                <w:sz w:val="21"/>
                <w:highlight w:val="none"/>
                <w:lang w:eastAsia="zh-CN"/>
              </w:rPr>
            </w:pPr>
            <w:r>
              <w:rPr>
                <w:color w:val="auto"/>
                <w:sz w:val="21"/>
                <w:highlight w:val="none"/>
                <w:lang w:eastAsia="zh-CN"/>
              </w:rPr>
              <w:t>大样图上应包含所有不同构造及样式的立面；</w:t>
            </w:r>
          </w:p>
          <w:p>
            <w:pPr>
              <w:pStyle w:val="65"/>
              <w:numPr>
                <w:ilvl w:val="0"/>
                <w:numId w:val="41"/>
              </w:numPr>
              <w:tabs>
                <w:tab w:val="left" w:pos="527"/>
                <w:tab w:val="left" w:pos="528"/>
              </w:tabs>
              <w:spacing w:before="128" w:line="357" w:lineRule="auto"/>
              <w:ind w:right="159"/>
              <w:rPr>
                <w:color w:val="auto"/>
                <w:sz w:val="21"/>
                <w:highlight w:val="none"/>
                <w:lang w:eastAsia="zh-CN"/>
              </w:rPr>
            </w:pPr>
            <w:r>
              <w:rPr>
                <w:color w:val="auto"/>
                <w:w w:val="95"/>
                <w:sz w:val="21"/>
                <w:highlight w:val="none"/>
                <w:lang w:eastAsia="zh-CN"/>
              </w:rPr>
              <w:t xml:space="preserve">大样图中需绘制不同位置的横剖及纵剖，剖面中包含 </w:t>
            </w:r>
            <w:r>
              <w:rPr>
                <w:color w:val="auto"/>
                <w:sz w:val="21"/>
                <w:highlight w:val="none"/>
                <w:lang w:eastAsia="zh-CN"/>
              </w:rPr>
              <w:t>所有横竖龙骨且与节点中尺寸一致，不允许简化处 理；</w:t>
            </w:r>
          </w:p>
          <w:p>
            <w:pPr>
              <w:pStyle w:val="65"/>
              <w:numPr>
                <w:ilvl w:val="0"/>
                <w:numId w:val="41"/>
              </w:numPr>
              <w:tabs>
                <w:tab w:val="left" w:pos="527"/>
                <w:tab w:val="left" w:pos="528"/>
              </w:tabs>
              <w:spacing w:line="266" w:lineRule="exact"/>
              <w:ind w:hanging="421"/>
              <w:rPr>
                <w:color w:val="auto"/>
                <w:sz w:val="21"/>
                <w:highlight w:val="none"/>
                <w:lang w:eastAsia="zh-CN"/>
              </w:rPr>
            </w:pPr>
            <w:r>
              <w:rPr>
                <w:color w:val="auto"/>
                <w:sz w:val="21"/>
                <w:highlight w:val="none"/>
                <w:lang w:eastAsia="zh-CN"/>
              </w:rPr>
              <w:t>应明确各类封修及收口；</w:t>
            </w:r>
          </w:p>
          <w:p>
            <w:pPr>
              <w:pStyle w:val="65"/>
              <w:numPr>
                <w:ilvl w:val="0"/>
                <w:numId w:val="41"/>
              </w:numPr>
              <w:tabs>
                <w:tab w:val="left" w:pos="527"/>
                <w:tab w:val="left" w:pos="528"/>
              </w:tabs>
              <w:spacing w:before="130"/>
              <w:ind w:hanging="421"/>
              <w:rPr>
                <w:color w:val="auto"/>
                <w:sz w:val="21"/>
                <w:highlight w:val="none"/>
              </w:rPr>
            </w:pPr>
            <w:r>
              <w:rPr>
                <w:color w:val="auto"/>
                <w:sz w:val="21"/>
                <w:highlight w:val="none"/>
              </w:rPr>
              <w:t>材料表达清晰可辩；</w:t>
            </w:r>
          </w:p>
          <w:p>
            <w:pPr>
              <w:pStyle w:val="65"/>
              <w:numPr>
                <w:ilvl w:val="0"/>
                <w:numId w:val="41"/>
              </w:numPr>
              <w:tabs>
                <w:tab w:val="left" w:pos="527"/>
                <w:tab w:val="left" w:pos="528"/>
              </w:tabs>
              <w:spacing w:before="131"/>
              <w:ind w:hanging="421"/>
              <w:rPr>
                <w:color w:val="auto"/>
                <w:sz w:val="21"/>
                <w:highlight w:val="none"/>
                <w:lang w:eastAsia="zh-CN"/>
              </w:rPr>
            </w:pPr>
            <w:r>
              <w:rPr>
                <w:color w:val="auto"/>
                <w:sz w:val="21"/>
                <w:highlight w:val="none"/>
                <w:lang w:eastAsia="zh-CN"/>
              </w:rPr>
              <w:t>应表达层间防火封堵，层间墙体达到防火高度要求；</w:t>
            </w:r>
          </w:p>
          <w:p>
            <w:pPr>
              <w:pStyle w:val="65"/>
              <w:numPr>
                <w:ilvl w:val="0"/>
                <w:numId w:val="41"/>
              </w:numPr>
              <w:tabs>
                <w:tab w:val="left" w:pos="527"/>
                <w:tab w:val="left" w:pos="528"/>
              </w:tabs>
              <w:spacing w:before="128"/>
              <w:ind w:hanging="421"/>
              <w:rPr>
                <w:color w:val="auto"/>
                <w:sz w:val="21"/>
                <w:highlight w:val="none"/>
                <w:lang w:eastAsia="zh-CN"/>
              </w:rPr>
            </w:pPr>
            <w:r>
              <w:rPr>
                <w:color w:val="auto"/>
                <w:sz w:val="21"/>
                <w:highlight w:val="none"/>
                <w:lang w:eastAsia="zh-CN"/>
              </w:rPr>
              <w:t>保温材料应连续，合理空间预留；</w:t>
            </w:r>
          </w:p>
          <w:p>
            <w:pPr>
              <w:pStyle w:val="65"/>
              <w:numPr>
                <w:ilvl w:val="0"/>
                <w:numId w:val="41"/>
              </w:numPr>
              <w:tabs>
                <w:tab w:val="left" w:pos="527"/>
                <w:tab w:val="left" w:pos="528"/>
              </w:tabs>
              <w:spacing w:before="131"/>
              <w:ind w:hanging="421"/>
              <w:rPr>
                <w:color w:val="auto"/>
                <w:sz w:val="21"/>
                <w:highlight w:val="none"/>
                <w:lang w:eastAsia="zh-CN"/>
              </w:rPr>
            </w:pPr>
            <w:r>
              <w:rPr>
                <w:color w:val="auto"/>
                <w:sz w:val="21"/>
                <w:highlight w:val="none"/>
                <w:lang w:eastAsia="zh-CN"/>
              </w:rPr>
              <w:t>土建配合混凝土构件应标明；</w:t>
            </w:r>
          </w:p>
          <w:p>
            <w:pPr>
              <w:pStyle w:val="65"/>
              <w:numPr>
                <w:ilvl w:val="0"/>
                <w:numId w:val="41"/>
              </w:numPr>
              <w:tabs>
                <w:tab w:val="left" w:pos="527"/>
                <w:tab w:val="left" w:pos="528"/>
              </w:tabs>
              <w:spacing w:before="130"/>
              <w:ind w:hanging="421"/>
              <w:rPr>
                <w:color w:val="auto"/>
                <w:sz w:val="21"/>
                <w:highlight w:val="none"/>
              </w:rPr>
            </w:pPr>
            <w:r>
              <w:rPr>
                <w:color w:val="auto"/>
                <w:sz w:val="21"/>
                <w:highlight w:val="none"/>
              </w:rPr>
              <w:t>栏杆表达明确；</w:t>
            </w:r>
          </w:p>
          <w:p>
            <w:pPr>
              <w:pStyle w:val="65"/>
              <w:numPr>
                <w:ilvl w:val="0"/>
                <w:numId w:val="41"/>
              </w:numPr>
              <w:tabs>
                <w:tab w:val="left" w:pos="527"/>
                <w:tab w:val="left" w:pos="528"/>
              </w:tabs>
              <w:spacing w:before="129"/>
              <w:ind w:hanging="421"/>
              <w:rPr>
                <w:color w:val="auto"/>
                <w:sz w:val="21"/>
                <w:highlight w:val="none"/>
                <w:lang w:eastAsia="zh-CN"/>
              </w:rPr>
            </w:pPr>
            <w:r>
              <w:rPr>
                <w:color w:val="auto"/>
                <w:sz w:val="21"/>
                <w:highlight w:val="none"/>
                <w:lang w:eastAsia="zh-CN"/>
              </w:rPr>
              <w:t>室内及阳台装修线可辨识。</w:t>
            </w:r>
          </w:p>
        </w:tc>
        <w:tc>
          <w:tcPr>
            <w:tcW w:w="759" w:type="dxa"/>
            <w:vMerge w:val="continue"/>
            <w:tcBorders>
              <w:top w:val="nil"/>
            </w:tcBorders>
          </w:tcPr>
          <w:p>
            <w:pPr>
              <w:rPr>
                <w:color w:val="auto"/>
                <w:sz w:val="2"/>
                <w:szCs w:val="2"/>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7" w:hRule="atLeast"/>
        </w:trPr>
        <w:tc>
          <w:tcPr>
            <w:tcW w:w="1101" w:type="dxa"/>
            <w:vMerge w:val="continue"/>
            <w:tcBorders>
              <w:top w:val="nil"/>
            </w:tcBorders>
          </w:tcPr>
          <w:p>
            <w:pPr>
              <w:rPr>
                <w:color w:val="auto"/>
                <w:sz w:val="2"/>
                <w:szCs w:val="2"/>
                <w:highlight w:val="none"/>
                <w:lang w:eastAsia="zh-CN"/>
              </w:rPr>
            </w:pPr>
          </w:p>
        </w:tc>
        <w:tc>
          <w:tcPr>
            <w:tcW w:w="1134" w:type="dxa"/>
          </w:tcPr>
          <w:p>
            <w:pPr>
              <w:pStyle w:val="65"/>
              <w:rPr>
                <w:b/>
                <w:color w:val="auto"/>
                <w:sz w:val="20"/>
                <w:highlight w:val="none"/>
                <w:lang w:eastAsia="zh-CN"/>
              </w:rPr>
            </w:pPr>
          </w:p>
          <w:p>
            <w:pPr>
              <w:pStyle w:val="65"/>
              <w:rPr>
                <w:b/>
                <w:color w:val="auto"/>
                <w:sz w:val="20"/>
                <w:highlight w:val="none"/>
                <w:lang w:eastAsia="zh-CN"/>
              </w:rPr>
            </w:pPr>
          </w:p>
          <w:p>
            <w:pPr>
              <w:pStyle w:val="65"/>
              <w:rPr>
                <w:b/>
                <w:color w:val="auto"/>
                <w:sz w:val="20"/>
                <w:highlight w:val="none"/>
                <w:lang w:eastAsia="zh-CN"/>
              </w:rPr>
            </w:pPr>
          </w:p>
          <w:p>
            <w:pPr>
              <w:pStyle w:val="65"/>
              <w:spacing w:before="11"/>
              <w:rPr>
                <w:b/>
                <w:color w:val="auto"/>
                <w:highlight w:val="none"/>
                <w:lang w:eastAsia="zh-CN"/>
              </w:rPr>
            </w:pPr>
          </w:p>
          <w:p>
            <w:pPr>
              <w:pStyle w:val="65"/>
              <w:ind w:left="124" w:right="118"/>
              <w:jc w:val="center"/>
              <w:rPr>
                <w:color w:val="auto"/>
                <w:sz w:val="21"/>
                <w:highlight w:val="none"/>
              </w:rPr>
            </w:pPr>
            <w:r>
              <w:rPr>
                <w:color w:val="auto"/>
                <w:sz w:val="21"/>
                <w:highlight w:val="none"/>
              </w:rPr>
              <w:t>节点图</w:t>
            </w:r>
          </w:p>
        </w:tc>
        <w:tc>
          <w:tcPr>
            <w:tcW w:w="5528" w:type="dxa"/>
          </w:tcPr>
          <w:p>
            <w:pPr>
              <w:pStyle w:val="65"/>
              <w:numPr>
                <w:ilvl w:val="0"/>
                <w:numId w:val="42"/>
              </w:numPr>
              <w:tabs>
                <w:tab w:val="left" w:pos="527"/>
                <w:tab w:val="left" w:pos="528"/>
              </w:tabs>
              <w:spacing w:before="106"/>
              <w:ind w:hanging="421"/>
              <w:rPr>
                <w:color w:val="auto"/>
                <w:sz w:val="21"/>
                <w:highlight w:val="none"/>
              </w:rPr>
            </w:pPr>
            <w:r>
              <w:rPr>
                <w:color w:val="auto"/>
                <w:sz w:val="21"/>
                <w:highlight w:val="none"/>
              </w:rPr>
              <w:t>横剖和竖剖主节点图；</w:t>
            </w:r>
          </w:p>
          <w:p>
            <w:pPr>
              <w:pStyle w:val="65"/>
              <w:numPr>
                <w:ilvl w:val="0"/>
                <w:numId w:val="42"/>
              </w:numPr>
              <w:tabs>
                <w:tab w:val="left" w:pos="527"/>
                <w:tab w:val="left" w:pos="528"/>
              </w:tabs>
              <w:spacing w:before="130"/>
              <w:ind w:hanging="421"/>
              <w:rPr>
                <w:color w:val="auto"/>
                <w:sz w:val="21"/>
                <w:highlight w:val="none"/>
              </w:rPr>
            </w:pPr>
            <w:r>
              <w:rPr>
                <w:color w:val="auto"/>
                <w:sz w:val="21"/>
                <w:highlight w:val="none"/>
              </w:rPr>
              <w:t>开启扇连接节点图；</w:t>
            </w:r>
          </w:p>
          <w:p>
            <w:pPr>
              <w:pStyle w:val="65"/>
              <w:numPr>
                <w:ilvl w:val="0"/>
                <w:numId w:val="42"/>
              </w:numPr>
              <w:tabs>
                <w:tab w:val="left" w:pos="527"/>
                <w:tab w:val="left" w:pos="528"/>
              </w:tabs>
              <w:spacing w:before="128"/>
              <w:ind w:hanging="421"/>
              <w:rPr>
                <w:color w:val="auto"/>
                <w:sz w:val="21"/>
                <w:highlight w:val="none"/>
                <w:lang w:eastAsia="zh-CN"/>
              </w:rPr>
            </w:pPr>
            <w:r>
              <w:rPr>
                <w:color w:val="auto"/>
                <w:sz w:val="21"/>
                <w:highlight w:val="none"/>
                <w:lang w:eastAsia="zh-CN"/>
              </w:rPr>
              <w:t>不同类型幕墙交接节点图；</w:t>
            </w:r>
          </w:p>
          <w:p>
            <w:pPr>
              <w:pStyle w:val="65"/>
              <w:numPr>
                <w:ilvl w:val="0"/>
                <w:numId w:val="42"/>
              </w:numPr>
              <w:tabs>
                <w:tab w:val="left" w:pos="527"/>
                <w:tab w:val="left" w:pos="528"/>
              </w:tabs>
              <w:spacing w:before="131"/>
              <w:ind w:hanging="421"/>
              <w:rPr>
                <w:color w:val="auto"/>
                <w:sz w:val="21"/>
                <w:highlight w:val="none"/>
              </w:rPr>
            </w:pPr>
            <w:r>
              <w:rPr>
                <w:color w:val="auto"/>
                <w:sz w:val="21"/>
                <w:highlight w:val="none"/>
              </w:rPr>
              <w:t>阴阳转角节点图；</w:t>
            </w:r>
          </w:p>
          <w:p>
            <w:pPr>
              <w:pStyle w:val="65"/>
              <w:numPr>
                <w:ilvl w:val="0"/>
                <w:numId w:val="42"/>
              </w:numPr>
              <w:tabs>
                <w:tab w:val="left" w:pos="527"/>
                <w:tab w:val="left" w:pos="528"/>
              </w:tabs>
              <w:spacing w:before="131"/>
              <w:ind w:hanging="421"/>
              <w:rPr>
                <w:color w:val="auto"/>
                <w:sz w:val="21"/>
                <w:highlight w:val="none"/>
                <w:lang w:eastAsia="zh-CN"/>
              </w:rPr>
            </w:pPr>
            <w:r>
              <w:rPr>
                <w:color w:val="auto"/>
                <w:sz w:val="21"/>
                <w:highlight w:val="none"/>
                <w:lang w:eastAsia="zh-CN"/>
              </w:rPr>
              <w:t>封顶、封边、封底等封口节点图；</w:t>
            </w:r>
          </w:p>
          <w:p>
            <w:pPr>
              <w:pStyle w:val="65"/>
              <w:numPr>
                <w:ilvl w:val="0"/>
                <w:numId w:val="42"/>
              </w:numPr>
              <w:tabs>
                <w:tab w:val="left" w:pos="527"/>
                <w:tab w:val="left" w:pos="528"/>
              </w:tabs>
              <w:spacing w:before="128"/>
              <w:ind w:hanging="421"/>
              <w:rPr>
                <w:color w:val="auto"/>
                <w:sz w:val="21"/>
                <w:highlight w:val="none"/>
              </w:rPr>
            </w:pPr>
            <w:r>
              <w:rPr>
                <w:color w:val="auto"/>
                <w:sz w:val="21"/>
                <w:highlight w:val="none"/>
              </w:rPr>
              <w:t>典型防火节点图；</w:t>
            </w:r>
          </w:p>
        </w:tc>
        <w:tc>
          <w:tcPr>
            <w:tcW w:w="759" w:type="dxa"/>
            <w:vMerge w:val="continue"/>
            <w:tcBorders>
              <w:top w:val="nil"/>
            </w:tcBorders>
          </w:tcPr>
          <w:p>
            <w:pPr>
              <w:rPr>
                <w:color w:val="auto"/>
                <w:sz w:val="2"/>
                <w:szCs w:val="2"/>
                <w:highlight w:val="none"/>
              </w:rPr>
            </w:pPr>
          </w:p>
        </w:tc>
      </w:tr>
    </w:tbl>
    <w:p>
      <w:pPr>
        <w:rPr>
          <w:color w:val="auto"/>
          <w:sz w:val="2"/>
          <w:szCs w:val="2"/>
          <w:highlight w:val="none"/>
        </w:rPr>
        <w:sectPr>
          <w:pgSz w:w="11849" w:h="16792"/>
          <w:pgMar w:top="1417" w:right="850" w:bottom="1417" w:left="850" w:header="850" w:footer="850" w:gutter="0"/>
          <w:pgBorders>
            <w:top w:val="none" w:sz="0" w:space="0"/>
            <w:left w:val="none" w:sz="0" w:space="0"/>
            <w:bottom w:val="none" w:sz="0" w:space="0"/>
            <w:right w:val="none" w:sz="0" w:space="0"/>
          </w:pgBorders>
          <w:pgNumType w:fmt="decimal"/>
          <w:cols w:space="0" w:num="1"/>
          <w:rtlGutter w:val="0"/>
          <w:docGrid w:linePitch="0" w:charSpace="0"/>
        </w:sectPr>
      </w:pPr>
    </w:p>
    <w:tbl>
      <w:tblPr>
        <w:tblStyle w:val="104"/>
        <w:tblW w:w="0" w:type="auto"/>
        <w:tblInd w:w="7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1"/>
        <w:gridCol w:w="1134"/>
        <w:gridCol w:w="5528"/>
        <w:gridCol w:w="7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0" w:hRule="atLeast"/>
        </w:trPr>
        <w:tc>
          <w:tcPr>
            <w:tcW w:w="1101" w:type="dxa"/>
            <w:vMerge w:val="restart"/>
          </w:tcPr>
          <w:p>
            <w:pPr>
              <w:pStyle w:val="65"/>
              <w:rPr>
                <w:rFonts w:ascii="Times New Roman"/>
                <w:color w:val="auto"/>
                <w:sz w:val="20"/>
                <w:highlight w:val="none"/>
              </w:rPr>
            </w:pPr>
          </w:p>
        </w:tc>
        <w:tc>
          <w:tcPr>
            <w:tcW w:w="1134" w:type="dxa"/>
          </w:tcPr>
          <w:p>
            <w:pPr>
              <w:pStyle w:val="65"/>
              <w:rPr>
                <w:rFonts w:ascii="Times New Roman"/>
                <w:color w:val="auto"/>
                <w:sz w:val="20"/>
                <w:highlight w:val="none"/>
              </w:rPr>
            </w:pPr>
          </w:p>
        </w:tc>
        <w:tc>
          <w:tcPr>
            <w:tcW w:w="5528" w:type="dxa"/>
          </w:tcPr>
          <w:p>
            <w:pPr>
              <w:pStyle w:val="65"/>
              <w:numPr>
                <w:ilvl w:val="0"/>
                <w:numId w:val="43"/>
              </w:numPr>
              <w:tabs>
                <w:tab w:val="left" w:pos="527"/>
                <w:tab w:val="left" w:pos="528"/>
              </w:tabs>
              <w:spacing w:before="106"/>
              <w:ind w:hanging="421"/>
              <w:rPr>
                <w:color w:val="auto"/>
                <w:sz w:val="21"/>
                <w:highlight w:val="none"/>
              </w:rPr>
            </w:pPr>
            <w:r>
              <w:rPr>
                <w:color w:val="auto"/>
                <w:sz w:val="21"/>
                <w:highlight w:val="none"/>
              </w:rPr>
              <w:t>典型防雷节点图；</w:t>
            </w:r>
          </w:p>
          <w:p>
            <w:pPr>
              <w:pStyle w:val="65"/>
              <w:numPr>
                <w:ilvl w:val="0"/>
                <w:numId w:val="43"/>
              </w:numPr>
              <w:tabs>
                <w:tab w:val="left" w:pos="527"/>
                <w:tab w:val="left" w:pos="528"/>
              </w:tabs>
              <w:spacing w:before="130"/>
              <w:ind w:hanging="421"/>
              <w:rPr>
                <w:color w:val="auto"/>
                <w:sz w:val="21"/>
                <w:highlight w:val="none"/>
                <w:lang w:eastAsia="zh-CN"/>
              </w:rPr>
            </w:pPr>
            <w:r>
              <w:rPr>
                <w:color w:val="auto"/>
                <w:sz w:val="21"/>
                <w:highlight w:val="none"/>
                <w:lang w:eastAsia="zh-CN"/>
              </w:rPr>
              <w:t>沉降缝、伸缩缝和抗震缝处理节点图；</w:t>
            </w:r>
          </w:p>
          <w:p>
            <w:pPr>
              <w:pStyle w:val="65"/>
              <w:numPr>
                <w:ilvl w:val="0"/>
                <w:numId w:val="43"/>
              </w:numPr>
              <w:tabs>
                <w:tab w:val="left" w:pos="527"/>
                <w:tab w:val="left" w:pos="528"/>
              </w:tabs>
              <w:spacing w:before="128"/>
              <w:ind w:hanging="421"/>
              <w:rPr>
                <w:color w:val="auto"/>
                <w:sz w:val="21"/>
                <w:highlight w:val="none"/>
              </w:rPr>
            </w:pPr>
            <w:r>
              <w:rPr>
                <w:color w:val="auto"/>
                <w:sz w:val="21"/>
                <w:highlight w:val="none"/>
              </w:rPr>
              <w:t>主要型材断面图；</w:t>
            </w:r>
          </w:p>
          <w:p>
            <w:pPr>
              <w:pStyle w:val="65"/>
              <w:numPr>
                <w:ilvl w:val="0"/>
                <w:numId w:val="43"/>
              </w:numPr>
              <w:tabs>
                <w:tab w:val="left" w:pos="527"/>
                <w:tab w:val="left" w:pos="528"/>
              </w:tabs>
              <w:spacing w:before="131"/>
              <w:ind w:hanging="421"/>
              <w:rPr>
                <w:color w:val="auto"/>
                <w:sz w:val="21"/>
                <w:highlight w:val="none"/>
                <w:lang w:eastAsia="zh-CN"/>
              </w:rPr>
            </w:pPr>
            <w:r>
              <w:rPr>
                <w:color w:val="auto"/>
                <w:sz w:val="21"/>
                <w:highlight w:val="none"/>
                <w:lang w:eastAsia="zh-CN"/>
              </w:rPr>
              <w:t>金属幕墙板块典型加劲肋布置图；</w:t>
            </w:r>
          </w:p>
          <w:p>
            <w:pPr>
              <w:pStyle w:val="65"/>
              <w:numPr>
                <w:ilvl w:val="0"/>
                <w:numId w:val="43"/>
              </w:numPr>
              <w:tabs>
                <w:tab w:val="left" w:pos="527"/>
                <w:tab w:val="left" w:pos="528"/>
              </w:tabs>
              <w:spacing w:before="131"/>
              <w:ind w:hanging="421"/>
              <w:rPr>
                <w:color w:val="auto"/>
                <w:sz w:val="21"/>
                <w:highlight w:val="none"/>
                <w:lang w:eastAsia="zh-CN"/>
              </w:rPr>
            </w:pPr>
            <w:r>
              <w:rPr>
                <w:color w:val="auto"/>
                <w:sz w:val="21"/>
                <w:highlight w:val="none"/>
                <w:lang w:eastAsia="zh-CN"/>
              </w:rPr>
              <w:t>玻璃板块结构布胶工艺图；</w:t>
            </w:r>
          </w:p>
          <w:p>
            <w:pPr>
              <w:pStyle w:val="65"/>
              <w:numPr>
                <w:ilvl w:val="0"/>
                <w:numId w:val="43"/>
              </w:numPr>
              <w:tabs>
                <w:tab w:val="left" w:pos="527"/>
                <w:tab w:val="left" w:pos="528"/>
              </w:tabs>
              <w:spacing w:before="128" w:line="357" w:lineRule="auto"/>
              <w:ind w:right="159"/>
              <w:rPr>
                <w:color w:val="auto"/>
                <w:sz w:val="21"/>
                <w:highlight w:val="none"/>
                <w:lang w:eastAsia="zh-CN"/>
              </w:rPr>
            </w:pPr>
            <w:r>
              <w:rPr>
                <w:color w:val="auto"/>
                <w:w w:val="95"/>
                <w:sz w:val="21"/>
                <w:highlight w:val="none"/>
                <w:lang w:eastAsia="zh-CN"/>
              </w:rPr>
              <w:t xml:space="preserve">节点内相应信息应完整，立柱支座、结构胶尺寸、焊 </w:t>
            </w:r>
            <w:r>
              <w:rPr>
                <w:color w:val="auto"/>
                <w:sz w:val="21"/>
                <w:highlight w:val="none"/>
                <w:lang w:eastAsia="zh-CN"/>
              </w:rPr>
              <w:t>缝等均需表达</w:t>
            </w:r>
          </w:p>
          <w:p>
            <w:pPr>
              <w:pStyle w:val="65"/>
              <w:numPr>
                <w:ilvl w:val="0"/>
                <w:numId w:val="43"/>
              </w:numPr>
              <w:tabs>
                <w:tab w:val="left" w:pos="527"/>
                <w:tab w:val="left" w:pos="528"/>
              </w:tabs>
              <w:spacing w:line="269" w:lineRule="exact"/>
              <w:ind w:hanging="421"/>
              <w:rPr>
                <w:color w:val="auto"/>
                <w:sz w:val="21"/>
                <w:highlight w:val="none"/>
                <w:lang w:eastAsia="zh-CN"/>
              </w:rPr>
            </w:pPr>
            <w:r>
              <w:rPr>
                <w:color w:val="auto"/>
                <w:sz w:val="21"/>
                <w:highlight w:val="none"/>
                <w:lang w:eastAsia="zh-CN"/>
              </w:rPr>
              <w:t>安装节点具有可实施性。</w:t>
            </w:r>
          </w:p>
        </w:tc>
        <w:tc>
          <w:tcPr>
            <w:tcW w:w="759" w:type="dxa"/>
            <w:vMerge w:val="restart"/>
          </w:tcPr>
          <w:p>
            <w:pPr>
              <w:pStyle w:val="65"/>
              <w:rPr>
                <w:rFonts w:ascii="Times New Roman"/>
                <w:color w:val="auto"/>
                <w:sz w:val="2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0" w:hRule="atLeast"/>
        </w:trPr>
        <w:tc>
          <w:tcPr>
            <w:tcW w:w="1101" w:type="dxa"/>
            <w:vMerge w:val="continue"/>
            <w:tcBorders>
              <w:top w:val="nil"/>
            </w:tcBorders>
          </w:tcPr>
          <w:p>
            <w:pPr>
              <w:rPr>
                <w:color w:val="auto"/>
                <w:sz w:val="2"/>
                <w:szCs w:val="2"/>
                <w:highlight w:val="none"/>
                <w:lang w:eastAsia="zh-CN"/>
              </w:rPr>
            </w:pPr>
          </w:p>
        </w:tc>
        <w:tc>
          <w:tcPr>
            <w:tcW w:w="1134" w:type="dxa"/>
          </w:tcPr>
          <w:p>
            <w:pPr>
              <w:pStyle w:val="65"/>
              <w:rPr>
                <w:b/>
                <w:color w:val="auto"/>
                <w:sz w:val="20"/>
                <w:highlight w:val="none"/>
                <w:lang w:eastAsia="zh-CN"/>
              </w:rPr>
            </w:pPr>
          </w:p>
          <w:p>
            <w:pPr>
              <w:pStyle w:val="65"/>
              <w:rPr>
                <w:b/>
                <w:color w:val="auto"/>
                <w:sz w:val="20"/>
                <w:highlight w:val="none"/>
                <w:lang w:eastAsia="zh-CN"/>
              </w:rPr>
            </w:pPr>
          </w:p>
          <w:p>
            <w:pPr>
              <w:pStyle w:val="65"/>
              <w:rPr>
                <w:b/>
                <w:color w:val="auto"/>
                <w:sz w:val="20"/>
                <w:highlight w:val="none"/>
                <w:lang w:eastAsia="zh-CN"/>
              </w:rPr>
            </w:pPr>
          </w:p>
          <w:p>
            <w:pPr>
              <w:pStyle w:val="65"/>
              <w:rPr>
                <w:b/>
                <w:color w:val="auto"/>
                <w:sz w:val="20"/>
                <w:highlight w:val="none"/>
                <w:lang w:eastAsia="zh-CN"/>
              </w:rPr>
            </w:pPr>
          </w:p>
          <w:p>
            <w:pPr>
              <w:pStyle w:val="65"/>
              <w:spacing w:before="6"/>
              <w:rPr>
                <w:b/>
                <w:color w:val="auto"/>
                <w:sz w:val="18"/>
                <w:highlight w:val="none"/>
                <w:lang w:eastAsia="zh-CN"/>
              </w:rPr>
            </w:pPr>
          </w:p>
          <w:p>
            <w:pPr>
              <w:pStyle w:val="65"/>
              <w:spacing w:before="1"/>
              <w:ind w:left="124" w:right="118"/>
              <w:jc w:val="center"/>
              <w:rPr>
                <w:color w:val="auto"/>
                <w:sz w:val="21"/>
                <w:highlight w:val="none"/>
              </w:rPr>
            </w:pPr>
            <w:r>
              <w:rPr>
                <w:color w:val="auto"/>
                <w:sz w:val="21"/>
                <w:highlight w:val="none"/>
              </w:rPr>
              <w:t>埋件图</w:t>
            </w:r>
          </w:p>
        </w:tc>
        <w:tc>
          <w:tcPr>
            <w:tcW w:w="5528" w:type="dxa"/>
          </w:tcPr>
          <w:p>
            <w:pPr>
              <w:pStyle w:val="65"/>
              <w:numPr>
                <w:ilvl w:val="0"/>
                <w:numId w:val="44"/>
              </w:numPr>
              <w:tabs>
                <w:tab w:val="left" w:pos="527"/>
                <w:tab w:val="left" w:pos="528"/>
              </w:tabs>
              <w:spacing w:before="107"/>
              <w:ind w:hanging="421"/>
              <w:rPr>
                <w:color w:val="auto"/>
                <w:sz w:val="21"/>
                <w:highlight w:val="none"/>
                <w:lang w:eastAsia="zh-CN"/>
              </w:rPr>
            </w:pPr>
            <w:r>
              <w:rPr>
                <w:color w:val="auto"/>
                <w:sz w:val="21"/>
                <w:highlight w:val="none"/>
                <w:lang w:eastAsia="zh-CN"/>
              </w:rPr>
              <w:t>布置图与建筑平面、立面吻合；</w:t>
            </w:r>
          </w:p>
          <w:p>
            <w:pPr>
              <w:pStyle w:val="65"/>
              <w:numPr>
                <w:ilvl w:val="0"/>
                <w:numId w:val="44"/>
              </w:numPr>
              <w:tabs>
                <w:tab w:val="left" w:pos="527"/>
                <w:tab w:val="left" w:pos="528"/>
              </w:tabs>
              <w:spacing w:before="128"/>
              <w:ind w:hanging="421"/>
              <w:rPr>
                <w:color w:val="auto"/>
                <w:sz w:val="21"/>
                <w:highlight w:val="none"/>
                <w:lang w:eastAsia="zh-CN"/>
              </w:rPr>
            </w:pPr>
            <w:r>
              <w:rPr>
                <w:color w:val="auto"/>
                <w:sz w:val="21"/>
                <w:highlight w:val="none"/>
                <w:lang w:eastAsia="zh-CN"/>
              </w:rPr>
              <w:t>埋件必须设在混凝土结构上；</w:t>
            </w:r>
          </w:p>
          <w:p>
            <w:pPr>
              <w:pStyle w:val="65"/>
              <w:numPr>
                <w:ilvl w:val="0"/>
                <w:numId w:val="44"/>
              </w:numPr>
              <w:tabs>
                <w:tab w:val="left" w:pos="527"/>
                <w:tab w:val="left" w:pos="528"/>
              </w:tabs>
              <w:spacing w:before="131"/>
              <w:ind w:hanging="421"/>
              <w:rPr>
                <w:color w:val="auto"/>
                <w:sz w:val="21"/>
                <w:highlight w:val="none"/>
                <w:lang w:eastAsia="zh-CN"/>
              </w:rPr>
            </w:pPr>
            <w:r>
              <w:rPr>
                <w:color w:val="auto"/>
                <w:sz w:val="21"/>
                <w:highlight w:val="none"/>
                <w:lang w:eastAsia="zh-CN"/>
              </w:rPr>
              <w:t>埋件布置图应明确埋件的具体位置、形式；</w:t>
            </w:r>
          </w:p>
          <w:p>
            <w:pPr>
              <w:pStyle w:val="65"/>
              <w:numPr>
                <w:ilvl w:val="0"/>
                <w:numId w:val="44"/>
              </w:numPr>
              <w:tabs>
                <w:tab w:val="left" w:pos="527"/>
                <w:tab w:val="left" w:pos="528"/>
              </w:tabs>
              <w:spacing w:before="130" w:line="355" w:lineRule="auto"/>
              <w:ind w:right="159"/>
              <w:rPr>
                <w:color w:val="auto"/>
                <w:sz w:val="21"/>
                <w:highlight w:val="none"/>
                <w:lang w:eastAsia="zh-CN"/>
              </w:rPr>
            </w:pPr>
            <w:r>
              <w:rPr>
                <w:color w:val="auto"/>
                <w:w w:val="95"/>
                <w:sz w:val="21"/>
                <w:highlight w:val="none"/>
                <w:lang w:eastAsia="zh-CN"/>
              </w:rPr>
              <w:t xml:space="preserve">埋件加工图应明确埋板及锚筋的尺寸、材料、防腐、 </w:t>
            </w:r>
            <w:r>
              <w:rPr>
                <w:color w:val="auto"/>
                <w:sz w:val="21"/>
                <w:highlight w:val="none"/>
                <w:lang w:eastAsia="zh-CN"/>
              </w:rPr>
              <w:t>焊缝及检测要求；</w:t>
            </w:r>
          </w:p>
          <w:p>
            <w:pPr>
              <w:pStyle w:val="65"/>
              <w:numPr>
                <w:ilvl w:val="0"/>
                <w:numId w:val="44"/>
              </w:numPr>
              <w:tabs>
                <w:tab w:val="left" w:pos="527"/>
                <w:tab w:val="left" w:pos="528"/>
              </w:tabs>
              <w:spacing w:before="2"/>
              <w:ind w:hanging="421"/>
              <w:rPr>
                <w:color w:val="auto"/>
                <w:sz w:val="21"/>
                <w:highlight w:val="none"/>
                <w:lang w:eastAsia="zh-CN"/>
              </w:rPr>
            </w:pPr>
            <w:r>
              <w:rPr>
                <w:color w:val="auto"/>
                <w:sz w:val="21"/>
                <w:highlight w:val="none"/>
                <w:lang w:eastAsia="zh-CN"/>
              </w:rPr>
              <w:t>应绘制后置埋件加工图及补偏措施图并做要求及说</w:t>
            </w:r>
          </w:p>
          <w:p>
            <w:pPr>
              <w:pStyle w:val="65"/>
              <w:spacing w:before="132"/>
              <w:ind w:left="527"/>
              <w:rPr>
                <w:color w:val="auto"/>
                <w:sz w:val="21"/>
                <w:highlight w:val="none"/>
              </w:rPr>
            </w:pPr>
            <w:r>
              <w:rPr>
                <w:color w:val="auto"/>
                <w:sz w:val="21"/>
                <w:highlight w:val="none"/>
              </w:rPr>
              <w:t>明。</w:t>
            </w:r>
          </w:p>
        </w:tc>
        <w:tc>
          <w:tcPr>
            <w:tcW w:w="759" w:type="dxa"/>
            <w:vMerge w:val="continue"/>
            <w:tcBorders>
              <w:top w:val="nil"/>
            </w:tcBorders>
          </w:tcPr>
          <w:p>
            <w:pPr>
              <w:rPr>
                <w:color w:val="auto"/>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0" w:hRule="atLeast"/>
        </w:trPr>
        <w:tc>
          <w:tcPr>
            <w:tcW w:w="1101" w:type="dxa"/>
            <w:vMerge w:val="continue"/>
            <w:tcBorders>
              <w:top w:val="nil"/>
            </w:tcBorders>
          </w:tcPr>
          <w:p>
            <w:pPr>
              <w:rPr>
                <w:color w:val="auto"/>
                <w:sz w:val="2"/>
                <w:szCs w:val="2"/>
                <w:highlight w:val="none"/>
              </w:rPr>
            </w:pPr>
          </w:p>
        </w:tc>
        <w:tc>
          <w:tcPr>
            <w:tcW w:w="1134" w:type="dxa"/>
          </w:tcPr>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spacing w:before="6"/>
              <w:rPr>
                <w:b/>
                <w:color w:val="auto"/>
                <w:sz w:val="16"/>
                <w:highlight w:val="none"/>
              </w:rPr>
            </w:pPr>
          </w:p>
          <w:p>
            <w:pPr>
              <w:pStyle w:val="65"/>
              <w:ind w:left="124" w:right="118"/>
              <w:jc w:val="center"/>
              <w:rPr>
                <w:color w:val="auto"/>
                <w:sz w:val="21"/>
                <w:highlight w:val="none"/>
              </w:rPr>
            </w:pPr>
            <w:r>
              <w:rPr>
                <w:color w:val="auto"/>
                <w:sz w:val="21"/>
                <w:highlight w:val="none"/>
              </w:rPr>
              <w:t>计算书</w:t>
            </w:r>
          </w:p>
        </w:tc>
        <w:tc>
          <w:tcPr>
            <w:tcW w:w="5528" w:type="dxa"/>
          </w:tcPr>
          <w:p>
            <w:pPr>
              <w:pStyle w:val="65"/>
              <w:numPr>
                <w:ilvl w:val="0"/>
                <w:numId w:val="45"/>
              </w:numPr>
              <w:tabs>
                <w:tab w:val="left" w:pos="527"/>
                <w:tab w:val="left" w:pos="528"/>
              </w:tabs>
              <w:spacing w:before="105" w:line="357" w:lineRule="auto"/>
              <w:ind w:right="159"/>
              <w:rPr>
                <w:color w:val="auto"/>
                <w:sz w:val="21"/>
                <w:highlight w:val="none"/>
                <w:lang w:eastAsia="zh-CN"/>
              </w:rPr>
            </w:pPr>
            <w:r>
              <w:rPr>
                <w:color w:val="auto"/>
                <w:w w:val="95"/>
                <w:sz w:val="21"/>
                <w:highlight w:val="none"/>
                <w:lang w:eastAsia="zh-CN"/>
              </w:rPr>
              <w:t xml:space="preserve">结构设计使用年限、荷载取值（包括自重荷载、雪荷 </w:t>
            </w:r>
            <w:r>
              <w:rPr>
                <w:color w:val="auto"/>
                <w:sz w:val="21"/>
                <w:highlight w:val="none"/>
                <w:lang w:eastAsia="zh-CN"/>
              </w:rPr>
              <w:t>载、风荷载和地震作用等）；</w:t>
            </w:r>
          </w:p>
          <w:p>
            <w:pPr>
              <w:pStyle w:val="65"/>
              <w:numPr>
                <w:ilvl w:val="0"/>
                <w:numId w:val="45"/>
              </w:numPr>
              <w:tabs>
                <w:tab w:val="left" w:pos="527"/>
                <w:tab w:val="left" w:pos="528"/>
              </w:tabs>
              <w:spacing w:line="269" w:lineRule="exact"/>
              <w:ind w:hanging="421"/>
              <w:rPr>
                <w:color w:val="auto"/>
                <w:sz w:val="21"/>
                <w:highlight w:val="none"/>
                <w:lang w:eastAsia="zh-CN"/>
              </w:rPr>
            </w:pPr>
            <w:r>
              <w:rPr>
                <w:color w:val="auto"/>
                <w:sz w:val="21"/>
                <w:highlight w:val="none"/>
                <w:lang w:eastAsia="zh-CN"/>
              </w:rPr>
              <w:t>预埋件或后置埋件的承载力验算；</w:t>
            </w:r>
          </w:p>
          <w:p>
            <w:pPr>
              <w:pStyle w:val="65"/>
              <w:numPr>
                <w:ilvl w:val="0"/>
                <w:numId w:val="45"/>
              </w:numPr>
              <w:tabs>
                <w:tab w:val="left" w:pos="527"/>
                <w:tab w:val="left" w:pos="528"/>
              </w:tabs>
              <w:spacing w:before="128" w:line="357" w:lineRule="auto"/>
              <w:ind w:right="159"/>
              <w:rPr>
                <w:color w:val="auto"/>
                <w:sz w:val="21"/>
                <w:highlight w:val="none"/>
                <w:lang w:eastAsia="zh-CN"/>
              </w:rPr>
            </w:pPr>
            <w:r>
              <w:rPr>
                <w:color w:val="auto"/>
                <w:w w:val="95"/>
                <w:sz w:val="21"/>
                <w:highlight w:val="none"/>
                <w:lang w:eastAsia="zh-CN"/>
              </w:rPr>
              <w:t xml:space="preserve">幕墙支承体系（立柱、横梁及钢支架等）的计算边界 </w:t>
            </w:r>
            <w:r>
              <w:rPr>
                <w:color w:val="auto"/>
                <w:sz w:val="21"/>
                <w:highlight w:val="none"/>
                <w:lang w:eastAsia="zh-CN"/>
              </w:rPr>
              <w:t>条件；</w:t>
            </w:r>
          </w:p>
          <w:p>
            <w:pPr>
              <w:pStyle w:val="65"/>
              <w:numPr>
                <w:ilvl w:val="0"/>
                <w:numId w:val="45"/>
              </w:numPr>
              <w:tabs>
                <w:tab w:val="left" w:pos="527"/>
                <w:tab w:val="left" w:pos="528"/>
              </w:tabs>
              <w:spacing w:line="355" w:lineRule="auto"/>
              <w:ind w:right="159"/>
              <w:rPr>
                <w:color w:val="auto"/>
                <w:sz w:val="21"/>
                <w:highlight w:val="none"/>
                <w:lang w:eastAsia="zh-CN"/>
              </w:rPr>
            </w:pPr>
            <w:r>
              <w:rPr>
                <w:color w:val="auto"/>
                <w:w w:val="95"/>
                <w:sz w:val="21"/>
                <w:highlight w:val="none"/>
                <w:lang w:eastAsia="zh-CN"/>
              </w:rPr>
              <w:t xml:space="preserve">横梁与立柱的连接角码、埋板与立柱之间的连接角码 </w:t>
            </w:r>
            <w:r>
              <w:rPr>
                <w:color w:val="auto"/>
                <w:sz w:val="21"/>
                <w:highlight w:val="none"/>
                <w:lang w:eastAsia="zh-CN"/>
              </w:rPr>
              <w:t>的计算；</w:t>
            </w:r>
          </w:p>
          <w:p>
            <w:pPr>
              <w:pStyle w:val="65"/>
              <w:numPr>
                <w:ilvl w:val="0"/>
                <w:numId w:val="45"/>
              </w:numPr>
              <w:tabs>
                <w:tab w:val="left" w:pos="527"/>
                <w:tab w:val="left" w:pos="528"/>
              </w:tabs>
              <w:spacing w:line="357" w:lineRule="auto"/>
              <w:ind w:right="370"/>
              <w:rPr>
                <w:color w:val="auto"/>
                <w:sz w:val="21"/>
                <w:highlight w:val="none"/>
                <w:lang w:eastAsia="zh-CN"/>
              </w:rPr>
            </w:pPr>
            <w:r>
              <w:rPr>
                <w:color w:val="auto"/>
                <w:w w:val="95"/>
                <w:sz w:val="21"/>
                <w:highlight w:val="none"/>
                <w:lang w:eastAsia="zh-CN"/>
              </w:rPr>
              <w:t xml:space="preserve">所有受力的结构胶、螺钉、螺栓、锚栓和焊缝的计 </w:t>
            </w:r>
            <w:r>
              <w:rPr>
                <w:color w:val="auto"/>
                <w:sz w:val="21"/>
                <w:highlight w:val="none"/>
                <w:lang w:eastAsia="zh-CN"/>
              </w:rPr>
              <w:t>算；</w:t>
            </w:r>
          </w:p>
          <w:p>
            <w:pPr>
              <w:pStyle w:val="65"/>
              <w:numPr>
                <w:ilvl w:val="0"/>
                <w:numId w:val="45"/>
              </w:numPr>
              <w:tabs>
                <w:tab w:val="left" w:pos="527"/>
                <w:tab w:val="left" w:pos="528"/>
              </w:tabs>
              <w:spacing w:line="266" w:lineRule="exact"/>
              <w:ind w:hanging="421"/>
              <w:rPr>
                <w:color w:val="auto"/>
                <w:sz w:val="21"/>
                <w:highlight w:val="none"/>
              </w:rPr>
            </w:pPr>
            <w:r>
              <w:rPr>
                <w:color w:val="auto"/>
                <w:w w:val="95"/>
                <w:sz w:val="21"/>
                <w:highlight w:val="none"/>
              </w:rPr>
              <w:t>面板的计算；</w:t>
            </w:r>
          </w:p>
          <w:p>
            <w:pPr>
              <w:pStyle w:val="65"/>
              <w:numPr>
                <w:ilvl w:val="0"/>
                <w:numId w:val="45"/>
              </w:numPr>
              <w:tabs>
                <w:tab w:val="left" w:pos="527"/>
                <w:tab w:val="left" w:pos="528"/>
              </w:tabs>
              <w:spacing w:before="131"/>
              <w:ind w:hanging="421"/>
              <w:rPr>
                <w:color w:val="auto"/>
                <w:sz w:val="21"/>
                <w:highlight w:val="none"/>
              </w:rPr>
            </w:pPr>
            <w:r>
              <w:rPr>
                <w:color w:val="auto"/>
                <w:w w:val="95"/>
                <w:sz w:val="21"/>
                <w:highlight w:val="none"/>
              </w:rPr>
              <w:t>板缝的计算；</w:t>
            </w:r>
          </w:p>
          <w:p>
            <w:pPr>
              <w:pStyle w:val="65"/>
              <w:numPr>
                <w:ilvl w:val="0"/>
                <w:numId w:val="45"/>
              </w:numPr>
              <w:tabs>
                <w:tab w:val="left" w:pos="527"/>
                <w:tab w:val="left" w:pos="528"/>
              </w:tabs>
              <w:spacing w:before="131"/>
              <w:ind w:hanging="421"/>
              <w:rPr>
                <w:color w:val="auto"/>
                <w:sz w:val="21"/>
                <w:highlight w:val="none"/>
              </w:rPr>
            </w:pPr>
            <w:r>
              <w:rPr>
                <w:color w:val="auto"/>
                <w:sz w:val="21"/>
                <w:highlight w:val="none"/>
              </w:rPr>
              <w:t>其他构件计算。</w:t>
            </w:r>
          </w:p>
        </w:tc>
        <w:tc>
          <w:tcPr>
            <w:tcW w:w="759" w:type="dxa"/>
            <w:vMerge w:val="continue"/>
            <w:tcBorders>
              <w:top w:val="nil"/>
            </w:tcBorders>
          </w:tcPr>
          <w:p>
            <w:pPr>
              <w:rPr>
                <w:color w:val="auto"/>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1101" w:type="dxa"/>
          </w:tcPr>
          <w:p>
            <w:pPr>
              <w:pStyle w:val="65"/>
              <w:spacing w:before="98"/>
              <w:ind w:left="108"/>
              <w:rPr>
                <w:color w:val="auto"/>
                <w:highlight w:val="none"/>
              </w:rPr>
            </w:pPr>
            <w:r>
              <w:rPr>
                <w:color w:val="auto"/>
                <w:highlight w:val="none"/>
              </w:rPr>
              <w:t>施工阶段</w:t>
            </w:r>
          </w:p>
          <w:p>
            <w:pPr>
              <w:pStyle w:val="65"/>
              <w:spacing w:before="1" w:line="400" w:lineRule="atLeast"/>
              <w:ind w:left="329" w:right="99" w:hanging="221"/>
              <w:rPr>
                <w:color w:val="auto"/>
                <w:highlight w:val="none"/>
              </w:rPr>
            </w:pPr>
            <w:r>
              <w:rPr>
                <w:color w:val="auto"/>
                <w:highlight w:val="none"/>
              </w:rPr>
              <w:t>的监督及配合</w:t>
            </w:r>
          </w:p>
        </w:tc>
        <w:tc>
          <w:tcPr>
            <w:tcW w:w="6662" w:type="dxa"/>
            <w:gridSpan w:val="2"/>
          </w:tcPr>
          <w:p>
            <w:pPr>
              <w:pStyle w:val="65"/>
              <w:spacing w:before="108" w:line="355" w:lineRule="auto"/>
              <w:ind w:left="106" w:right="245" w:firstLine="420"/>
              <w:rPr>
                <w:color w:val="auto"/>
                <w:sz w:val="21"/>
                <w:highlight w:val="none"/>
                <w:lang w:eastAsia="zh-CN"/>
              </w:rPr>
            </w:pPr>
            <w:r>
              <w:rPr>
                <w:color w:val="auto"/>
                <w:w w:val="95"/>
                <w:sz w:val="21"/>
                <w:highlight w:val="none"/>
                <w:lang w:eastAsia="zh-CN"/>
              </w:rPr>
              <w:t>幕墙安装施工前，对项目部、施工单位进行技术交底。在幕墙安 装实施过程中，针对施工现场出现的实际情况，做好配合服务工作，</w:t>
            </w:r>
          </w:p>
          <w:p>
            <w:pPr>
              <w:pStyle w:val="65"/>
              <w:spacing w:before="3"/>
              <w:ind w:left="106"/>
              <w:rPr>
                <w:color w:val="auto"/>
                <w:sz w:val="21"/>
                <w:highlight w:val="none"/>
                <w:lang w:eastAsia="zh-CN"/>
              </w:rPr>
            </w:pPr>
            <w:r>
              <w:rPr>
                <w:color w:val="auto"/>
                <w:sz w:val="21"/>
                <w:highlight w:val="none"/>
                <w:lang w:eastAsia="zh-CN"/>
              </w:rPr>
              <w:t>及时提出针对性的处理方案和措施。</w:t>
            </w:r>
          </w:p>
        </w:tc>
        <w:tc>
          <w:tcPr>
            <w:tcW w:w="759" w:type="dxa"/>
          </w:tcPr>
          <w:p>
            <w:pPr>
              <w:pStyle w:val="65"/>
              <w:spacing w:before="122"/>
              <w:ind w:left="107"/>
              <w:rPr>
                <w:rFonts w:ascii="Times New Roman"/>
                <w:color w:val="auto"/>
                <w:sz w:val="21"/>
                <w:highlight w:val="none"/>
              </w:rPr>
            </w:pPr>
            <w:r>
              <w:rPr>
                <w:rFonts w:ascii="Times New Roman"/>
                <w:color w:val="auto"/>
                <w:w w:val="99"/>
                <w:sz w:val="21"/>
                <w:highlight w:val="none"/>
              </w:rPr>
              <w:t>/</w:t>
            </w:r>
          </w:p>
        </w:tc>
      </w:tr>
    </w:tbl>
    <w:p>
      <w:pPr>
        <w:pStyle w:val="17"/>
        <w:ind w:left="0"/>
        <w:rPr>
          <w:color w:val="auto"/>
          <w:highlight w:val="none"/>
        </w:rPr>
      </w:pPr>
      <w:bookmarkStart w:id="169" w:name="附件三：设计进度及成果提交"/>
      <w:bookmarkEnd w:id="169"/>
    </w:p>
    <w:p>
      <w:pPr>
        <w:rPr>
          <w:color w:val="auto"/>
          <w:highlight w:val="none"/>
        </w:rPr>
        <w:sectPr>
          <w:pgSz w:w="11849" w:h="16792"/>
          <w:pgMar w:top="1417" w:right="907" w:bottom="1417" w:left="907" w:header="850" w:footer="850" w:gutter="0"/>
          <w:pgBorders>
            <w:top w:val="none" w:sz="0" w:space="0"/>
            <w:left w:val="none" w:sz="0" w:space="0"/>
            <w:bottom w:val="none" w:sz="0" w:space="0"/>
            <w:right w:val="none" w:sz="0" w:space="0"/>
          </w:pgBorders>
          <w:pgNumType w:fmt="decimal"/>
          <w:cols w:space="0" w:num="1"/>
          <w:rtlGutter w:val="0"/>
          <w:docGrid w:linePitch="0" w:charSpace="0"/>
        </w:sectPr>
      </w:pPr>
    </w:p>
    <w:p>
      <w:pPr>
        <w:spacing w:before="47" w:after="21"/>
        <w:ind w:left="820"/>
        <w:rPr>
          <w:b/>
          <w:color w:val="auto"/>
          <w:sz w:val="21"/>
          <w:highlight w:val="none"/>
          <w:lang w:eastAsia="zh-CN"/>
        </w:rPr>
      </w:pPr>
      <w:bookmarkStart w:id="170" w:name="附件四：乙方设计团队主要人员名单"/>
      <w:bookmarkEnd w:id="170"/>
      <w:r>
        <w:rPr>
          <w:b/>
          <w:color w:val="auto"/>
          <w:sz w:val="21"/>
          <w:highlight w:val="none"/>
          <w:lang w:eastAsia="zh-CN"/>
        </w:rPr>
        <w:t>附件三：设计进度及成果提交</w:t>
      </w:r>
    </w:p>
    <w:tbl>
      <w:tblPr>
        <w:tblStyle w:val="104"/>
        <w:tblW w:w="0" w:type="auto"/>
        <w:tblInd w:w="8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
        <w:gridCol w:w="2890"/>
        <w:gridCol w:w="2194"/>
        <w:gridCol w:w="1275"/>
        <w:gridCol w:w="12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567" w:type="dxa"/>
          </w:tcPr>
          <w:p>
            <w:pPr>
              <w:pStyle w:val="65"/>
              <w:spacing w:before="125"/>
              <w:ind w:left="49" w:right="45"/>
              <w:jc w:val="center"/>
              <w:rPr>
                <w:b/>
                <w:color w:val="auto"/>
                <w:sz w:val="21"/>
                <w:highlight w:val="none"/>
              </w:rPr>
            </w:pPr>
            <w:r>
              <w:rPr>
                <w:b/>
                <w:color w:val="auto"/>
                <w:sz w:val="21"/>
                <w:highlight w:val="none"/>
              </w:rPr>
              <w:t>序号</w:t>
            </w:r>
          </w:p>
        </w:tc>
        <w:tc>
          <w:tcPr>
            <w:tcW w:w="2890" w:type="dxa"/>
          </w:tcPr>
          <w:p>
            <w:pPr>
              <w:pStyle w:val="65"/>
              <w:spacing w:before="125"/>
              <w:ind w:left="706"/>
              <w:rPr>
                <w:b/>
                <w:color w:val="auto"/>
                <w:sz w:val="21"/>
                <w:highlight w:val="none"/>
              </w:rPr>
            </w:pPr>
            <w:r>
              <w:rPr>
                <w:b/>
                <w:color w:val="auto"/>
                <w:sz w:val="21"/>
                <w:highlight w:val="none"/>
              </w:rPr>
              <w:t>资料及文件名称</w:t>
            </w:r>
          </w:p>
        </w:tc>
        <w:tc>
          <w:tcPr>
            <w:tcW w:w="2194" w:type="dxa"/>
          </w:tcPr>
          <w:p>
            <w:pPr>
              <w:pStyle w:val="65"/>
              <w:spacing w:before="125"/>
              <w:ind w:left="674"/>
              <w:rPr>
                <w:b/>
                <w:color w:val="auto"/>
                <w:sz w:val="21"/>
                <w:highlight w:val="none"/>
              </w:rPr>
            </w:pPr>
            <w:r>
              <w:rPr>
                <w:b/>
                <w:color w:val="auto"/>
                <w:sz w:val="21"/>
                <w:highlight w:val="none"/>
              </w:rPr>
              <w:t>设计周期</w:t>
            </w:r>
          </w:p>
        </w:tc>
        <w:tc>
          <w:tcPr>
            <w:tcW w:w="1275" w:type="dxa"/>
          </w:tcPr>
          <w:p>
            <w:pPr>
              <w:pStyle w:val="65"/>
              <w:spacing w:before="125"/>
              <w:ind w:left="195" w:right="186"/>
              <w:jc w:val="center"/>
              <w:rPr>
                <w:b/>
                <w:color w:val="auto"/>
                <w:sz w:val="21"/>
                <w:highlight w:val="none"/>
              </w:rPr>
            </w:pPr>
            <w:r>
              <w:rPr>
                <w:b/>
                <w:color w:val="auto"/>
                <w:sz w:val="21"/>
                <w:highlight w:val="none"/>
              </w:rPr>
              <w:t>提交份数</w:t>
            </w:r>
          </w:p>
        </w:tc>
        <w:tc>
          <w:tcPr>
            <w:tcW w:w="1294" w:type="dxa"/>
          </w:tcPr>
          <w:p>
            <w:pPr>
              <w:pStyle w:val="65"/>
              <w:spacing w:before="125"/>
              <w:ind w:left="435"/>
              <w:rPr>
                <w:b/>
                <w:color w:val="auto"/>
                <w:sz w:val="21"/>
                <w:highlight w:val="none"/>
              </w:rPr>
            </w:pPr>
            <w:r>
              <w:rPr>
                <w:b/>
                <w:color w:val="auto"/>
                <w:sz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67" w:type="dxa"/>
          </w:tcPr>
          <w:p>
            <w:pPr>
              <w:pStyle w:val="65"/>
              <w:spacing w:before="115"/>
              <w:ind w:left="10"/>
              <w:jc w:val="center"/>
              <w:rPr>
                <w:rFonts w:hint="eastAsia" w:eastAsia="宋体"/>
                <w:color w:val="auto"/>
                <w:sz w:val="21"/>
                <w:highlight w:val="none"/>
                <w:lang w:eastAsia="zh-CN"/>
              </w:rPr>
            </w:pPr>
            <w:r>
              <w:rPr>
                <w:rFonts w:hint="eastAsia" w:ascii="Times New Roman" w:hAnsi="Times New Roman"/>
                <w:color w:val="auto"/>
                <w:w w:val="99"/>
                <w:sz w:val="21"/>
                <w:highlight w:val="none"/>
                <w:lang w:eastAsia="zh-CN"/>
              </w:rPr>
              <w:t>1</w:t>
            </w:r>
          </w:p>
        </w:tc>
        <w:tc>
          <w:tcPr>
            <w:tcW w:w="2890" w:type="dxa"/>
          </w:tcPr>
          <w:p>
            <w:pPr>
              <w:pStyle w:val="65"/>
              <w:spacing w:before="115"/>
              <w:ind w:left="14"/>
              <w:rPr>
                <w:color w:val="auto"/>
                <w:sz w:val="21"/>
                <w:highlight w:val="none"/>
                <w:lang w:eastAsia="zh-CN"/>
              </w:rPr>
            </w:pPr>
            <w:r>
              <w:rPr>
                <w:color w:val="auto"/>
                <w:sz w:val="21"/>
                <w:highlight w:val="none"/>
                <w:lang w:eastAsia="zh-CN"/>
              </w:rPr>
              <w:t>建筑工程方案设计成果</w:t>
            </w:r>
          </w:p>
        </w:tc>
        <w:tc>
          <w:tcPr>
            <w:tcW w:w="2194" w:type="dxa"/>
          </w:tcPr>
          <w:p>
            <w:pPr>
              <w:pStyle w:val="65"/>
              <w:spacing w:before="115"/>
              <w:ind w:left="465"/>
              <w:rPr>
                <w:color w:val="auto"/>
                <w:sz w:val="21"/>
                <w:highlight w:val="none"/>
              </w:rPr>
            </w:pPr>
            <w:r>
              <w:rPr>
                <w:color w:val="auto"/>
                <w:sz w:val="21"/>
                <w:highlight w:val="none"/>
              </w:rPr>
              <w:t>另行协商</w:t>
            </w:r>
          </w:p>
        </w:tc>
        <w:tc>
          <w:tcPr>
            <w:tcW w:w="1275" w:type="dxa"/>
          </w:tcPr>
          <w:p>
            <w:pPr>
              <w:pStyle w:val="65"/>
              <w:spacing w:before="129"/>
              <w:ind w:left="10"/>
              <w:jc w:val="center"/>
              <w:rPr>
                <w:rFonts w:hint="eastAsia" w:ascii="Times New Roman" w:eastAsia="宋体"/>
                <w:color w:val="auto"/>
                <w:sz w:val="21"/>
                <w:highlight w:val="none"/>
                <w:lang w:eastAsia="zh-CN"/>
              </w:rPr>
            </w:pPr>
            <w:r>
              <w:rPr>
                <w:rFonts w:hint="eastAsia" w:ascii="Times New Roman" w:hAnsi="Times New Roman"/>
                <w:color w:val="auto"/>
                <w:w w:val="99"/>
                <w:sz w:val="21"/>
                <w:highlight w:val="none"/>
                <w:lang w:eastAsia="zh-CN"/>
              </w:rPr>
              <w:t>6</w:t>
            </w:r>
          </w:p>
        </w:tc>
        <w:tc>
          <w:tcPr>
            <w:tcW w:w="1294" w:type="dxa"/>
          </w:tcPr>
          <w:p>
            <w:pPr>
              <w:pStyle w:val="6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67" w:type="dxa"/>
          </w:tcPr>
          <w:p>
            <w:pPr>
              <w:pStyle w:val="65"/>
              <w:spacing w:before="115"/>
              <w:ind w:left="10"/>
              <w:jc w:val="center"/>
              <w:rPr>
                <w:rFonts w:hint="eastAsia" w:eastAsia="宋体"/>
                <w:color w:val="auto"/>
                <w:sz w:val="21"/>
                <w:highlight w:val="none"/>
                <w:lang w:eastAsia="zh-CN"/>
              </w:rPr>
            </w:pPr>
            <w:r>
              <w:rPr>
                <w:rFonts w:hint="eastAsia" w:ascii="Times New Roman" w:hAnsi="Times New Roman"/>
                <w:color w:val="auto"/>
                <w:w w:val="99"/>
                <w:sz w:val="21"/>
                <w:highlight w:val="none"/>
                <w:lang w:eastAsia="zh-CN"/>
              </w:rPr>
              <w:t>2</w:t>
            </w:r>
          </w:p>
        </w:tc>
        <w:tc>
          <w:tcPr>
            <w:tcW w:w="2890" w:type="dxa"/>
          </w:tcPr>
          <w:p>
            <w:pPr>
              <w:pStyle w:val="65"/>
              <w:spacing w:before="115"/>
              <w:ind w:left="14"/>
              <w:rPr>
                <w:color w:val="auto"/>
                <w:sz w:val="21"/>
                <w:highlight w:val="none"/>
                <w:lang w:eastAsia="zh-CN"/>
              </w:rPr>
            </w:pPr>
            <w:r>
              <w:rPr>
                <w:color w:val="auto"/>
                <w:sz w:val="21"/>
                <w:highlight w:val="none"/>
                <w:lang w:eastAsia="zh-CN"/>
              </w:rPr>
              <w:t>建筑工程初步设计成果</w:t>
            </w:r>
          </w:p>
        </w:tc>
        <w:tc>
          <w:tcPr>
            <w:tcW w:w="2194" w:type="dxa"/>
          </w:tcPr>
          <w:p>
            <w:pPr>
              <w:pStyle w:val="65"/>
              <w:spacing w:before="115"/>
              <w:ind w:left="465"/>
              <w:rPr>
                <w:color w:val="auto"/>
                <w:sz w:val="21"/>
                <w:highlight w:val="none"/>
              </w:rPr>
            </w:pPr>
            <w:r>
              <w:rPr>
                <w:color w:val="auto"/>
                <w:sz w:val="21"/>
                <w:highlight w:val="none"/>
              </w:rPr>
              <w:t>另行协商</w:t>
            </w:r>
          </w:p>
        </w:tc>
        <w:tc>
          <w:tcPr>
            <w:tcW w:w="1275" w:type="dxa"/>
          </w:tcPr>
          <w:p>
            <w:pPr>
              <w:pStyle w:val="65"/>
              <w:spacing w:before="129"/>
              <w:ind w:left="10"/>
              <w:jc w:val="center"/>
              <w:rPr>
                <w:rFonts w:hint="eastAsia" w:ascii="Times New Roman" w:eastAsia="宋体"/>
                <w:color w:val="auto"/>
                <w:sz w:val="21"/>
                <w:highlight w:val="none"/>
                <w:lang w:eastAsia="zh-CN"/>
              </w:rPr>
            </w:pPr>
            <w:r>
              <w:rPr>
                <w:rFonts w:hint="eastAsia" w:ascii="Times New Roman" w:hAnsi="Times New Roman"/>
                <w:color w:val="auto"/>
                <w:w w:val="99"/>
                <w:sz w:val="21"/>
                <w:highlight w:val="none"/>
                <w:lang w:eastAsia="zh-CN"/>
              </w:rPr>
              <w:t>6</w:t>
            </w:r>
          </w:p>
        </w:tc>
        <w:tc>
          <w:tcPr>
            <w:tcW w:w="1294" w:type="dxa"/>
          </w:tcPr>
          <w:p>
            <w:pPr>
              <w:pStyle w:val="6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67" w:type="dxa"/>
          </w:tcPr>
          <w:p>
            <w:pPr>
              <w:pStyle w:val="65"/>
              <w:spacing w:before="116"/>
              <w:ind w:left="10"/>
              <w:jc w:val="center"/>
              <w:rPr>
                <w:rFonts w:hint="eastAsia" w:eastAsia="宋体"/>
                <w:color w:val="auto"/>
                <w:sz w:val="21"/>
                <w:highlight w:val="none"/>
                <w:lang w:eastAsia="zh-CN"/>
              </w:rPr>
            </w:pPr>
            <w:r>
              <w:rPr>
                <w:rFonts w:hint="eastAsia" w:ascii="Times New Roman" w:hAnsi="Times New Roman"/>
                <w:color w:val="auto"/>
                <w:w w:val="99"/>
                <w:sz w:val="21"/>
                <w:highlight w:val="none"/>
                <w:lang w:eastAsia="zh-CN"/>
              </w:rPr>
              <w:t>3</w:t>
            </w:r>
          </w:p>
        </w:tc>
        <w:tc>
          <w:tcPr>
            <w:tcW w:w="2890" w:type="dxa"/>
          </w:tcPr>
          <w:p>
            <w:pPr>
              <w:pStyle w:val="65"/>
              <w:spacing w:before="116"/>
              <w:ind w:left="14"/>
              <w:rPr>
                <w:color w:val="auto"/>
                <w:sz w:val="21"/>
                <w:highlight w:val="none"/>
                <w:lang w:eastAsia="zh-CN"/>
              </w:rPr>
            </w:pPr>
            <w:r>
              <w:rPr>
                <w:color w:val="auto"/>
                <w:sz w:val="21"/>
                <w:highlight w:val="none"/>
                <w:lang w:eastAsia="zh-CN"/>
              </w:rPr>
              <w:t>建筑工程施工图设计成果</w:t>
            </w:r>
          </w:p>
        </w:tc>
        <w:tc>
          <w:tcPr>
            <w:tcW w:w="2194" w:type="dxa"/>
          </w:tcPr>
          <w:p>
            <w:pPr>
              <w:pStyle w:val="65"/>
              <w:spacing w:before="116"/>
              <w:ind w:left="465"/>
              <w:rPr>
                <w:color w:val="auto"/>
                <w:sz w:val="21"/>
                <w:highlight w:val="none"/>
              </w:rPr>
            </w:pPr>
            <w:r>
              <w:rPr>
                <w:color w:val="auto"/>
                <w:sz w:val="21"/>
                <w:highlight w:val="none"/>
              </w:rPr>
              <w:t>另行协商</w:t>
            </w:r>
          </w:p>
        </w:tc>
        <w:tc>
          <w:tcPr>
            <w:tcW w:w="1275" w:type="dxa"/>
          </w:tcPr>
          <w:p>
            <w:pPr>
              <w:pStyle w:val="65"/>
              <w:spacing w:before="129"/>
              <w:ind w:left="195" w:right="185"/>
              <w:jc w:val="center"/>
              <w:rPr>
                <w:rFonts w:hint="eastAsia" w:ascii="Times New Roman" w:eastAsia="宋体"/>
                <w:color w:val="auto"/>
                <w:sz w:val="21"/>
                <w:highlight w:val="none"/>
                <w:lang w:eastAsia="zh-CN"/>
              </w:rPr>
            </w:pPr>
            <w:r>
              <w:rPr>
                <w:rFonts w:hint="eastAsia" w:ascii="Times New Roman" w:hAnsi="Times New Roman"/>
                <w:color w:val="auto"/>
                <w:sz w:val="21"/>
                <w:highlight w:val="none"/>
                <w:lang w:eastAsia="zh-CN"/>
              </w:rPr>
              <w:t>12</w:t>
            </w:r>
          </w:p>
        </w:tc>
        <w:tc>
          <w:tcPr>
            <w:tcW w:w="1294" w:type="dxa"/>
          </w:tcPr>
          <w:p>
            <w:pPr>
              <w:pStyle w:val="6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67" w:type="dxa"/>
          </w:tcPr>
          <w:p>
            <w:pPr>
              <w:pStyle w:val="65"/>
              <w:spacing w:before="116"/>
              <w:ind w:left="10"/>
              <w:jc w:val="center"/>
              <w:rPr>
                <w:rFonts w:hint="eastAsia" w:eastAsia="宋体"/>
                <w:color w:val="auto"/>
                <w:sz w:val="21"/>
                <w:highlight w:val="none"/>
                <w:lang w:eastAsia="zh-CN"/>
              </w:rPr>
            </w:pPr>
            <w:r>
              <w:rPr>
                <w:rFonts w:hint="eastAsia" w:ascii="Times New Roman" w:hAnsi="Times New Roman"/>
                <w:color w:val="auto"/>
                <w:w w:val="99"/>
                <w:sz w:val="21"/>
                <w:highlight w:val="none"/>
                <w:lang w:eastAsia="zh-CN"/>
              </w:rPr>
              <w:t>4</w:t>
            </w:r>
          </w:p>
        </w:tc>
        <w:tc>
          <w:tcPr>
            <w:tcW w:w="2890" w:type="dxa"/>
          </w:tcPr>
          <w:p>
            <w:pPr>
              <w:pStyle w:val="65"/>
              <w:spacing w:before="116"/>
              <w:ind w:left="14"/>
              <w:rPr>
                <w:color w:val="auto"/>
                <w:sz w:val="21"/>
                <w:highlight w:val="none"/>
                <w:lang w:eastAsia="zh-CN"/>
              </w:rPr>
            </w:pPr>
            <w:r>
              <w:rPr>
                <w:color w:val="auto"/>
                <w:sz w:val="21"/>
                <w:highlight w:val="none"/>
                <w:lang w:eastAsia="zh-CN"/>
              </w:rPr>
              <w:t>其他专项设计施工图设计成果</w:t>
            </w:r>
          </w:p>
        </w:tc>
        <w:tc>
          <w:tcPr>
            <w:tcW w:w="2194" w:type="dxa"/>
          </w:tcPr>
          <w:p>
            <w:pPr>
              <w:pStyle w:val="65"/>
              <w:spacing w:before="116"/>
              <w:ind w:left="465"/>
              <w:rPr>
                <w:color w:val="auto"/>
                <w:sz w:val="21"/>
                <w:highlight w:val="none"/>
              </w:rPr>
            </w:pPr>
            <w:r>
              <w:rPr>
                <w:color w:val="auto"/>
                <w:sz w:val="21"/>
                <w:highlight w:val="none"/>
              </w:rPr>
              <w:t>另行协商</w:t>
            </w:r>
          </w:p>
        </w:tc>
        <w:tc>
          <w:tcPr>
            <w:tcW w:w="1275" w:type="dxa"/>
          </w:tcPr>
          <w:p>
            <w:pPr>
              <w:pStyle w:val="65"/>
              <w:spacing w:before="130"/>
              <w:ind w:left="10"/>
              <w:jc w:val="center"/>
              <w:rPr>
                <w:rFonts w:hint="eastAsia" w:ascii="Times New Roman" w:eastAsia="宋体"/>
                <w:color w:val="auto"/>
                <w:sz w:val="21"/>
                <w:highlight w:val="none"/>
                <w:lang w:eastAsia="zh-CN"/>
              </w:rPr>
            </w:pPr>
            <w:r>
              <w:rPr>
                <w:rFonts w:hint="eastAsia" w:ascii="Times New Roman" w:hAnsi="Times New Roman"/>
                <w:color w:val="auto"/>
                <w:w w:val="99"/>
                <w:sz w:val="21"/>
                <w:highlight w:val="none"/>
                <w:lang w:eastAsia="zh-CN"/>
              </w:rPr>
              <w:t>8</w:t>
            </w:r>
          </w:p>
        </w:tc>
        <w:tc>
          <w:tcPr>
            <w:tcW w:w="1294" w:type="dxa"/>
          </w:tcPr>
          <w:p>
            <w:pPr>
              <w:pStyle w:val="6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5" w:hRule="atLeast"/>
        </w:trPr>
        <w:tc>
          <w:tcPr>
            <w:tcW w:w="567" w:type="dxa"/>
          </w:tcPr>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spacing w:before="1"/>
              <w:rPr>
                <w:b/>
                <w:color w:val="auto"/>
                <w:sz w:val="25"/>
                <w:highlight w:val="none"/>
              </w:rPr>
            </w:pPr>
          </w:p>
          <w:p>
            <w:pPr>
              <w:pStyle w:val="65"/>
              <w:ind w:left="49" w:right="45"/>
              <w:jc w:val="center"/>
              <w:rPr>
                <w:b/>
                <w:color w:val="auto"/>
                <w:sz w:val="21"/>
                <w:highlight w:val="none"/>
              </w:rPr>
            </w:pPr>
            <w:r>
              <w:rPr>
                <w:b/>
                <w:color w:val="auto"/>
                <w:sz w:val="21"/>
                <w:highlight w:val="none"/>
              </w:rPr>
              <w:t>说明</w:t>
            </w:r>
          </w:p>
        </w:tc>
        <w:tc>
          <w:tcPr>
            <w:tcW w:w="7653" w:type="dxa"/>
            <w:gridSpan w:val="4"/>
          </w:tcPr>
          <w:p>
            <w:pPr>
              <w:pStyle w:val="65"/>
              <w:numPr>
                <w:ilvl w:val="0"/>
                <w:numId w:val="46"/>
              </w:numPr>
              <w:tabs>
                <w:tab w:val="left" w:pos="530"/>
              </w:tabs>
              <w:spacing w:before="116"/>
              <w:rPr>
                <w:color w:val="auto"/>
                <w:sz w:val="21"/>
                <w:highlight w:val="none"/>
                <w:lang w:eastAsia="zh-CN"/>
              </w:rPr>
            </w:pPr>
            <w:r>
              <w:rPr>
                <w:color w:val="auto"/>
                <w:sz w:val="21"/>
                <w:highlight w:val="none"/>
                <w:lang w:eastAsia="zh-CN"/>
              </w:rPr>
              <w:t>设计进度具体根据各阶段制定的实际进度计划为准。</w:t>
            </w:r>
          </w:p>
          <w:p>
            <w:pPr>
              <w:pStyle w:val="65"/>
              <w:numPr>
                <w:ilvl w:val="0"/>
                <w:numId w:val="46"/>
              </w:numPr>
              <w:tabs>
                <w:tab w:val="left" w:pos="530"/>
              </w:tabs>
              <w:spacing w:before="129"/>
              <w:rPr>
                <w:color w:val="auto"/>
                <w:sz w:val="21"/>
                <w:highlight w:val="none"/>
                <w:lang w:eastAsia="zh-CN"/>
              </w:rPr>
            </w:pPr>
            <w:r>
              <w:rPr>
                <w:color w:val="auto"/>
                <w:sz w:val="21"/>
                <w:highlight w:val="none"/>
                <w:lang w:eastAsia="zh-CN"/>
              </w:rPr>
              <w:t>设计成果要求按国家、地方有关规范、标准及设计任务书要求执行。</w:t>
            </w:r>
          </w:p>
          <w:p>
            <w:pPr>
              <w:pStyle w:val="65"/>
              <w:numPr>
                <w:ilvl w:val="0"/>
                <w:numId w:val="46"/>
              </w:numPr>
              <w:tabs>
                <w:tab w:val="left" w:pos="530"/>
              </w:tabs>
              <w:spacing w:before="132" w:line="357" w:lineRule="auto"/>
              <w:ind w:left="5" w:right="78" w:firstLine="0"/>
              <w:rPr>
                <w:color w:val="auto"/>
                <w:sz w:val="21"/>
                <w:highlight w:val="none"/>
              </w:rPr>
            </w:pPr>
            <w:r>
              <w:rPr>
                <w:color w:val="auto"/>
                <w:sz w:val="21"/>
                <w:highlight w:val="none"/>
                <w:lang w:eastAsia="zh-CN"/>
              </w:rPr>
              <w:t>上述提交时间是乙方完成并提交设计成果的最终时间。不包含政府审批的时</w:t>
            </w:r>
            <w:r>
              <w:rPr>
                <w:color w:val="auto"/>
                <w:w w:val="95"/>
                <w:sz w:val="21"/>
                <w:highlight w:val="none"/>
                <w:lang w:eastAsia="zh-CN"/>
              </w:rPr>
              <w:t xml:space="preserve">间。甲方收到设计成果后，内部讨论时间及确认时间不超过三个工作日的，乙方下  一阶段提交最终设计成果的时间不变；超过三个工作日的，超过部分，乙方可相应  </w:t>
            </w:r>
            <w:r>
              <w:rPr>
                <w:color w:val="auto"/>
                <w:sz w:val="21"/>
                <w:highlight w:val="none"/>
                <w:lang w:eastAsia="zh-CN"/>
              </w:rPr>
              <w:t>顺延。</w:t>
            </w:r>
            <w:r>
              <w:rPr>
                <w:color w:val="auto"/>
                <w:sz w:val="21"/>
                <w:highlight w:val="none"/>
              </w:rPr>
              <w:t>如中间过程有重大修改，设计进度另行协商。</w:t>
            </w:r>
          </w:p>
          <w:p>
            <w:pPr>
              <w:pStyle w:val="65"/>
              <w:numPr>
                <w:ilvl w:val="0"/>
                <w:numId w:val="46"/>
              </w:numPr>
              <w:tabs>
                <w:tab w:val="left" w:pos="530"/>
              </w:tabs>
              <w:spacing w:line="355" w:lineRule="auto"/>
              <w:ind w:left="5" w:right="183" w:firstLine="0"/>
              <w:rPr>
                <w:color w:val="auto"/>
                <w:sz w:val="21"/>
                <w:highlight w:val="none"/>
                <w:lang w:eastAsia="zh-CN"/>
              </w:rPr>
            </w:pPr>
            <w:r>
              <w:rPr>
                <w:color w:val="auto"/>
                <w:w w:val="95"/>
                <w:sz w:val="21"/>
                <w:highlight w:val="none"/>
                <w:lang w:eastAsia="zh-CN"/>
              </w:rPr>
              <w:t xml:space="preserve">若项目存在分期开发情况，则待规划总图经甲方确认后，再行根据项目开发  </w:t>
            </w:r>
            <w:r>
              <w:rPr>
                <w:color w:val="auto"/>
                <w:sz w:val="21"/>
                <w:highlight w:val="none"/>
                <w:lang w:eastAsia="zh-CN"/>
              </w:rPr>
              <w:t>进度、分期情况等内容，签订合同补充协议，明确分期中建筑各阶段设计周期。</w:t>
            </w:r>
          </w:p>
          <w:p>
            <w:pPr>
              <w:pStyle w:val="65"/>
              <w:numPr>
                <w:ilvl w:val="0"/>
                <w:numId w:val="46"/>
              </w:numPr>
              <w:tabs>
                <w:tab w:val="left" w:pos="530"/>
              </w:tabs>
              <w:spacing w:line="357" w:lineRule="auto"/>
              <w:ind w:left="5" w:right="183" w:firstLine="0"/>
              <w:rPr>
                <w:color w:val="auto"/>
                <w:sz w:val="21"/>
                <w:highlight w:val="none"/>
                <w:lang w:eastAsia="zh-CN"/>
              </w:rPr>
            </w:pPr>
            <w:r>
              <w:rPr>
                <w:color w:val="auto"/>
                <w:spacing w:val="-3"/>
                <w:sz w:val="21"/>
                <w:highlight w:val="none"/>
                <w:lang w:eastAsia="zh-CN"/>
              </w:rPr>
              <w:t xml:space="preserve">施工图版效果图另行协商提交时间，不包含在上表第 </w:t>
            </w:r>
            <w:r>
              <w:rPr>
                <w:rFonts w:hint="eastAsia" w:ascii="Times New Roman" w:hAnsi="Times New Roman"/>
                <w:color w:val="auto"/>
                <w:sz w:val="21"/>
                <w:highlight w:val="none"/>
                <w:lang w:eastAsia="zh-CN"/>
              </w:rPr>
              <w:t>6</w:t>
            </w:r>
            <w:r>
              <w:rPr>
                <w:color w:val="auto"/>
                <w:spacing w:val="-8"/>
                <w:sz w:val="21"/>
                <w:highlight w:val="none"/>
                <w:lang w:eastAsia="zh-CN"/>
              </w:rPr>
              <w:t xml:space="preserve"> 条施工图设计的设计周期之内。</w:t>
            </w:r>
          </w:p>
          <w:p>
            <w:pPr>
              <w:pStyle w:val="65"/>
              <w:numPr>
                <w:ilvl w:val="0"/>
                <w:numId w:val="46"/>
              </w:numPr>
              <w:tabs>
                <w:tab w:val="left" w:pos="530"/>
              </w:tabs>
              <w:spacing w:line="266" w:lineRule="exact"/>
              <w:rPr>
                <w:color w:val="auto"/>
                <w:sz w:val="21"/>
                <w:highlight w:val="none"/>
                <w:lang w:eastAsia="zh-CN"/>
              </w:rPr>
            </w:pPr>
            <w:r>
              <w:rPr>
                <w:color w:val="auto"/>
                <w:sz w:val="21"/>
                <w:highlight w:val="none"/>
                <w:lang w:eastAsia="zh-CN"/>
              </w:rPr>
              <w:t>设计周期的起算时间从合同签订及定金支付后算起。</w:t>
            </w:r>
          </w:p>
        </w:tc>
      </w:tr>
    </w:tbl>
    <w:p>
      <w:pPr>
        <w:spacing w:line="266" w:lineRule="exact"/>
        <w:rPr>
          <w:color w:val="auto"/>
          <w:sz w:val="21"/>
          <w:highlight w:val="none"/>
          <w:lang w:eastAsia="zh-CN"/>
        </w:rPr>
        <w:sectPr>
          <w:pgSz w:w="11849" w:h="16792"/>
          <w:pgMar w:top="1417" w:right="850" w:bottom="1417" w:left="850" w:header="850" w:footer="850" w:gutter="0"/>
          <w:pgBorders>
            <w:top w:val="none" w:sz="0" w:space="0"/>
            <w:left w:val="none" w:sz="0" w:space="0"/>
            <w:bottom w:val="none" w:sz="0" w:space="0"/>
            <w:right w:val="none" w:sz="0" w:space="0"/>
          </w:pgBorders>
          <w:pgNumType w:fmt="decimal"/>
          <w:cols w:space="0" w:num="1"/>
          <w:rtlGutter w:val="0"/>
          <w:docGrid w:linePitch="0" w:charSpace="0"/>
        </w:sectPr>
      </w:pPr>
    </w:p>
    <w:p>
      <w:pPr>
        <w:spacing w:before="47" w:after="21"/>
        <w:ind w:left="820"/>
        <w:rPr>
          <w:b/>
          <w:color w:val="auto"/>
          <w:sz w:val="21"/>
          <w:highlight w:val="none"/>
          <w:lang w:eastAsia="zh-CN"/>
        </w:rPr>
      </w:pPr>
      <w:bookmarkStart w:id="171" w:name="附件五：甲方需向乙方提供的资料"/>
      <w:bookmarkEnd w:id="171"/>
      <w:r>
        <w:rPr>
          <w:b/>
          <w:color w:val="auto"/>
          <w:sz w:val="21"/>
          <w:highlight w:val="none"/>
          <w:lang w:eastAsia="zh-CN"/>
        </w:rPr>
        <w:t>附件四：乙方设计团队主要人员名单</w:t>
      </w:r>
    </w:p>
    <w:tbl>
      <w:tblPr>
        <w:tblStyle w:val="104"/>
        <w:tblW w:w="0" w:type="auto"/>
        <w:tblInd w:w="7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2"/>
        <w:gridCol w:w="772"/>
        <w:gridCol w:w="881"/>
        <w:gridCol w:w="1239"/>
        <w:gridCol w:w="2088"/>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1082" w:type="dxa"/>
          </w:tcPr>
          <w:p>
            <w:pPr>
              <w:pStyle w:val="65"/>
              <w:spacing w:before="168"/>
              <w:ind w:left="329"/>
              <w:rPr>
                <w:b/>
                <w:color w:val="auto"/>
                <w:sz w:val="21"/>
                <w:highlight w:val="none"/>
              </w:rPr>
            </w:pPr>
            <w:r>
              <w:rPr>
                <w:b/>
                <w:color w:val="auto"/>
                <w:sz w:val="21"/>
                <w:highlight w:val="none"/>
              </w:rPr>
              <w:t>姓名</w:t>
            </w:r>
          </w:p>
        </w:tc>
        <w:tc>
          <w:tcPr>
            <w:tcW w:w="772" w:type="dxa"/>
          </w:tcPr>
          <w:p>
            <w:pPr>
              <w:pStyle w:val="65"/>
              <w:spacing w:before="168"/>
              <w:ind w:left="173"/>
              <w:rPr>
                <w:b/>
                <w:color w:val="auto"/>
                <w:sz w:val="21"/>
                <w:highlight w:val="none"/>
              </w:rPr>
            </w:pPr>
            <w:r>
              <w:rPr>
                <w:b/>
                <w:color w:val="auto"/>
                <w:sz w:val="21"/>
                <w:highlight w:val="none"/>
              </w:rPr>
              <w:t>性别</w:t>
            </w:r>
          </w:p>
        </w:tc>
        <w:tc>
          <w:tcPr>
            <w:tcW w:w="881" w:type="dxa"/>
          </w:tcPr>
          <w:p>
            <w:pPr>
              <w:pStyle w:val="65"/>
              <w:spacing w:before="168"/>
              <w:ind w:left="229"/>
              <w:rPr>
                <w:b/>
                <w:color w:val="auto"/>
                <w:sz w:val="21"/>
                <w:highlight w:val="none"/>
              </w:rPr>
            </w:pPr>
            <w:r>
              <w:rPr>
                <w:b/>
                <w:color w:val="auto"/>
                <w:sz w:val="21"/>
                <w:highlight w:val="none"/>
              </w:rPr>
              <w:t>年龄</w:t>
            </w:r>
          </w:p>
        </w:tc>
        <w:tc>
          <w:tcPr>
            <w:tcW w:w="1239" w:type="dxa"/>
          </w:tcPr>
          <w:p>
            <w:pPr>
              <w:pStyle w:val="65"/>
              <w:spacing w:before="168"/>
              <w:ind w:left="407"/>
              <w:rPr>
                <w:b/>
                <w:color w:val="auto"/>
                <w:sz w:val="21"/>
                <w:highlight w:val="none"/>
              </w:rPr>
            </w:pPr>
            <w:r>
              <w:rPr>
                <w:b/>
                <w:color w:val="auto"/>
                <w:sz w:val="21"/>
                <w:highlight w:val="none"/>
              </w:rPr>
              <w:t>专业</w:t>
            </w:r>
          </w:p>
        </w:tc>
        <w:tc>
          <w:tcPr>
            <w:tcW w:w="2088" w:type="dxa"/>
          </w:tcPr>
          <w:p>
            <w:pPr>
              <w:pStyle w:val="65"/>
              <w:spacing w:before="168"/>
              <w:ind w:left="812" w:right="803"/>
              <w:jc w:val="center"/>
              <w:rPr>
                <w:b/>
                <w:color w:val="auto"/>
                <w:sz w:val="21"/>
                <w:highlight w:val="none"/>
              </w:rPr>
            </w:pPr>
            <w:r>
              <w:rPr>
                <w:b/>
                <w:color w:val="auto"/>
                <w:sz w:val="21"/>
                <w:highlight w:val="none"/>
              </w:rPr>
              <w:t>职称</w:t>
            </w:r>
          </w:p>
        </w:tc>
        <w:tc>
          <w:tcPr>
            <w:tcW w:w="2268" w:type="dxa"/>
          </w:tcPr>
          <w:p>
            <w:pPr>
              <w:pStyle w:val="65"/>
              <w:spacing w:before="168"/>
              <w:ind w:left="500"/>
              <w:rPr>
                <w:b/>
                <w:color w:val="auto"/>
                <w:sz w:val="21"/>
                <w:highlight w:val="none"/>
              </w:rPr>
            </w:pPr>
            <w:r>
              <w:rPr>
                <w:b/>
                <w:color w:val="auto"/>
                <w:sz w:val="21"/>
                <w:highlight w:val="none"/>
              </w:rPr>
              <w:t>项目组内职务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082" w:type="dxa"/>
          </w:tcPr>
          <w:p>
            <w:pPr>
              <w:pStyle w:val="65"/>
              <w:rPr>
                <w:rFonts w:ascii="Times New Roman"/>
                <w:color w:val="auto"/>
                <w:sz w:val="20"/>
                <w:highlight w:val="none"/>
              </w:rPr>
            </w:pPr>
          </w:p>
        </w:tc>
        <w:tc>
          <w:tcPr>
            <w:tcW w:w="772" w:type="dxa"/>
          </w:tcPr>
          <w:p>
            <w:pPr>
              <w:pStyle w:val="65"/>
              <w:rPr>
                <w:rFonts w:ascii="Times New Roman"/>
                <w:color w:val="auto"/>
                <w:sz w:val="20"/>
                <w:highlight w:val="none"/>
              </w:rPr>
            </w:pPr>
          </w:p>
        </w:tc>
        <w:tc>
          <w:tcPr>
            <w:tcW w:w="881" w:type="dxa"/>
          </w:tcPr>
          <w:p>
            <w:pPr>
              <w:pStyle w:val="65"/>
              <w:rPr>
                <w:rFonts w:ascii="Times New Roman"/>
                <w:color w:val="auto"/>
                <w:sz w:val="20"/>
                <w:highlight w:val="none"/>
              </w:rPr>
            </w:pPr>
          </w:p>
        </w:tc>
        <w:tc>
          <w:tcPr>
            <w:tcW w:w="1239" w:type="dxa"/>
          </w:tcPr>
          <w:p>
            <w:pPr>
              <w:pStyle w:val="65"/>
              <w:rPr>
                <w:rFonts w:ascii="Times New Roman"/>
                <w:color w:val="auto"/>
                <w:sz w:val="20"/>
                <w:highlight w:val="none"/>
              </w:rPr>
            </w:pPr>
          </w:p>
        </w:tc>
        <w:tc>
          <w:tcPr>
            <w:tcW w:w="2088" w:type="dxa"/>
          </w:tcPr>
          <w:p>
            <w:pPr>
              <w:pStyle w:val="65"/>
              <w:rPr>
                <w:rFonts w:ascii="Times New Roman"/>
                <w:color w:val="auto"/>
                <w:sz w:val="20"/>
                <w:highlight w:val="none"/>
              </w:rPr>
            </w:pPr>
          </w:p>
        </w:tc>
        <w:tc>
          <w:tcPr>
            <w:tcW w:w="2268" w:type="dxa"/>
          </w:tcPr>
          <w:p>
            <w:pPr>
              <w:pStyle w:val="6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082" w:type="dxa"/>
          </w:tcPr>
          <w:p>
            <w:pPr>
              <w:pStyle w:val="65"/>
              <w:rPr>
                <w:rFonts w:ascii="Times New Roman"/>
                <w:color w:val="auto"/>
                <w:sz w:val="20"/>
                <w:highlight w:val="none"/>
              </w:rPr>
            </w:pPr>
          </w:p>
        </w:tc>
        <w:tc>
          <w:tcPr>
            <w:tcW w:w="772" w:type="dxa"/>
          </w:tcPr>
          <w:p>
            <w:pPr>
              <w:pStyle w:val="65"/>
              <w:rPr>
                <w:rFonts w:ascii="Times New Roman"/>
                <w:color w:val="auto"/>
                <w:sz w:val="20"/>
                <w:highlight w:val="none"/>
              </w:rPr>
            </w:pPr>
          </w:p>
        </w:tc>
        <w:tc>
          <w:tcPr>
            <w:tcW w:w="881" w:type="dxa"/>
          </w:tcPr>
          <w:p>
            <w:pPr>
              <w:pStyle w:val="65"/>
              <w:rPr>
                <w:rFonts w:ascii="Times New Roman"/>
                <w:color w:val="auto"/>
                <w:sz w:val="20"/>
                <w:highlight w:val="none"/>
              </w:rPr>
            </w:pPr>
          </w:p>
        </w:tc>
        <w:tc>
          <w:tcPr>
            <w:tcW w:w="1239" w:type="dxa"/>
          </w:tcPr>
          <w:p>
            <w:pPr>
              <w:pStyle w:val="65"/>
              <w:rPr>
                <w:rFonts w:ascii="Times New Roman"/>
                <w:color w:val="auto"/>
                <w:sz w:val="20"/>
                <w:highlight w:val="none"/>
              </w:rPr>
            </w:pPr>
          </w:p>
        </w:tc>
        <w:tc>
          <w:tcPr>
            <w:tcW w:w="2088" w:type="dxa"/>
          </w:tcPr>
          <w:p>
            <w:pPr>
              <w:pStyle w:val="65"/>
              <w:rPr>
                <w:rFonts w:ascii="Times New Roman"/>
                <w:color w:val="auto"/>
                <w:sz w:val="20"/>
                <w:highlight w:val="none"/>
              </w:rPr>
            </w:pPr>
          </w:p>
        </w:tc>
        <w:tc>
          <w:tcPr>
            <w:tcW w:w="2268" w:type="dxa"/>
          </w:tcPr>
          <w:p>
            <w:pPr>
              <w:pStyle w:val="6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1082" w:type="dxa"/>
          </w:tcPr>
          <w:p>
            <w:pPr>
              <w:pStyle w:val="65"/>
              <w:rPr>
                <w:rFonts w:ascii="Times New Roman"/>
                <w:color w:val="auto"/>
                <w:sz w:val="20"/>
                <w:highlight w:val="none"/>
              </w:rPr>
            </w:pPr>
          </w:p>
        </w:tc>
        <w:tc>
          <w:tcPr>
            <w:tcW w:w="772" w:type="dxa"/>
          </w:tcPr>
          <w:p>
            <w:pPr>
              <w:pStyle w:val="65"/>
              <w:rPr>
                <w:rFonts w:ascii="Times New Roman"/>
                <w:color w:val="auto"/>
                <w:sz w:val="20"/>
                <w:highlight w:val="none"/>
              </w:rPr>
            </w:pPr>
          </w:p>
        </w:tc>
        <w:tc>
          <w:tcPr>
            <w:tcW w:w="881" w:type="dxa"/>
          </w:tcPr>
          <w:p>
            <w:pPr>
              <w:pStyle w:val="65"/>
              <w:rPr>
                <w:rFonts w:ascii="Times New Roman"/>
                <w:color w:val="auto"/>
                <w:sz w:val="20"/>
                <w:highlight w:val="none"/>
              </w:rPr>
            </w:pPr>
          </w:p>
        </w:tc>
        <w:tc>
          <w:tcPr>
            <w:tcW w:w="1239" w:type="dxa"/>
          </w:tcPr>
          <w:p>
            <w:pPr>
              <w:pStyle w:val="65"/>
              <w:rPr>
                <w:rFonts w:ascii="Times New Roman"/>
                <w:color w:val="auto"/>
                <w:sz w:val="20"/>
                <w:highlight w:val="none"/>
              </w:rPr>
            </w:pPr>
          </w:p>
        </w:tc>
        <w:tc>
          <w:tcPr>
            <w:tcW w:w="2088" w:type="dxa"/>
          </w:tcPr>
          <w:p>
            <w:pPr>
              <w:pStyle w:val="65"/>
              <w:rPr>
                <w:rFonts w:ascii="Times New Roman"/>
                <w:color w:val="auto"/>
                <w:sz w:val="20"/>
                <w:highlight w:val="none"/>
              </w:rPr>
            </w:pPr>
          </w:p>
        </w:tc>
        <w:tc>
          <w:tcPr>
            <w:tcW w:w="2268" w:type="dxa"/>
          </w:tcPr>
          <w:p>
            <w:pPr>
              <w:pStyle w:val="6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1082" w:type="dxa"/>
          </w:tcPr>
          <w:p>
            <w:pPr>
              <w:pStyle w:val="65"/>
              <w:rPr>
                <w:rFonts w:ascii="Times New Roman"/>
                <w:color w:val="auto"/>
                <w:sz w:val="20"/>
                <w:highlight w:val="none"/>
              </w:rPr>
            </w:pPr>
          </w:p>
        </w:tc>
        <w:tc>
          <w:tcPr>
            <w:tcW w:w="772" w:type="dxa"/>
          </w:tcPr>
          <w:p>
            <w:pPr>
              <w:pStyle w:val="65"/>
              <w:rPr>
                <w:rFonts w:ascii="Times New Roman"/>
                <w:color w:val="auto"/>
                <w:sz w:val="20"/>
                <w:highlight w:val="none"/>
              </w:rPr>
            </w:pPr>
          </w:p>
        </w:tc>
        <w:tc>
          <w:tcPr>
            <w:tcW w:w="881" w:type="dxa"/>
          </w:tcPr>
          <w:p>
            <w:pPr>
              <w:pStyle w:val="65"/>
              <w:rPr>
                <w:rFonts w:ascii="Times New Roman"/>
                <w:color w:val="auto"/>
                <w:sz w:val="20"/>
                <w:highlight w:val="none"/>
              </w:rPr>
            </w:pPr>
          </w:p>
        </w:tc>
        <w:tc>
          <w:tcPr>
            <w:tcW w:w="1239" w:type="dxa"/>
          </w:tcPr>
          <w:p>
            <w:pPr>
              <w:pStyle w:val="65"/>
              <w:rPr>
                <w:rFonts w:ascii="Times New Roman"/>
                <w:color w:val="auto"/>
                <w:sz w:val="20"/>
                <w:highlight w:val="none"/>
              </w:rPr>
            </w:pPr>
          </w:p>
        </w:tc>
        <w:tc>
          <w:tcPr>
            <w:tcW w:w="2088" w:type="dxa"/>
          </w:tcPr>
          <w:p>
            <w:pPr>
              <w:pStyle w:val="65"/>
              <w:rPr>
                <w:rFonts w:ascii="Times New Roman"/>
                <w:color w:val="auto"/>
                <w:sz w:val="20"/>
                <w:highlight w:val="none"/>
              </w:rPr>
            </w:pPr>
          </w:p>
        </w:tc>
        <w:tc>
          <w:tcPr>
            <w:tcW w:w="2268" w:type="dxa"/>
          </w:tcPr>
          <w:p>
            <w:pPr>
              <w:pStyle w:val="6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082" w:type="dxa"/>
          </w:tcPr>
          <w:p>
            <w:pPr>
              <w:pStyle w:val="65"/>
              <w:rPr>
                <w:rFonts w:ascii="Times New Roman"/>
                <w:color w:val="auto"/>
                <w:sz w:val="20"/>
                <w:highlight w:val="none"/>
              </w:rPr>
            </w:pPr>
          </w:p>
        </w:tc>
        <w:tc>
          <w:tcPr>
            <w:tcW w:w="772" w:type="dxa"/>
          </w:tcPr>
          <w:p>
            <w:pPr>
              <w:pStyle w:val="65"/>
              <w:rPr>
                <w:rFonts w:ascii="Times New Roman"/>
                <w:color w:val="auto"/>
                <w:sz w:val="20"/>
                <w:highlight w:val="none"/>
              </w:rPr>
            </w:pPr>
          </w:p>
        </w:tc>
        <w:tc>
          <w:tcPr>
            <w:tcW w:w="881" w:type="dxa"/>
          </w:tcPr>
          <w:p>
            <w:pPr>
              <w:pStyle w:val="65"/>
              <w:rPr>
                <w:rFonts w:ascii="Times New Roman"/>
                <w:color w:val="auto"/>
                <w:sz w:val="20"/>
                <w:highlight w:val="none"/>
              </w:rPr>
            </w:pPr>
          </w:p>
        </w:tc>
        <w:tc>
          <w:tcPr>
            <w:tcW w:w="1239" w:type="dxa"/>
          </w:tcPr>
          <w:p>
            <w:pPr>
              <w:pStyle w:val="65"/>
              <w:rPr>
                <w:rFonts w:ascii="Times New Roman"/>
                <w:color w:val="auto"/>
                <w:sz w:val="20"/>
                <w:highlight w:val="none"/>
              </w:rPr>
            </w:pPr>
          </w:p>
        </w:tc>
        <w:tc>
          <w:tcPr>
            <w:tcW w:w="2088" w:type="dxa"/>
          </w:tcPr>
          <w:p>
            <w:pPr>
              <w:pStyle w:val="65"/>
              <w:rPr>
                <w:rFonts w:ascii="Times New Roman"/>
                <w:color w:val="auto"/>
                <w:sz w:val="20"/>
                <w:highlight w:val="none"/>
              </w:rPr>
            </w:pPr>
          </w:p>
        </w:tc>
        <w:tc>
          <w:tcPr>
            <w:tcW w:w="2268" w:type="dxa"/>
          </w:tcPr>
          <w:p>
            <w:pPr>
              <w:pStyle w:val="6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1082" w:type="dxa"/>
          </w:tcPr>
          <w:p>
            <w:pPr>
              <w:pStyle w:val="65"/>
              <w:rPr>
                <w:rFonts w:ascii="Times New Roman"/>
                <w:color w:val="auto"/>
                <w:sz w:val="20"/>
                <w:highlight w:val="none"/>
              </w:rPr>
            </w:pPr>
          </w:p>
        </w:tc>
        <w:tc>
          <w:tcPr>
            <w:tcW w:w="772" w:type="dxa"/>
          </w:tcPr>
          <w:p>
            <w:pPr>
              <w:pStyle w:val="65"/>
              <w:rPr>
                <w:rFonts w:ascii="Times New Roman"/>
                <w:color w:val="auto"/>
                <w:sz w:val="20"/>
                <w:highlight w:val="none"/>
              </w:rPr>
            </w:pPr>
          </w:p>
        </w:tc>
        <w:tc>
          <w:tcPr>
            <w:tcW w:w="881" w:type="dxa"/>
          </w:tcPr>
          <w:p>
            <w:pPr>
              <w:pStyle w:val="65"/>
              <w:rPr>
                <w:rFonts w:ascii="Times New Roman"/>
                <w:color w:val="auto"/>
                <w:sz w:val="20"/>
                <w:highlight w:val="none"/>
              </w:rPr>
            </w:pPr>
          </w:p>
        </w:tc>
        <w:tc>
          <w:tcPr>
            <w:tcW w:w="1239" w:type="dxa"/>
          </w:tcPr>
          <w:p>
            <w:pPr>
              <w:pStyle w:val="65"/>
              <w:rPr>
                <w:rFonts w:ascii="Times New Roman"/>
                <w:color w:val="auto"/>
                <w:sz w:val="20"/>
                <w:highlight w:val="none"/>
              </w:rPr>
            </w:pPr>
          </w:p>
        </w:tc>
        <w:tc>
          <w:tcPr>
            <w:tcW w:w="2088" w:type="dxa"/>
          </w:tcPr>
          <w:p>
            <w:pPr>
              <w:pStyle w:val="65"/>
              <w:rPr>
                <w:rFonts w:ascii="Times New Roman"/>
                <w:color w:val="auto"/>
                <w:sz w:val="20"/>
                <w:highlight w:val="none"/>
              </w:rPr>
            </w:pPr>
          </w:p>
        </w:tc>
        <w:tc>
          <w:tcPr>
            <w:tcW w:w="2268" w:type="dxa"/>
          </w:tcPr>
          <w:p>
            <w:pPr>
              <w:pStyle w:val="6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082" w:type="dxa"/>
          </w:tcPr>
          <w:p>
            <w:pPr>
              <w:pStyle w:val="65"/>
              <w:rPr>
                <w:rFonts w:ascii="Times New Roman"/>
                <w:color w:val="auto"/>
                <w:sz w:val="20"/>
                <w:highlight w:val="none"/>
              </w:rPr>
            </w:pPr>
          </w:p>
        </w:tc>
        <w:tc>
          <w:tcPr>
            <w:tcW w:w="772" w:type="dxa"/>
          </w:tcPr>
          <w:p>
            <w:pPr>
              <w:pStyle w:val="65"/>
              <w:rPr>
                <w:rFonts w:ascii="Times New Roman"/>
                <w:color w:val="auto"/>
                <w:sz w:val="20"/>
                <w:highlight w:val="none"/>
              </w:rPr>
            </w:pPr>
          </w:p>
        </w:tc>
        <w:tc>
          <w:tcPr>
            <w:tcW w:w="881" w:type="dxa"/>
          </w:tcPr>
          <w:p>
            <w:pPr>
              <w:pStyle w:val="65"/>
              <w:rPr>
                <w:rFonts w:ascii="Times New Roman"/>
                <w:color w:val="auto"/>
                <w:sz w:val="20"/>
                <w:highlight w:val="none"/>
              </w:rPr>
            </w:pPr>
          </w:p>
        </w:tc>
        <w:tc>
          <w:tcPr>
            <w:tcW w:w="1239" w:type="dxa"/>
          </w:tcPr>
          <w:p>
            <w:pPr>
              <w:pStyle w:val="65"/>
              <w:rPr>
                <w:rFonts w:ascii="Times New Roman"/>
                <w:color w:val="auto"/>
                <w:sz w:val="20"/>
                <w:highlight w:val="none"/>
              </w:rPr>
            </w:pPr>
          </w:p>
        </w:tc>
        <w:tc>
          <w:tcPr>
            <w:tcW w:w="2088" w:type="dxa"/>
          </w:tcPr>
          <w:p>
            <w:pPr>
              <w:pStyle w:val="65"/>
              <w:rPr>
                <w:rFonts w:ascii="Times New Roman"/>
                <w:color w:val="auto"/>
                <w:sz w:val="20"/>
                <w:highlight w:val="none"/>
              </w:rPr>
            </w:pPr>
          </w:p>
        </w:tc>
        <w:tc>
          <w:tcPr>
            <w:tcW w:w="2268" w:type="dxa"/>
          </w:tcPr>
          <w:p>
            <w:pPr>
              <w:pStyle w:val="65"/>
              <w:rPr>
                <w:rFonts w:ascii="Times New Roman"/>
                <w:color w:val="auto"/>
                <w:sz w:val="20"/>
                <w:highlight w:val="none"/>
              </w:rPr>
            </w:pPr>
          </w:p>
        </w:tc>
      </w:tr>
    </w:tbl>
    <w:p>
      <w:pPr>
        <w:spacing w:before="110"/>
        <w:ind w:left="820"/>
        <w:rPr>
          <w:b/>
          <w:color w:val="auto"/>
          <w:sz w:val="21"/>
          <w:highlight w:val="none"/>
          <w:lang w:eastAsia="zh-CN"/>
        </w:rPr>
      </w:pPr>
      <w:r>
        <w:rPr>
          <w:b/>
          <w:color w:val="auto"/>
          <w:sz w:val="21"/>
          <w:highlight w:val="none"/>
          <w:lang w:eastAsia="zh-CN"/>
        </w:rPr>
        <w:t>注：设计团队主要人员需根据国家和行业相关规定配备。</w:t>
      </w:r>
    </w:p>
    <w:p>
      <w:pPr>
        <w:rPr>
          <w:color w:val="auto"/>
          <w:sz w:val="21"/>
          <w:highlight w:val="none"/>
          <w:lang w:eastAsia="zh-CN"/>
        </w:rPr>
        <w:sectPr>
          <w:pgSz w:w="11849" w:h="16792"/>
          <w:pgMar w:top="1417" w:right="850" w:bottom="1417" w:left="850" w:header="850" w:footer="850" w:gutter="0"/>
          <w:pgBorders>
            <w:top w:val="none" w:sz="0" w:space="0"/>
            <w:left w:val="none" w:sz="0" w:space="0"/>
            <w:bottom w:val="none" w:sz="0" w:space="0"/>
            <w:right w:val="none" w:sz="0" w:space="0"/>
          </w:pgBorders>
          <w:pgNumType w:fmt="decimal"/>
          <w:cols w:space="0" w:num="1"/>
          <w:rtlGutter w:val="0"/>
          <w:docGrid w:linePitch="0" w:charSpace="0"/>
        </w:sectPr>
      </w:pPr>
    </w:p>
    <w:p>
      <w:pPr>
        <w:spacing w:before="47" w:after="21"/>
        <w:ind w:left="820"/>
        <w:rPr>
          <w:b/>
          <w:color w:val="auto"/>
          <w:sz w:val="21"/>
          <w:highlight w:val="none"/>
          <w:lang w:eastAsia="zh-CN"/>
        </w:rPr>
      </w:pPr>
      <w:bookmarkStart w:id="172" w:name="附件六：设计费的支付"/>
      <w:bookmarkEnd w:id="172"/>
      <w:r>
        <w:rPr>
          <w:b/>
          <w:color w:val="auto"/>
          <w:sz w:val="21"/>
          <w:highlight w:val="none"/>
          <w:lang w:eastAsia="zh-CN"/>
        </w:rPr>
        <w:t>附件五：甲方需向乙方提供的资料</w:t>
      </w:r>
    </w:p>
    <w:tbl>
      <w:tblPr>
        <w:tblStyle w:val="104"/>
        <w:tblW w:w="0" w:type="auto"/>
        <w:tblInd w:w="6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2187"/>
        <w:gridCol w:w="731"/>
        <w:gridCol w:w="1762"/>
        <w:gridCol w:w="29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709" w:type="dxa"/>
          </w:tcPr>
          <w:p>
            <w:pPr>
              <w:pStyle w:val="65"/>
              <w:spacing w:before="111"/>
              <w:ind w:left="121" w:right="115"/>
              <w:jc w:val="center"/>
              <w:rPr>
                <w:b/>
                <w:color w:val="auto"/>
                <w:sz w:val="21"/>
                <w:highlight w:val="none"/>
              </w:rPr>
            </w:pPr>
            <w:r>
              <w:rPr>
                <w:b/>
                <w:color w:val="auto"/>
                <w:sz w:val="21"/>
                <w:highlight w:val="none"/>
              </w:rPr>
              <w:t>序号</w:t>
            </w:r>
          </w:p>
        </w:tc>
        <w:tc>
          <w:tcPr>
            <w:tcW w:w="2187" w:type="dxa"/>
          </w:tcPr>
          <w:p>
            <w:pPr>
              <w:pStyle w:val="65"/>
              <w:spacing w:before="111"/>
              <w:ind w:left="126" w:right="119"/>
              <w:jc w:val="center"/>
              <w:rPr>
                <w:b/>
                <w:color w:val="auto"/>
                <w:sz w:val="21"/>
                <w:highlight w:val="none"/>
              </w:rPr>
            </w:pPr>
            <w:r>
              <w:rPr>
                <w:b/>
                <w:color w:val="auto"/>
                <w:sz w:val="21"/>
                <w:highlight w:val="none"/>
              </w:rPr>
              <w:t>资料及文件名称</w:t>
            </w:r>
          </w:p>
        </w:tc>
        <w:tc>
          <w:tcPr>
            <w:tcW w:w="731" w:type="dxa"/>
          </w:tcPr>
          <w:p>
            <w:pPr>
              <w:pStyle w:val="65"/>
              <w:spacing w:before="111"/>
              <w:ind w:left="132" w:right="127"/>
              <w:jc w:val="center"/>
              <w:rPr>
                <w:b/>
                <w:color w:val="auto"/>
                <w:sz w:val="21"/>
                <w:highlight w:val="none"/>
              </w:rPr>
            </w:pPr>
            <w:r>
              <w:rPr>
                <w:b/>
                <w:color w:val="auto"/>
                <w:sz w:val="21"/>
                <w:highlight w:val="none"/>
              </w:rPr>
              <w:t>份数</w:t>
            </w:r>
          </w:p>
        </w:tc>
        <w:tc>
          <w:tcPr>
            <w:tcW w:w="1762" w:type="dxa"/>
          </w:tcPr>
          <w:p>
            <w:pPr>
              <w:pStyle w:val="65"/>
              <w:spacing w:before="111"/>
              <w:ind w:left="458"/>
              <w:rPr>
                <w:b/>
                <w:color w:val="auto"/>
                <w:sz w:val="21"/>
                <w:highlight w:val="none"/>
              </w:rPr>
            </w:pPr>
            <w:r>
              <w:rPr>
                <w:b/>
                <w:color w:val="auto"/>
                <w:sz w:val="21"/>
                <w:highlight w:val="none"/>
              </w:rPr>
              <w:t>内容要求</w:t>
            </w:r>
          </w:p>
        </w:tc>
        <w:tc>
          <w:tcPr>
            <w:tcW w:w="2975" w:type="dxa"/>
          </w:tcPr>
          <w:p>
            <w:pPr>
              <w:pStyle w:val="65"/>
              <w:spacing w:before="111"/>
              <w:ind w:left="119" w:right="111"/>
              <w:jc w:val="center"/>
              <w:rPr>
                <w:b/>
                <w:color w:val="auto"/>
                <w:sz w:val="21"/>
                <w:highlight w:val="none"/>
              </w:rPr>
            </w:pPr>
            <w:r>
              <w:rPr>
                <w:b/>
                <w:color w:val="auto"/>
                <w:sz w:val="21"/>
                <w:highlight w:val="none"/>
              </w:rPr>
              <w:t>提交时间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709" w:type="dxa"/>
          </w:tcPr>
          <w:p>
            <w:pPr>
              <w:pStyle w:val="65"/>
              <w:spacing w:before="111" w:line="269" w:lineRule="exact"/>
              <w:ind w:left="7"/>
              <w:jc w:val="center"/>
              <w:rPr>
                <w:rFonts w:hint="eastAsia" w:eastAsia="宋体"/>
                <w:color w:val="auto"/>
                <w:sz w:val="21"/>
                <w:highlight w:val="none"/>
                <w:lang w:eastAsia="zh-CN"/>
              </w:rPr>
            </w:pPr>
            <w:r>
              <w:rPr>
                <w:rFonts w:hint="eastAsia" w:ascii="Times New Roman" w:hAnsi="Times New Roman"/>
                <w:color w:val="auto"/>
                <w:w w:val="99"/>
                <w:sz w:val="21"/>
                <w:highlight w:val="none"/>
                <w:lang w:eastAsia="zh-CN"/>
              </w:rPr>
              <w:t>1</w:t>
            </w:r>
          </w:p>
        </w:tc>
        <w:tc>
          <w:tcPr>
            <w:tcW w:w="2187" w:type="dxa"/>
          </w:tcPr>
          <w:p>
            <w:pPr>
              <w:pStyle w:val="65"/>
              <w:spacing w:before="111" w:line="269" w:lineRule="exact"/>
              <w:ind w:left="126" w:right="119"/>
              <w:jc w:val="center"/>
              <w:rPr>
                <w:color w:val="auto"/>
                <w:sz w:val="21"/>
                <w:highlight w:val="none"/>
              </w:rPr>
            </w:pPr>
            <w:r>
              <w:rPr>
                <w:color w:val="auto"/>
                <w:sz w:val="21"/>
                <w:highlight w:val="none"/>
              </w:rPr>
              <w:t>项目建设批文</w:t>
            </w:r>
          </w:p>
        </w:tc>
        <w:tc>
          <w:tcPr>
            <w:tcW w:w="731" w:type="dxa"/>
          </w:tcPr>
          <w:p>
            <w:pPr>
              <w:pStyle w:val="65"/>
              <w:spacing w:before="111" w:line="269" w:lineRule="exact"/>
              <w:ind w:left="11"/>
              <w:jc w:val="center"/>
              <w:rPr>
                <w:rFonts w:hint="eastAsia" w:eastAsia="宋体"/>
                <w:color w:val="auto"/>
                <w:sz w:val="21"/>
                <w:highlight w:val="none"/>
                <w:lang w:eastAsia="zh-CN"/>
              </w:rPr>
            </w:pPr>
            <w:r>
              <w:rPr>
                <w:rFonts w:hint="eastAsia" w:ascii="Times New Roman" w:hAnsi="Times New Roman"/>
                <w:color w:val="auto"/>
                <w:w w:val="99"/>
                <w:sz w:val="21"/>
                <w:highlight w:val="none"/>
                <w:lang w:eastAsia="zh-CN"/>
              </w:rPr>
              <w:t>1</w:t>
            </w:r>
          </w:p>
        </w:tc>
        <w:tc>
          <w:tcPr>
            <w:tcW w:w="1762" w:type="dxa"/>
          </w:tcPr>
          <w:p>
            <w:pPr>
              <w:pStyle w:val="65"/>
              <w:spacing w:before="111" w:line="269" w:lineRule="exact"/>
              <w:ind w:left="108"/>
              <w:rPr>
                <w:color w:val="auto"/>
                <w:sz w:val="21"/>
                <w:highlight w:val="none"/>
              </w:rPr>
            </w:pPr>
            <w:r>
              <w:rPr>
                <w:color w:val="auto"/>
                <w:sz w:val="21"/>
                <w:highlight w:val="none"/>
              </w:rPr>
              <w:t>复印件</w:t>
            </w:r>
          </w:p>
        </w:tc>
        <w:tc>
          <w:tcPr>
            <w:tcW w:w="2975" w:type="dxa"/>
            <w:vMerge w:val="restart"/>
          </w:tcPr>
          <w:p>
            <w:pPr>
              <w:pStyle w:val="65"/>
              <w:rPr>
                <w:b/>
                <w:color w:val="auto"/>
                <w:sz w:val="20"/>
                <w:highlight w:val="none"/>
              </w:rPr>
            </w:pPr>
          </w:p>
          <w:p>
            <w:pPr>
              <w:pStyle w:val="65"/>
              <w:spacing w:before="1"/>
              <w:rPr>
                <w:b/>
                <w:color w:val="auto"/>
                <w:sz w:val="23"/>
                <w:highlight w:val="none"/>
              </w:rPr>
            </w:pPr>
          </w:p>
          <w:p>
            <w:pPr>
              <w:pStyle w:val="65"/>
              <w:spacing w:before="1"/>
              <w:ind w:left="645"/>
              <w:rPr>
                <w:color w:val="auto"/>
                <w:sz w:val="21"/>
                <w:highlight w:val="none"/>
              </w:rPr>
            </w:pPr>
            <w:r>
              <w:rPr>
                <w:color w:val="auto"/>
                <w:sz w:val="21"/>
                <w:highlight w:val="none"/>
              </w:rPr>
              <w:t xml:space="preserve">合同签订后 </w:t>
            </w:r>
            <w:r>
              <w:rPr>
                <w:rFonts w:hint="eastAsia" w:ascii="Times New Roman" w:hAnsi="Times New Roman"/>
                <w:color w:val="auto"/>
                <w:sz w:val="21"/>
                <w:highlight w:val="none"/>
                <w:lang w:eastAsia="zh-CN"/>
              </w:rPr>
              <w:t>7</w:t>
            </w:r>
            <w:r>
              <w:rPr>
                <w:color w:val="auto"/>
                <w:sz w:val="21"/>
                <w:highlight w:val="none"/>
              </w:rPr>
              <w:t xml:space="preserve"> 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709" w:type="dxa"/>
          </w:tcPr>
          <w:p>
            <w:pPr>
              <w:pStyle w:val="65"/>
              <w:spacing w:before="109"/>
              <w:ind w:left="7"/>
              <w:jc w:val="center"/>
              <w:rPr>
                <w:rFonts w:hint="eastAsia" w:eastAsia="宋体"/>
                <w:color w:val="auto"/>
                <w:sz w:val="21"/>
                <w:highlight w:val="none"/>
                <w:lang w:eastAsia="zh-CN"/>
              </w:rPr>
            </w:pPr>
            <w:r>
              <w:rPr>
                <w:rFonts w:hint="eastAsia" w:ascii="Times New Roman" w:hAnsi="Times New Roman"/>
                <w:color w:val="auto"/>
                <w:w w:val="99"/>
                <w:sz w:val="21"/>
                <w:highlight w:val="none"/>
                <w:lang w:eastAsia="zh-CN"/>
              </w:rPr>
              <w:t>2</w:t>
            </w:r>
          </w:p>
        </w:tc>
        <w:tc>
          <w:tcPr>
            <w:tcW w:w="2187" w:type="dxa"/>
          </w:tcPr>
          <w:p>
            <w:pPr>
              <w:pStyle w:val="65"/>
              <w:spacing w:before="109"/>
              <w:ind w:left="126" w:right="119"/>
              <w:jc w:val="center"/>
              <w:rPr>
                <w:color w:val="auto"/>
                <w:sz w:val="21"/>
                <w:highlight w:val="none"/>
              </w:rPr>
            </w:pPr>
            <w:r>
              <w:rPr>
                <w:rFonts w:hint="eastAsia" w:ascii="Times New Roman" w:hAnsi="Times New Roman"/>
                <w:color w:val="auto"/>
                <w:sz w:val="21"/>
                <w:highlight w:val="none"/>
                <w:lang w:eastAsia="zh-CN"/>
              </w:rPr>
              <w:t>1</w:t>
            </w:r>
            <w:r>
              <w:rPr>
                <w:color w:val="auto"/>
                <w:sz w:val="21"/>
                <w:highlight w:val="none"/>
              </w:rPr>
              <w:t>:</w:t>
            </w:r>
            <w:r>
              <w:rPr>
                <w:rFonts w:hint="eastAsia" w:ascii="Times New Roman" w:hAnsi="Times New Roman"/>
                <w:color w:val="auto"/>
                <w:sz w:val="21"/>
                <w:highlight w:val="none"/>
                <w:lang w:eastAsia="zh-CN"/>
              </w:rPr>
              <w:t>500</w:t>
            </w:r>
            <w:r>
              <w:rPr>
                <w:color w:val="auto"/>
                <w:sz w:val="21"/>
                <w:highlight w:val="none"/>
              </w:rPr>
              <w:t xml:space="preserve"> 地形图</w:t>
            </w:r>
          </w:p>
        </w:tc>
        <w:tc>
          <w:tcPr>
            <w:tcW w:w="731" w:type="dxa"/>
          </w:tcPr>
          <w:p>
            <w:pPr>
              <w:pStyle w:val="65"/>
              <w:spacing w:before="109"/>
              <w:ind w:left="11"/>
              <w:jc w:val="center"/>
              <w:rPr>
                <w:rFonts w:hint="eastAsia" w:eastAsia="宋体"/>
                <w:color w:val="auto"/>
                <w:sz w:val="21"/>
                <w:highlight w:val="none"/>
                <w:lang w:eastAsia="zh-CN"/>
              </w:rPr>
            </w:pPr>
            <w:r>
              <w:rPr>
                <w:rFonts w:hint="eastAsia" w:ascii="Times New Roman" w:hAnsi="Times New Roman"/>
                <w:color w:val="auto"/>
                <w:w w:val="99"/>
                <w:sz w:val="21"/>
                <w:highlight w:val="none"/>
                <w:lang w:eastAsia="zh-CN"/>
              </w:rPr>
              <w:t>1</w:t>
            </w:r>
          </w:p>
        </w:tc>
        <w:tc>
          <w:tcPr>
            <w:tcW w:w="1762" w:type="dxa"/>
          </w:tcPr>
          <w:p>
            <w:pPr>
              <w:pStyle w:val="65"/>
              <w:spacing w:before="109"/>
              <w:ind w:left="108"/>
              <w:rPr>
                <w:color w:val="auto"/>
                <w:sz w:val="21"/>
                <w:highlight w:val="none"/>
              </w:rPr>
            </w:pPr>
            <w:r>
              <w:rPr>
                <w:color w:val="auto"/>
                <w:sz w:val="21"/>
                <w:highlight w:val="none"/>
              </w:rPr>
              <w:t>复印件及电子稿</w:t>
            </w:r>
          </w:p>
        </w:tc>
        <w:tc>
          <w:tcPr>
            <w:tcW w:w="2975" w:type="dxa"/>
            <w:vMerge w:val="continue"/>
            <w:tcBorders>
              <w:top w:val="nil"/>
            </w:tcBorders>
          </w:tcPr>
          <w:p>
            <w:pPr>
              <w:rPr>
                <w:color w:val="auto"/>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09" w:type="dxa"/>
          </w:tcPr>
          <w:p>
            <w:pPr>
              <w:pStyle w:val="65"/>
              <w:spacing w:before="143"/>
              <w:ind w:left="7"/>
              <w:jc w:val="center"/>
              <w:rPr>
                <w:rFonts w:hint="eastAsia" w:eastAsia="宋体"/>
                <w:color w:val="auto"/>
                <w:sz w:val="21"/>
                <w:highlight w:val="none"/>
                <w:lang w:eastAsia="zh-CN"/>
              </w:rPr>
            </w:pPr>
            <w:r>
              <w:rPr>
                <w:rFonts w:hint="eastAsia" w:ascii="Times New Roman" w:hAnsi="Times New Roman"/>
                <w:color w:val="auto"/>
                <w:w w:val="99"/>
                <w:sz w:val="21"/>
                <w:highlight w:val="none"/>
                <w:lang w:eastAsia="zh-CN"/>
              </w:rPr>
              <w:t>3</w:t>
            </w:r>
          </w:p>
        </w:tc>
        <w:tc>
          <w:tcPr>
            <w:tcW w:w="2187" w:type="dxa"/>
          </w:tcPr>
          <w:p>
            <w:pPr>
              <w:pStyle w:val="65"/>
              <w:spacing w:before="143"/>
              <w:ind w:left="128" w:right="119"/>
              <w:jc w:val="center"/>
              <w:rPr>
                <w:color w:val="auto"/>
                <w:sz w:val="21"/>
                <w:highlight w:val="none"/>
              </w:rPr>
            </w:pPr>
            <w:r>
              <w:rPr>
                <w:color w:val="auto"/>
                <w:sz w:val="21"/>
                <w:highlight w:val="none"/>
              </w:rPr>
              <w:t>用地指标及规划红线</w:t>
            </w:r>
          </w:p>
        </w:tc>
        <w:tc>
          <w:tcPr>
            <w:tcW w:w="731" w:type="dxa"/>
          </w:tcPr>
          <w:p>
            <w:pPr>
              <w:pStyle w:val="65"/>
              <w:spacing w:before="143"/>
              <w:ind w:left="11"/>
              <w:jc w:val="center"/>
              <w:rPr>
                <w:rFonts w:hint="eastAsia" w:eastAsia="宋体"/>
                <w:color w:val="auto"/>
                <w:sz w:val="21"/>
                <w:highlight w:val="none"/>
                <w:lang w:eastAsia="zh-CN"/>
              </w:rPr>
            </w:pPr>
            <w:r>
              <w:rPr>
                <w:rFonts w:hint="eastAsia" w:ascii="Times New Roman" w:hAnsi="Times New Roman"/>
                <w:color w:val="auto"/>
                <w:w w:val="99"/>
                <w:sz w:val="21"/>
                <w:highlight w:val="none"/>
                <w:lang w:eastAsia="zh-CN"/>
              </w:rPr>
              <w:t>1</w:t>
            </w:r>
          </w:p>
        </w:tc>
        <w:tc>
          <w:tcPr>
            <w:tcW w:w="1762" w:type="dxa"/>
          </w:tcPr>
          <w:p>
            <w:pPr>
              <w:pStyle w:val="65"/>
              <w:spacing w:before="143"/>
              <w:ind w:left="108"/>
              <w:rPr>
                <w:color w:val="auto"/>
                <w:sz w:val="21"/>
                <w:highlight w:val="none"/>
              </w:rPr>
            </w:pPr>
            <w:r>
              <w:rPr>
                <w:color w:val="auto"/>
                <w:sz w:val="21"/>
                <w:highlight w:val="none"/>
              </w:rPr>
              <w:t>复印件及电子稿</w:t>
            </w:r>
          </w:p>
        </w:tc>
        <w:tc>
          <w:tcPr>
            <w:tcW w:w="2975" w:type="dxa"/>
            <w:vMerge w:val="continue"/>
            <w:tcBorders>
              <w:top w:val="nil"/>
            </w:tcBorders>
          </w:tcPr>
          <w:p>
            <w:pPr>
              <w:rPr>
                <w:color w:val="auto"/>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709" w:type="dxa"/>
          </w:tcPr>
          <w:p>
            <w:pPr>
              <w:pStyle w:val="65"/>
              <w:rPr>
                <w:b/>
                <w:color w:val="auto"/>
                <w:sz w:val="28"/>
                <w:highlight w:val="none"/>
              </w:rPr>
            </w:pPr>
          </w:p>
          <w:p>
            <w:pPr>
              <w:pStyle w:val="65"/>
              <w:ind w:left="7"/>
              <w:jc w:val="center"/>
              <w:rPr>
                <w:rFonts w:hint="eastAsia" w:eastAsia="宋体"/>
                <w:color w:val="auto"/>
                <w:sz w:val="21"/>
                <w:highlight w:val="none"/>
                <w:lang w:eastAsia="zh-CN"/>
              </w:rPr>
            </w:pPr>
            <w:r>
              <w:rPr>
                <w:rFonts w:hint="eastAsia" w:ascii="Times New Roman" w:hAnsi="Times New Roman"/>
                <w:color w:val="auto"/>
                <w:w w:val="99"/>
                <w:sz w:val="21"/>
                <w:highlight w:val="none"/>
                <w:lang w:eastAsia="zh-CN"/>
              </w:rPr>
              <w:t>4</w:t>
            </w:r>
          </w:p>
        </w:tc>
        <w:tc>
          <w:tcPr>
            <w:tcW w:w="2187" w:type="dxa"/>
          </w:tcPr>
          <w:p>
            <w:pPr>
              <w:pStyle w:val="65"/>
              <w:rPr>
                <w:b/>
                <w:color w:val="auto"/>
                <w:sz w:val="28"/>
                <w:highlight w:val="none"/>
              </w:rPr>
            </w:pPr>
          </w:p>
          <w:p>
            <w:pPr>
              <w:pStyle w:val="65"/>
              <w:ind w:left="126" w:right="119"/>
              <w:jc w:val="center"/>
              <w:rPr>
                <w:color w:val="auto"/>
                <w:sz w:val="21"/>
                <w:highlight w:val="none"/>
              </w:rPr>
            </w:pPr>
            <w:r>
              <w:rPr>
                <w:color w:val="auto"/>
                <w:sz w:val="21"/>
                <w:highlight w:val="none"/>
              </w:rPr>
              <w:t>地质勘探资料</w:t>
            </w:r>
          </w:p>
        </w:tc>
        <w:tc>
          <w:tcPr>
            <w:tcW w:w="731" w:type="dxa"/>
          </w:tcPr>
          <w:p>
            <w:pPr>
              <w:pStyle w:val="65"/>
              <w:rPr>
                <w:b/>
                <w:color w:val="auto"/>
                <w:sz w:val="28"/>
                <w:highlight w:val="none"/>
              </w:rPr>
            </w:pPr>
          </w:p>
          <w:p>
            <w:pPr>
              <w:pStyle w:val="65"/>
              <w:ind w:left="11"/>
              <w:jc w:val="center"/>
              <w:rPr>
                <w:rFonts w:hint="eastAsia" w:eastAsia="宋体"/>
                <w:color w:val="auto"/>
                <w:sz w:val="21"/>
                <w:highlight w:val="none"/>
                <w:lang w:eastAsia="zh-CN"/>
              </w:rPr>
            </w:pPr>
            <w:r>
              <w:rPr>
                <w:rFonts w:hint="eastAsia" w:ascii="Times New Roman" w:hAnsi="Times New Roman"/>
                <w:color w:val="auto"/>
                <w:w w:val="99"/>
                <w:sz w:val="21"/>
                <w:highlight w:val="none"/>
                <w:lang w:eastAsia="zh-CN"/>
              </w:rPr>
              <w:t>1</w:t>
            </w:r>
          </w:p>
        </w:tc>
        <w:tc>
          <w:tcPr>
            <w:tcW w:w="1762" w:type="dxa"/>
          </w:tcPr>
          <w:p>
            <w:pPr>
              <w:pStyle w:val="65"/>
              <w:rPr>
                <w:b/>
                <w:color w:val="auto"/>
                <w:sz w:val="28"/>
                <w:highlight w:val="none"/>
              </w:rPr>
            </w:pPr>
          </w:p>
          <w:p>
            <w:pPr>
              <w:pStyle w:val="65"/>
              <w:ind w:left="108"/>
              <w:rPr>
                <w:color w:val="auto"/>
                <w:sz w:val="21"/>
                <w:highlight w:val="none"/>
              </w:rPr>
            </w:pPr>
            <w:r>
              <w:rPr>
                <w:color w:val="auto"/>
                <w:sz w:val="21"/>
                <w:highlight w:val="none"/>
              </w:rPr>
              <w:t>原件</w:t>
            </w:r>
          </w:p>
        </w:tc>
        <w:tc>
          <w:tcPr>
            <w:tcW w:w="2975" w:type="dxa"/>
          </w:tcPr>
          <w:p>
            <w:pPr>
              <w:pStyle w:val="65"/>
              <w:spacing w:line="300" w:lineRule="exact"/>
              <w:ind w:left="122" w:right="111"/>
              <w:jc w:val="center"/>
              <w:rPr>
                <w:color w:val="auto"/>
                <w:sz w:val="21"/>
                <w:highlight w:val="none"/>
                <w:lang w:eastAsia="zh-CN"/>
              </w:rPr>
            </w:pPr>
            <w:r>
              <w:rPr>
                <w:color w:val="auto"/>
                <w:w w:val="95"/>
                <w:sz w:val="21"/>
                <w:highlight w:val="none"/>
                <w:lang w:eastAsia="zh-CN"/>
              </w:rPr>
              <w:t>初步设计出图前一个月（无初步设计的，结构基础施工图出</w:t>
            </w:r>
            <w:r>
              <w:rPr>
                <w:color w:val="auto"/>
                <w:sz w:val="21"/>
                <w:highlight w:val="none"/>
                <w:lang w:eastAsia="zh-CN"/>
              </w:rPr>
              <w:t>图前一个月）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709" w:type="dxa"/>
          </w:tcPr>
          <w:p>
            <w:pPr>
              <w:pStyle w:val="65"/>
              <w:spacing w:before="3"/>
              <w:rPr>
                <w:b/>
                <w:color w:val="auto"/>
                <w:sz w:val="24"/>
                <w:highlight w:val="none"/>
                <w:lang w:eastAsia="zh-CN"/>
              </w:rPr>
            </w:pPr>
          </w:p>
          <w:p>
            <w:pPr>
              <w:pStyle w:val="65"/>
              <w:ind w:left="7"/>
              <w:jc w:val="center"/>
              <w:rPr>
                <w:rFonts w:hint="eastAsia" w:eastAsia="宋体"/>
                <w:color w:val="auto"/>
                <w:sz w:val="21"/>
                <w:highlight w:val="none"/>
                <w:lang w:eastAsia="zh-CN"/>
              </w:rPr>
            </w:pPr>
            <w:r>
              <w:rPr>
                <w:rFonts w:hint="eastAsia" w:ascii="Times New Roman" w:hAnsi="Times New Roman"/>
                <w:color w:val="auto"/>
                <w:w w:val="99"/>
                <w:sz w:val="21"/>
                <w:highlight w:val="none"/>
                <w:lang w:eastAsia="zh-CN"/>
              </w:rPr>
              <w:t>5</w:t>
            </w:r>
          </w:p>
        </w:tc>
        <w:tc>
          <w:tcPr>
            <w:tcW w:w="2187" w:type="dxa"/>
          </w:tcPr>
          <w:p>
            <w:pPr>
              <w:pStyle w:val="65"/>
              <w:spacing w:before="3"/>
              <w:rPr>
                <w:b/>
                <w:color w:val="auto"/>
                <w:sz w:val="24"/>
                <w:highlight w:val="none"/>
              </w:rPr>
            </w:pPr>
          </w:p>
          <w:p>
            <w:pPr>
              <w:pStyle w:val="65"/>
              <w:ind w:left="126" w:right="119"/>
              <w:jc w:val="center"/>
              <w:rPr>
                <w:color w:val="auto"/>
                <w:sz w:val="21"/>
                <w:highlight w:val="none"/>
              </w:rPr>
            </w:pPr>
            <w:r>
              <w:rPr>
                <w:color w:val="auto"/>
                <w:sz w:val="21"/>
                <w:highlight w:val="none"/>
              </w:rPr>
              <w:t>周边环境资料</w:t>
            </w:r>
          </w:p>
        </w:tc>
        <w:tc>
          <w:tcPr>
            <w:tcW w:w="731" w:type="dxa"/>
          </w:tcPr>
          <w:p>
            <w:pPr>
              <w:pStyle w:val="65"/>
              <w:spacing w:before="3"/>
              <w:rPr>
                <w:b/>
                <w:color w:val="auto"/>
                <w:sz w:val="24"/>
                <w:highlight w:val="none"/>
              </w:rPr>
            </w:pPr>
          </w:p>
          <w:p>
            <w:pPr>
              <w:pStyle w:val="65"/>
              <w:ind w:left="11"/>
              <w:jc w:val="center"/>
              <w:rPr>
                <w:rFonts w:hint="eastAsia" w:eastAsia="宋体"/>
                <w:color w:val="auto"/>
                <w:sz w:val="21"/>
                <w:highlight w:val="none"/>
                <w:lang w:eastAsia="zh-CN"/>
              </w:rPr>
            </w:pPr>
            <w:r>
              <w:rPr>
                <w:rFonts w:hint="eastAsia" w:ascii="Times New Roman" w:hAnsi="Times New Roman"/>
                <w:color w:val="auto"/>
                <w:w w:val="99"/>
                <w:sz w:val="21"/>
                <w:highlight w:val="none"/>
                <w:lang w:eastAsia="zh-CN"/>
              </w:rPr>
              <w:t>1</w:t>
            </w:r>
          </w:p>
        </w:tc>
        <w:tc>
          <w:tcPr>
            <w:tcW w:w="1762" w:type="dxa"/>
          </w:tcPr>
          <w:p>
            <w:pPr>
              <w:pStyle w:val="65"/>
              <w:spacing w:before="109"/>
              <w:ind w:left="108"/>
              <w:rPr>
                <w:color w:val="auto"/>
                <w:sz w:val="21"/>
                <w:highlight w:val="none"/>
                <w:lang w:eastAsia="zh-CN"/>
              </w:rPr>
            </w:pPr>
            <w:r>
              <w:rPr>
                <w:color w:val="auto"/>
                <w:sz w:val="21"/>
                <w:highlight w:val="none"/>
                <w:lang w:eastAsia="zh-CN"/>
              </w:rPr>
              <w:t>复印件并由甲方</w:t>
            </w:r>
          </w:p>
          <w:p>
            <w:pPr>
              <w:pStyle w:val="65"/>
              <w:spacing w:before="132"/>
              <w:ind w:left="108"/>
              <w:rPr>
                <w:color w:val="auto"/>
                <w:sz w:val="21"/>
                <w:highlight w:val="none"/>
                <w:lang w:eastAsia="zh-CN"/>
              </w:rPr>
            </w:pPr>
            <w:r>
              <w:rPr>
                <w:color w:val="auto"/>
                <w:sz w:val="21"/>
                <w:highlight w:val="none"/>
                <w:lang w:eastAsia="zh-CN"/>
              </w:rPr>
              <w:t>盖章确认</w:t>
            </w:r>
          </w:p>
        </w:tc>
        <w:tc>
          <w:tcPr>
            <w:tcW w:w="2975" w:type="dxa"/>
          </w:tcPr>
          <w:p>
            <w:pPr>
              <w:pStyle w:val="65"/>
              <w:spacing w:before="3"/>
              <w:rPr>
                <w:b/>
                <w:color w:val="auto"/>
                <w:sz w:val="24"/>
                <w:highlight w:val="none"/>
                <w:lang w:eastAsia="zh-CN"/>
              </w:rPr>
            </w:pPr>
          </w:p>
          <w:p>
            <w:pPr>
              <w:pStyle w:val="65"/>
              <w:ind w:left="114" w:right="111"/>
              <w:jc w:val="center"/>
              <w:rPr>
                <w:color w:val="auto"/>
                <w:sz w:val="21"/>
                <w:highlight w:val="none"/>
              </w:rPr>
            </w:pPr>
            <w:r>
              <w:rPr>
                <w:color w:val="auto"/>
                <w:sz w:val="21"/>
                <w:highlight w:val="none"/>
              </w:rPr>
              <w:t xml:space="preserve">合同签订后 </w:t>
            </w:r>
            <w:r>
              <w:rPr>
                <w:rFonts w:hint="eastAsia" w:ascii="Times New Roman" w:hAnsi="Times New Roman"/>
                <w:color w:val="auto"/>
                <w:sz w:val="21"/>
                <w:highlight w:val="none"/>
                <w:lang w:eastAsia="zh-CN"/>
              </w:rPr>
              <w:t>7</w:t>
            </w:r>
            <w:r>
              <w:rPr>
                <w:color w:val="auto"/>
                <w:sz w:val="21"/>
                <w:highlight w:val="none"/>
              </w:rPr>
              <w:t xml:space="preserve"> 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709" w:type="dxa"/>
          </w:tcPr>
          <w:p>
            <w:pPr>
              <w:pStyle w:val="65"/>
              <w:spacing w:before="2"/>
              <w:rPr>
                <w:b/>
                <w:color w:val="auto"/>
                <w:sz w:val="24"/>
                <w:highlight w:val="none"/>
              </w:rPr>
            </w:pPr>
          </w:p>
          <w:p>
            <w:pPr>
              <w:pStyle w:val="65"/>
              <w:ind w:left="7"/>
              <w:jc w:val="center"/>
              <w:rPr>
                <w:rFonts w:hint="eastAsia" w:eastAsia="宋体"/>
                <w:color w:val="auto"/>
                <w:sz w:val="21"/>
                <w:highlight w:val="none"/>
                <w:lang w:eastAsia="zh-CN"/>
              </w:rPr>
            </w:pPr>
            <w:r>
              <w:rPr>
                <w:rFonts w:hint="eastAsia" w:ascii="Times New Roman" w:hAnsi="Times New Roman"/>
                <w:color w:val="auto"/>
                <w:w w:val="99"/>
                <w:sz w:val="21"/>
                <w:highlight w:val="none"/>
                <w:lang w:eastAsia="zh-CN"/>
              </w:rPr>
              <w:t>6</w:t>
            </w:r>
          </w:p>
        </w:tc>
        <w:tc>
          <w:tcPr>
            <w:tcW w:w="2187" w:type="dxa"/>
          </w:tcPr>
          <w:p>
            <w:pPr>
              <w:pStyle w:val="65"/>
              <w:spacing w:before="2"/>
              <w:rPr>
                <w:b/>
                <w:color w:val="auto"/>
                <w:sz w:val="24"/>
                <w:highlight w:val="none"/>
              </w:rPr>
            </w:pPr>
          </w:p>
          <w:p>
            <w:pPr>
              <w:pStyle w:val="65"/>
              <w:ind w:left="126" w:right="119"/>
              <w:jc w:val="center"/>
              <w:rPr>
                <w:color w:val="auto"/>
                <w:sz w:val="21"/>
                <w:highlight w:val="none"/>
              </w:rPr>
            </w:pPr>
            <w:r>
              <w:rPr>
                <w:color w:val="auto"/>
                <w:sz w:val="21"/>
                <w:highlight w:val="none"/>
              </w:rPr>
              <w:t>测绘图</w:t>
            </w:r>
          </w:p>
        </w:tc>
        <w:tc>
          <w:tcPr>
            <w:tcW w:w="731" w:type="dxa"/>
          </w:tcPr>
          <w:p>
            <w:pPr>
              <w:pStyle w:val="65"/>
              <w:spacing w:before="2"/>
              <w:rPr>
                <w:b/>
                <w:color w:val="auto"/>
                <w:sz w:val="24"/>
                <w:highlight w:val="none"/>
              </w:rPr>
            </w:pPr>
          </w:p>
          <w:p>
            <w:pPr>
              <w:pStyle w:val="65"/>
              <w:ind w:left="11"/>
              <w:jc w:val="center"/>
              <w:rPr>
                <w:rFonts w:hint="eastAsia" w:eastAsia="宋体"/>
                <w:color w:val="auto"/>
                <w:sz w:val="21"/>
                <w:highlight w:val="none"/>
                <w:lang w:eastAsia="zh-CN"/>
              </w:rPr>
            </w:pPr>
            <w:r>
              <w:rPr>
                <w:rFonts w:hint="eastAsia" w:ascii="Times New Roman" w:hAnsi="Times New Roman"/>
                <w:color w:val="auto"/>
                <w:w w:val="99"/>
                <w:sz w:val="21"/>
                <w:highlight w:val="none"/>
                <w:lang w:eastAsia="zh-CN"/>
              </w:rPr>
              <w:t>1</w:t>
            </w:r>
          </w:p>
        </w:tc>
        <w:tc>
          <w:tcPr>
            <w:tcW w:w="1762" w:type="dxa"/>
          </w:tcPr>
          <w:p>
            <w:pPr>
              <w:pStyle w:val="65"/>
              <w:spacing w:before="2" w:line="398" w:lineRule="exact"/>
              <w:ind w:left="108" w:right="172"/>
              <w:rPr>
                <w:color w:val="auto"/>
                <w:sz w:val="21"/>
                <w:highlight w:val="none"/>
                <w:lang w:eastAsia="zh-CN"/>
              </w:rPr>
            </w:pPr>
            <w:r>
              <w:rPr>
                <w:color w:val="auto"/>
                <w:sz w:val="21"/>
                <w:highlight w:val="none"/>
                <w:lang w:eastAsia="zh-CN"/>
              </w:rPr>
              <w:t>复印件并由甲方盖章确认</w:t>
            </w:r>
          </w:p>
        </w:tc>
        <w:tc>
          <w:tcPr>
            <w:tcW w:w="2975" w:type="dxa"/>
          </w:tcPr>
          <w:p>
            <w:pPr>
              <w:pStyle w:val="65"/>
              <w:spacing w:before="2"/>
              <w:rPr>
                <w:b/>
                <w:color w:val="auto"/>
                <w:sz w:val="24"/>
                <w:highlight w:val="none"/>
                <w:lang w:eastAsia="zh-CN"/>
              </w:rPr>
            </w:pPr>
          </w:p>
          <w:p>
            <w:pPr>
              <w:pStyle w:val="65"/>
              <w:ind w:left="114" w:right="111"/>
              <w:jc w:val="center"/>
              <w:rPr>
                <w:color w:val="auto"/>
                <w:sz w:val="21"/>
                <w:highlight w:val="none"/>
              </w:rPr>
            </w:pPr>
            <w:r>
              <w:rPr>
                <w:color w:val="auto"/>
                <w:sz w:val="21"/>
                <w:highlight w:val="none"/>
              </w:rPr>
              <w:t xml:space="preserve">合同签订后 </w:t>
            </w:r>
            <w:r>
              <w:rPr>
                <w:rFonts w:hint="eastAsia" w:ascii="Times New Roman" w:hAnsi="Times New Roman"/>
                <w:color w:val="auto"/>
                <w:sz w:val="21"/>
                <w:highlight w:val="none"/>
                <w:lang w:eastAsia="zh-CN"/>
              </w:rPr>
              <w:t>7</w:t>
            </w:r>
            <w:r>
              <w:rPr>
                <w:color w:val="auto"/>
                <w:sz w:val="21"/>
                <w:highlight w:val="none"/>
              </w:rPr>
              <w:t xml:space="preserve"> 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709" w:type="dxa"/>
          </w:tcPr>
          <w:p>
            <w:pPr>
              <w:pStyle w:val="65"/>
              <w:spacing w:before="3"/>
              <w:rPr>
                <w:b/>
                <w:color w:val="auto"/>
                <w:sz w:val="24"/>
                <w:highlight w:val="none"/>
              </w:rPr>
            </w:pPr>
          </w:p>
          <w:p>
            <w:pPr>
              <w:pStyle w:val="65"/>
              <w:ind w:left="7"/>
              <w:jc w:val="center"/>
              <w:rPr>
                <w:rFonts w:hint="eastAsia" w:eastAsia="宋体"/>
                <w:color w:val="auto"/>
                <w:sz w:val="21"/>
                <w:highlight w:val="none"/>
                <w:lang w:eastAsia="zh-CN"/>
              </w:rPr>
            </w:pPr>
            <w:r>
              <w:rPr>
                <w:rFonts w:hint="eastAsia" w:ascii="Times New Roman" w:hAnsi="Times New Roman"/>
                <w:color w:val="auto"/>
                <w:w w:val="99"/>
                <w:sz w:val="21"/>
                <w:highlight w:val="none"/>
                <w:lang w:eastAsia="zh-CN"/>
              </w:rPr>
              <w:t>7</w:t>
            </w:r>
          </w:p>
        </w:tc>
        <w:tc>
          <w:tcPr>
            <w:tcW w:w="2187" w:type="dxa"/>
          </w:tcPr>
          <w:p>
            <w:pPr>
              <w:pStyle w:val="65"/>
              <w:spacing w:before="109"/>
              <w:ind w:left="128" w:right="119"/>
              <w:jc w:val="center"/>
              <w:rPr>
                <w:color w:val="auto"/>
                <w:sz w:val="21"/>
                <w:highlight w:val="none"/>
                <w:lang w:eastAsia="zh-CN"/>
              </w:rPr>
            </w:pPr>
            <w:r>
              <w:rPr>
                <w:color w:val="auto"/>
                <w:sz w:val="21"/>
                <w:highlight w:val="none"/>
                <w:lang w:eastAsia="zh-CN"/>
              </w:rPr>
              <w:t>《住宅项目建筑施工</w:t>
            </w:r>
          </w:p>
          <w:p>
            <w:pPr>
              <w:pStyle w:val="65"/>
              <w:spacing w:before="132"/>
              <w:ind w:left="126" w:right="119"/>
              <w:jc w:val="center"/>
              <w:rPr>
                <w:color w:val="auto"/>
                <w:sz w:val="21"/>
                <w:highlight w:val="none"/>
                <w:lang w:eastAsia="zh-CN"/>
              </w:rPr>
            </w:pPr>
            <w:r>
              <w:rPr>
                <w:color w:val="auto"/>
                <w:sz w:val="21"/>
                <w:highlight w:val="none"/>
                <w:lang w:eastAsia="zh-CN"/>
              </w:rPr>
              <w:t>图评审要点》</w:t>
            </w:r>
          </w:p>
        </w:tc>
        <w:tc>
          <w:tcPr>
            <w:tcW w:w="731" w:type="dxa"/>
          </w:tcPr>
          <w:p>
            <w:pPr>
              <w:pStyle w:val="65"/>
              <w:spacing w:before="3"/>
              <w:rPr>
                <w:b/>
                <w:color w:val="auto"/>
                <w:sz w:val="25"/>
                <w:highlight w:val="none"/>
                <w:lang w:eastAsia="zh-CN"/>
              </w:rPr>
            </w:pPr>
          </w:p>
          <w:p>
            <w:pPr>
              <w:pStyle w:val="65"/>
              <w:ind w:left="8"/>
              <w:jc w:val="center"/>
              <w:rPr>
                <w:rFonts w:hint="eastAsia" w:ascii="Arial" w:eastAsia="宋体"/>
                <w:color w:val="auto"/>
                <w:sz w:val="21"/>
                <w:highlight w:val="none"/>
                <w:lang w:eastAsia="zh-CN"/>
              </w:rPr>
            </w:pPr>
            <w:r>
              <w:rPr>
                <w:rFonts w:hint="eastAsia" w:ascii="Times New Roman" w:hAnsi="Times New Roman"/>
                <w:color w:val="auto"/>
                <w:w w:val="99"/>
                <w:sz w:val="21"/>
                <w:highlight w:val="none"/>
                <w:lang w:eastAsia="zh-CN"/>
              </w:rPr>
              <w:t>1</w:t>
            </w:r>
          </w:p>
        </w:tc>
        <w:tc>
          <w:tcPr>
            <w:tcW w:w="1762" w:type="dxa"/>
          </w:tcPr>
          <w:p>
            <w:pPr>
              <w:pStyle w:val="65"/>
              <w:spacing w:before="3"/>
              <w:rPr>
                <w:b/>
                <w:color w:val="auto"/>
                <w:sz w:val="24"/>
                <w:highlight w:val="none"/>
              </w:rPr>
            </w:pPr>
          </w:p>
          <w:p>
            <w:pPr>
              <w:pStyle w:val="65"/>
              <w:ind w:left="108"/>
              <w:rPr>
                <w:color w:val="auto"/>
                <w:sz w:val="21"/>
                <w:highlight w:val="none"/>
              </w:rPr>
            </w:pPr>
            <w:r>
              <w:rPr>
                <w:color w:val="auto"/>
                <w:sz w:val="21"/>
                <w:highlight w:val="none"/>
              </w:rPr>
              <w:t>电子版</w:t>
            </w:r>
          </w:p>
        </w:tc>
        <w:tc>
          <w:tcPr>
            <w:tcW w:w="2975" w:type="dxa"/>
          </w:tcPr>
          <w:p>
            <w:pPr>
              <w:pStyle w:val="65"/>
              <w:spacing w:before="3"/>
              <w:rPr>
                <w:b/>
                <w:color w:val="auto"/>
                <w:sz w:val="24"/>
                <w:highlight w:val="none"/>
              </w:rPr>
            </w:pPr>
          </w:p>
          <w:p>
            <w:pPr>
              <w:pStyle w:val="65"/>
              <w:ind w:left="114" w:right="111"/>
              <w:jc w:val="center"/>
              <w:rPr>
                <w:color w:val="auto"/>
                <w:sz w:val="21"/>
                <w:highlight w:val="none"/>
              </w:rPr>
            </w:pPr>
            <w:r>
              <w:rPr>
                <w:color w:val="auto"/>
                <w:sz w:val="21"/>
                <w:highlight w:val="none"/>
              </w:rPr>
              <w:t xml:space="preserve">合同签订后 </w:t>
            </w:r>
            <w:r>
              <w:rPr>
                <w:rFonts w:hint="eastAsia" w:ascii="Times New Roman" w:hAnsi="Times New Roman"/>
                <w:color w:val="auto"/>
                <w:sz w:val="21"/>
                <w:highlight w:val="none"/>
                <w:lang w:eastAsia="zh-CN"/>
              </w:rPr>
              <w:t>7</w:t>
            </w:r>
            <w:r>
              <w:rPr>
                <w:rFonts w:ascii="Arial" w:eastAsia="Arial"/>
                <w:color w:val="auto"/>
                <w:sz w:val="21"/>
                <w:highlight w:val="none"/>
              </w:rPr>
              <w:t xml:space="preserve"> </w:t>
            </w:r>
            <w:r>
              <w:rPr>
                <w:color w:val="auto"/>
                <w:sz w:val="21"/>
                <w:highlight w:val="none"/>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709" w:type="dxa"/>
          </w:tcPr>
          <w:p>
            <w:pPr>
              <w:pStyle w:val="65"/>
              <w:spacing w:before="175"/>
              <w:ind w:left="7"/>
              <w:jc w:val="center"/>
              <w:rPr>
                <w:rFonts w:hint="eastAsia" w:eastAsia="宋体"/>
                <w:color w:val="auto"/>
                <w:sz w:val="21"/>
                <w:highlight w:val="none"/>
                <w:lang w:eastAsia="zh-CN"/>
              </w:rPr>
            </w:pPr>
            <w:r>
              <w:rPr>
                <w:rFonts w:hint="eastAsia" w:ascii="Times New Roman" w:hAnsi="Times New Roman"/>
                <w:color w:val="auto"/>
                <w:w w:val="99"/>
                <w:sz w:val="21"/>
                <w:highlight w:val="none"/>
                <w:lang w:eastAsia="zh-CN"/>
              </w:rPr>
              <w:t>8</w:t>
            </w:r>
          </w:p>
        </w:tc>
        <w:tc>
          <w:tcPr>
            <w:tcW w:w="2187" w:type="dxa"/>
          </w:tcPr>
          <w:p>
            <w:pPr>
              <w:pStyle w:val="65"/>
              <w:spacing w:before="175"/>
              <w:ind w:left="123" w:right="119"/>
              <w:jc w:val="center"/>
              <w:rPr>
                <w:color w:val="auto"/>
                <w:sz w:val="21"/>
                <w:highlight w:val="none"/>
              </w:rPr>
            </w:pPr>
            <w:r>
              <w:rPr>
                <w:color w:val="auto"/>
                <w:sz w:val="21"/>
                <w:highlight w:val="none"/>
              </w:rPr>
              <w:t>其他资料</w:t>
            </w:r>
          </w:p>
        </w:tc>
        <w:tc>
          <w:tcPr>
            <w:tcW w:w="731" w:type="dxa"/>
          </w:tcPr>
          <w:p>
            <w:pPr>
              <w:pStyle w:val="65"/>
              <w:rPr>
                <w:rFonts w:ascii="Times New Roman"/>
                <w:color w:val="auto"/>
                <w:sz w:val="20"/>
                <w:highlight w:val="none"/>
              </w:rPr>
            </w:pPr>
          </w:p>
        </w:tc>
        <w:tc>
          <w:tcPr>
            <w:tcW w:w="1762" w:type="dxa"/>
          </w:tcPr>
          <w:p>
            <w:pPr>
              <w:pStyle w:val="65"/>
              <w:rPr>
                <w:rFonts w:ascii="Times New Roman"/>
                <w:color w:val="auto"/>
                <w:sz w:val="20"/>
                <w:highlight w:val="none"/>
              </w:rPr>
            </w:pPr>
          </w:p>
        </w:tc>
        <w:tc>
          <w:tcPr>
            <w:tcW w:w="2975" w:type="dxa"/>
          </w:tcPr>
          <w:p>
            <w:pPr>
              <w:pStyle w:val="65"/>
              <w:rPr>
                <w:rFonts w:ascii="Times New Roman"/>
                <w:color w:val="auto"/>
                <w:sz w:val="20"/>
                <w:highlight w:val="none"/>
              </w:rPr>
            </w:pPr>
          </w:p>
        </w:tc>
      </w:tr>
    </w:tbl>
    <w:p>
      <w:pPr>
        <w:rPr>
          <w:rFonts w:ascii="Times New Roman"/>
          <w:color w:val="auto"/>
          <w:sz w:val="20"/>
          <w:highlight w:val="none"/>
        </w:rPr>
        <w:sectPr>
          <w:pgSz w:w="11849" w:h="16792"/>
          <w:pgMar w:top="1417" w:right="850" w:bottom="1417" w:left="850" w:header="850" w:footer="850" w:gutter="0"/>
          <w:pgBorders>
            <w:top w:val="none" w:sz="0" w:space="0"/>
            <w:left w:val="none" w:sz="0" w:space="0"/>
            <w:bottom w:val="none" w:sz="0" w:space="0"/>
            <w:right w:val="none" w:sz="0" w:space="0"/>
          </w:pgBorders>
          <w:pgNumType w:fmt="decimal"/>
          <w:cols w:space="0" w:num="1"/>
          <w:rtlGutter w:val="0"/>
          <w:docGrid w:linePitch="0" w:charSpace="0"/>
        </w:sectPr>
      </w:pPr>
    </w:p>
    <w:p>
      <w:pPr>
        <w:spacing w:before="47"/>
        <w:ind w:left="820"/>
        <w:rPr>
          <w:b/>
          <w:color w:val="auto"/>
          <w:sz w:val="21"/>
          <w:highlight w:val="none"/>
        </w:rPr>
      </w:pPr>
      <w:r>
        <w:rPr>
          <w:b/>
          <w:color w:val="auto"/>
          <w:sz w:val="21"/>
          <w:highlight w:val="none"/>
        </w:rPr>
        <w:t>附件六：设计费的支付</w:t>
      </w:r>
    </w:p>
    <w:p>
      <w:pPr>
        <w:tabs>
          <w:tab w:val="left" w:pos="2966"/>
          <w:tab w:val="left" w:pos="5755"/>
          <w:tab w:val="left" w:pos="7967"/>
        </w:tabs>
        <w:spacing w:before="21" w:line="364" w:lineRule="auto"/>
        <w:ind w:left="820" w:right="819" w:hanging="12"/>
        <w:rPr>
          <w:color w:val="auto"/>
          <w:sz w:val="21"/>
          <w:highlight w:val="none"/>
          <w:lang w:eastAsia="zh-CN"/>
        </w:rPr>
      </w:pPr>
      <w:r>
        <w:rPr>
          <w:color w:val="auto"/>
          <w:sz w:val="21"/>
          <w:highlight w:val="none"/>
          <w:lang w:eastAsia="zh-CN"/>
        </w:rPr>
        <w:t>本项目合同总额暂定</w:t>
      </w:r>
      <w:r>
        <w:rPr>
          <w:color w:val="auto"/>
          <w:sz w:val="21"/>
          <w:highlight w:val="none"/>
          <w:u w:val="single"/>
          <w:lang w:eastAsia="zh-CN"/>
        </w:rPr>
        <w:t xml:space="preserve"> </w:t>
      </w:r>
      <w:r>
        <w:rPr>
          <w:color w:val="auto"/>
          <w:sz w:val="21"/>
          <w:highlight w:val="none"/>
          <w:u w:val="single"/>
          <w:lang w:eastAsia="zh-CN"/>
        </w:rPr>
        <w:tab/>
      </w:r>
      <w:r>
        <w:rPr>
          <w:color w:val="auto"/>
          <w:sz w:val="21"/>
          <w:highlight w:val="none"/>
          <w:lang w:eastAsia="zh-CN"/>
        </w:rPr>
        <w:t>元，其中建筑设计费暂</w:t>
      </w:r>
      <w:r>
        <w:rPr>
          <w:color w:val="auto"/>
          <w:spacing w:val="51"/>
          <w:sz w:val="21"/>
          <w:highlight w:val="none"/>
          <w:lang w:eastAsia="zh-CN"/>
        </w:rPr>
        <w:t>定</w:t>
      </w:r>
      <w:r>
        <w:rPr>
          <w:color w:val="auto"/>
          <w:spacing w:val="51"/>
          <w:sz w:val="21"/>
          <w:highlight w:val="none"/>
          <w:u w:val="single"/>
          <w:lang w:eastAsia="zh-CN"/>
        </w:rPr>
        <w:t xml:space="preserve"> </w:t>
      </w:r>
      <w:r>
        <w:rPr>
          <w:color w:val="auto"/>
          <w:spacing w:val="51"/>
          <w:sz w:val="21"/>
          <w:highlight w:val="none"/>
          <w:u w:val="single"/>
          <w:lang w:eastAsia="zh-CN"/>
        </w:rPr>
        <w:tab/>
      </w:r>
      <w:r>
        <w:rPr>
          <w:color w:val="auto"/>
          <w:sz w:val="21"/>
          <w:highlight w:val="none"/>
          <w:lang w:eastAsia="zh-CN"/>
        </w:rPr>
        <w:t>元，专项设计费暂定</w:t>
      </w:r>
      <w:r>
        <w:rPr>
          <w:color w:val="auto"/>
          <w:sz w:val="21"/>
          <w:highlight w:val="none"/>
          <w:u w:val="single"/>
          <w:lang w:eastAsia="zh-CN"/>
        </w:rPr>
        <w:t xml:space="preserve"> </w:t>
      </w:r>
      <w:r>
        <w:rPr>
          <w:color w:val="auto"/>
          <w:sz w:val="21"/>
          <w:highlight w:val="none"/>
          <w:u w:val="single"/>
          <w:lang w:eastAsia="zh-CN"/>
        </w:rPr>
        <w:tab/>
      </w:r>
      <w:r>
        <w:rPr>
          <w:color w:val="auto"/>
          <w:sz w:val="21"/>
          <w:highlight w:val="none"/>
          <w:lang w:eastAsia="zh-CN"/>
        </w:rPr>
        <w:t>元，费用支</w:t>
      </w:r>
      <w:r>
        <w:rPr>
          <w:color w:val="auto"/>
          <w:spacing w:val="-14"/>
          <w:sz w:val="21"/>
          <w:highlight w:val="none"/>
          <w:lang w:eastAsia="zh-CN"/>
        </w:rPr>
        <w:t>付</w:t>
      </w:r>
      <w:r>
        <w:rPr>
          <w:color w:val="auto"/>
          <w:sz w:val="21"/>
          <w:highlight w:val="none"/>
          <w:lang w:eastAsia="zh-CN"/>
        </w:rPr>
        <w:t>方式如下：</w:t>
      </w:r>
    </w:p>
    <w:tbl>
      <w:tblPr>
        <w:tblStyle w:val="104"/>
        <w:tblW w:w="0" w:type="auto"/>
        <w:tblInd w:w="5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6"/>
        <w:gridCol w:w="2224"/>
        <w:gridCol w:w="1719"/>
        <w:gridCol w:w="1306"/>
        <w:gridCol w:w="25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8990" w:type="dxa"/>
            <w:gridSpan w:val="5"/>
          </w:tcPr>
          <w:p>
            <w:pPr>
              <w:pStyle w:val="65"/>
              <w:rPr>
                <w:color w:val="auto"/>
                <w:sz w:val="15"/>
                <w:highlight w:val="none"/>
                <w:lang w:eastAsia="zh-CN"/>
              </w:rPr>
            </w:pPr>
          </w:p>
          <w:p>
            <w:pPr>
              <w:pStyle w:val="65"/>
              <w:spacing w:before="1"/>
              <w:ind w:left="2736" w:right="2730"/>
              <w:jc w:val="center"/>
              <w:rPr>
                <w:b/>
                <w:color w:val="auto"/>
                <w:sz w:val="21"/>
                <w:highlight w:val="none"/>
              </w:rPr>
            </w:pPr>
            <w:r>
              <w:rPr>
                <w:b/>
                <w:color w:val="auto"/>
                <w:sz w:val="21"/>
                <w:highlight w:val="none"/>
              </w:rPr>
              <w:t>建筑设计费支付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atLeast"/>
        </w:trPr>
        <w:tc>
          <w:tcPr>
            <w:tcW w:w="1156" w:type="dxa"/>
          </w:tcPr>
          <w:p>
            <w:pPr>
              <w:pStyle w:val="65"/>
              <w:rPr>
                <w:color w:val="auto"/>
                <w:sz w:val="20"/>
                <w:highlight w:val="none"/>
              </w:rPr>
            </w:pPr>
          </w:p>
          <w:p>
            <w:pPr>
              <w:pStyle w:val="65"/>
              <w:spacing w:before="7"/>
              <w:rPr>
                <w:color w:val="auto"/>
                <w:highlight w:val="none"/>
              </w:rPr>
            </w:pPr>
          </w:p>
          <w:p>
            <w:pPr>
              <w:pStyle w:val="65"/>
              <w:ind w:left="137" w:right="129"/>
              <w:jc w:val="center"/>
              <w:rPr>
                <w:color w:val="auto"/>
                <w:sz w:val="21"/>
                <w:highlight w:val="none"/>
              </w:rPr>
            </w:pPr>
            <w:r>
              <w:rPr>
                <w:color w:val="auto"/>
                <w:sz w:val="21"/>
                <w:highlight w:val="none"/>
              </w:rPr>
              <w:t>第</w:t>
            </w:r>
            <w:r>
              <w:rPr>
                <w:rFonts w:hint="eastAsia"/>
                <w:color w:val="auto"/>
                <w:sz w:val="21"/>
                <w:highlight w:val="none"/>
                <w:lang w:val="en-US" w:eastAsia="zh-CN"/>
              </w:rPr>
              <w:t>一</w:t>
            </w:r>
            <w:r>
              <w:rPr>
                <w:color w:val="auto"/>
                <w:sz w:val="21"/>
                <w:highlight w:val="none"/>
              </w:rPr>
              <w:t>阶段</w:t>
            </w:r>
          </w:p>
        </w:tc>
        <w:tc>
          <w:tcPr>
            <w:tcW w:w="2224" w:type="dxa"/>
          </w:tcPr>
          <w:p>
            <w:pPr>
              <w:pStyle w:val="65"/>
              <w:spacing w:line="242" w:lineRule="auto"/>
              <w:ind w:left="166" w:right="156"/>
              <w:jc w:val="both"/>
              <w:rPr>
                <w:color w:val="auto"/>
                <w:sz w:val="21"/>
                <w:highlight w:val="none"/>
                <w:lang w:eastAsia="zh-CN"/>
              </w:rPr>
            </w:pPr>
            <w:r>
              <w:rPr>
                <w:color w:val="auto"/>
                <w:spacing w:val="-2"/>
                <w:sz w:val="21"/>
                <w:highlight w:val="none"/>
                <w:lang w:eastAsia="zh-CN"/>
              </w:rPr>
              <w:t>建筑方案经相关主管</w:t>
            </w:r>
            <w:r>
              <w:rPr>
                <w:color w:val="auto"/>
                <w:spacing w:val="-7"/>
                <w:sz w:val="21"/>
                <w:highlight w:val="none"/>
                <w:lang w:eastAsia="zh-CN"/>
              </w:rPr>
              <w:t xml:space="preserve">部门审批通过后 </w:t>
            </w:r>
            <w:r>
              <w:rPr>
                <w:rFonts w:hint="eastAsia" w:ascii="Times New Roman" w:hAnsi="Times New Roman"/>
                <w:color w:val="auto"/>
                <w:sz w:val="21"/>
                <w:highlight w:val="none"/>
                <w:lang w:eastAsia="zh-CN"/>
              </w:rPr>
              <w:t>7</w:t>
            </w:r>
            <w:r>
              <w:rPr>
                <w:color w:val="auto"/>
                <w:spacing w:val="-34"/>
                <w:sz w:val="21"/>
                <w:highlight w:val="none"/>
                <w:lang w:eastAsia="zh-CN"/>
              </w:rPr>
              <w:t xml:space="preserve"> 个</w:t>
            </w:r>
            <w:r>
              <w:rPr>
                <w:color w:val="auto"/>
                <w:spacing w:val="-2"/>
                <w:sz w:val="21"/>
                <w:highlight w:val="none"/>
                <w:lang w:eastAsia="zh-CN"/>
              </w:rPr>
              <w:t>工作日内或要求启动</w:t>
            </w:r>
          </w:p>
          <w:p>
            <w:pPr>
              <w:pStyle w:val="65"/>
              <w:spacing w:before="3" w:line="270" w:lineRule="atLeast"/>
              <w:ind w:left="797" w:right="156" w:hanging="632"/>
              <w:rPr>
                <w:color w:val="auto"/>
                <w:sz w:val="21"/>
                <w:highlight w:val="none"/>
                <w:lang w:eastAsia="zh-CN"/>
              </w:rPr>
            </w:pPr>
            <w:r>
              <w:rPr>
                <w:color w:val="auto"/>
                <w:sz w:val="21"/>
                <w:highlight w:val="none"/>
                <w:lang w:eastAsia="zh-CN"/>
              </w:rPr>
              <w:t>下阶段建筑设计工作前支付</w:t>
            </w:r>
          </w:p>
        </w:tc>
        <w:tc>
          <w:tcPr>
            <w:tcW w:w="1719" w:type="dxa"/>
          </w:tcPr>
          <w:p>
            <w:pPr>
              <w:pStyle w:val="65"/>
              <w:rPr>
                <w:color w:val="auto"/>
                <w:sz w:val="20"/>
                <w:highlight w:val="none"/>
                <w:lang w:eastAsia="zh-CN"/>
              </w:rPr>
            </w:pPr>
          </w:p>
          <w:p>
            <w:pPr>
              <w:pStyle w:val="65"/>
              <w:spacing w:before="152" w:line="244" w:lineRule="auto"/>
              <w:ind w:left="414" w:right="169" w:hanging="236"/>
              <w:rPr>
                <w:color w:val="auto"/>
                <w:sz w:val="21"/>
                <w:highlight w:val="none"/>
              </w:rPr>
            </w:pPr>
            <w:r>
              <w:rPr>
                <w:color w:val="auto"/>
                <w:sz w:val="21"/>
                <w:highlight w:val="none"/>
              </w:rPr>
              <w:t xml:space="preserve">建筑设计费的 </w:t>
            </w:r>
            <w:r>
              <w:rPr>
                <w:rFonts w:hint="eastAsia" w:ascii="Times New Roman" w:hAnsi="Times New Roman"/>
                <w:color w:val="auto"/>
                <w:sz w:val="21"/>
                <w:highlight w:val="none"/>
                <w:lang w:eastAsia="zh-CN"/>
              </w:rPr>
              <w:t>20</w:t>
            </w:r>
            <w:r>
              <w:rPr>
                <w:color w:val="auto"/>
                <w:sz w:val="21"/>
                <w:highlight w:val="none"/>
              </w:rPr>
              <w:t>%</w:t>
            </w:r>
          </w:p>
        </w:tc>
        <w:tc>
          <w:tcPr>
            <w:tcW w:w="1306" w:type="dxa"/>
          </w:tcPr>
          <w:p>
            <w:pPr>
              <w:pStyle w:val="65"/>
              <w:rPr>
                <w:rFonts w:ascii="Times New Roman"/>
                <w:color w:val="auto"/>
                <w:sz w:val="20"/>
                <w:highlight w:val="none"/>
              </w:rPr>
            </w:pPr>
          </w:p>
        </w:tc>
        <w:tc>
          <w:tcPr>
            <w:tcW w:w="2585" w:type="dxa"/>
          </w:tcPr>
          <w:p>
            <w:pPr>
              <w:pStyle w:val="6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atLeast"/>
        </w:trPr>
        <w:tc>
          <w:tcPr>
            <w:tcW w:w="1156" w:type="dxa"/>
          </w:tcPr>
          <w:p>
            <w:pPr>
              <w:pStyle w:val="65"/>
              <w:rPr>
                <w:color w:val="auto"/>
                <w:sz w:val="20"/>
                <w:highlight w:val="none"/>
              </w:rPr>
            </w:pPr>
          </w:p>
          <w:p>
            <w:pPr>
              <w:pStyle w:val="65"/>
              <w:spacing w:before="5"/>
              <w:rPr>
                <w:color w:val="auto"/>
                <w:highlight w:val="none"/>
              </w:rPr>
            </w:pPr>
          </w:p>
          <w:p>
            <w:pPr>
              <w:pStyle w:val="65"/>
              <w:ind w:left="137" w:right="129"/>
              <w:jc w:val="center"/>
              <w:rPr>
                <w:color w:val="auto"/>
                <w:sz w:val="21"/>
                <w:highlight w:val="none"/>
              </w:rPr>
            </w:pPr>
            <w:r>
              <w:rPr>
                <w:color w:val="auto"/>
                <w:sz w:val="21"/>
                <w:highlight w:val="none"/>
              </w:rPr>
              <w:t>第</w:t>
            </w:r>
            <w:r>
              <w:rPr>
                <w:rFonts w:hint="eastAsia"/>
                <w:color w:val="auto"/>
                <w:sz w:val="21"/>
                <w:highlight w:val="none"/>
                <w:lang w:val="en-US" w:eastAsia="zh-CN"/>
              </w:rPr>
              <w:t>二</w:t>
            </w:r>
            <w:r>
              <w:rPr>
                <w:color w:val="auto"/>
                <w:sz w:val="21"/>
                <w:highlight w:val="none"/>
              </w:rPr>
              <w:t>阶段</w:t>
            </w:r>
          </w:p>
        </w:tc>
        <w:tc>
          <w:tcPr>
            <w:tcW w:w="2224" w:type="dxa"/>
          </w:tcPr>
          <w:p>
            <w:pPr>
              <w:pStyle w:val="65"/>
              <w:spacing w:before="136" w:line="242" w:lineRule="auto"/>
              <w:ind w:left="106" w:right="216"/>
              <w:rPr>
                <w:color w:val="auto"/>
                <w:sz w:val="21"/>
                <w:highlight w:val="none"/>
                <w:lang w:eastAsia="zh-CN"/>
              </w:rPr>
            </w:pPr>
            <w:r>
              <w:rPr>
                <w:color w:val="auto"/>
                <w:spacing w:val="-2"/>
                <w:sz w:val="21"/>
                <w:highlight w:val="none"/>
                <w:lang w:eastAsia="zh-CN"/>
              </w:rPr>
              <w:t>建筑施工图图审通过</w:t>
            </w:r>
            <w:r>
              <w:rPr>
                <w:color w:val="auto"/>
                <w:spacing w:val="-27"/>
                <w:sz w:val="21"/>
                <w:highlight w:val="none"/>
                <w:lang w:eastAsia="zh-CN"/>
              </w:rPr>
              <w:t xml:space="preserve">后 </w:t>
            </w:r>
            <w:r>
              <w:rPr>
                <w:rFonts w:hint="eastAsia" w:ascii="Times New Roman" w:hAnsi="Times New Roman"/>
                <w:color w:val="auto"/>
                <w:sz w:val="21"/>
                <w:highlight w:val="none"/>
                <w:lang w:eastAsia="zh-CN"/>
              </w:rPr>
              <w:t>7</w:t>
            </w:r>
            <w:r>
              <w:rPr>
                <w:color w:val="auto"/>
                <w:spacing w:val="-10"/>
                <w:sz w:val="21"/>
                <w:highlight w:val="none"/>
                <w:lang w:eastAsia="zh-CN"/>
              </w:rPr>
              <w:t xml:space="preserve"> 个工作日内支付</w:t>
            </w:r>
          </w:p>
          <w:p>
            <w:pPr>
              <w:pStyle w:val="65"/>
              <w:spacing w:line="244" w:lineRule="auto"/>
              <w:ind w:left="106" w:right="216"/>
              <w:rPr>
                <w:color w:val="auto"/>
                <w:sz w:val="21"/>
                <w:highlight w:val="none"/>
                <w:lang w:eastAsia="zh-CN"/>
              </w:rPr>
            </w:pPr>
            <w:r>
              <w:rPr>
                <w:color w:val="auto"/>
                <w:sz w:val="21"/>
                <w:highlight w:val="none"/>
                <w:lang w:eastAsia="zh-CN"/>
              </w:rPr>
              <w:t>（</w:t>
            </w:r>
            <w:r>
              <w:rPr>
                <w:color w:val="auto"/>
                <w:spacing w:val="-2"/>
                <w:sz w:val="21"/>
                <w:highlight w:val="none"/>
                <w:lang w:eastAsia="zh-CN"/>
              </w:rPr>
              <w:t>且最迟不晚于建筑</w:t>
            </w:r>
            <w:r>
              <w:rPr>
                <w:color w:val="auto"/>
                <w:w w:val="95"/>
                <w:sz w:val="21"/>
                <w:highlight w:val="none"/>
                <w:lang w:eastAsia="zh-CN"/>
              </w:rPr>
              <w:t>施工图成果提交后</w:t>
            </w:r>
            <w:r>
              <w:rPr>
                <w:color w:val="auto"/>
                <w:spacing w:val="-13"/>
                <w:w w:val="95"/>
                <w:sz w:val="21"/>
                <w:highlight w:val="none"/>
                <w:lang w:eastAsia="zh-CN"/>
              </w:rPr>
              <w:t>）</w:t>
            </w:r>
          </w:p>
        </w:tc>
        <w:tc>
          <w:tcPr>
            <w:tcW w:w="1719" w:type="dxa"/>
          </w:tcPr>
          <w:p>
            <w:pPr>
              <w:pStyle w:val="65"/>
              <w:rPr>
                <w:color w:val="auto"/>
                <w:sz w:val="20"/>
                <w:highlight w:val="none"/>
                <w:lang w:eastAsia="zh-CN"/>
              </w:rPr>
            </w:pPr>
          </w:p>
          <w:p>
            <w:pPr>
              <w:pStyle w:val="65"/>
              <w:spacing w:before="150" w:line="244" w:lineRule="auto"/>
              <w:ind w:left="414" w:right="169" w:hanging="236"/>
              <w:rPr>
                <w:color w:val="auto"/>
                <w:sz w:val="21"/>
                <w:highlight w:val="none"/>
              </w:rPr>
            </w:pPr>
            <w:r>
              <w:rPr>
                <w:color w:val="auto"/>
                <w:sz w:val="21"/>
                <w:highlight w:val="none"/>
              </w:rPr>
              <w:t xml:space="preserve">建筑设计费的 </w:t>
            </w:r>
            <w:r>
              <w:rPr>
                <w:rFonts w:hint="eastAsia" w:ascii="Times New Roman" w:hAnsi="Times New Roman"/>
                <w:color w:val="auto"/>
                <w:sz w:val="21"/>
                <w:highlight w:val="none"/>
                <w:lang w:val="en-US" w:eastAsia="zh-CN"/>
              </w:rPr>
              <w:t>50</w:t>
            </w:r>
            <w:r>
              <w:rPr>
                <w:color w:val="auto"/>
                <w:sz w:val="21"/>
                <w:highlight w:val="none"/>
              </w:rPr>
              <w:t>%</w:t>
            </w:r>
          </w:p>
        </w:tc>
        <w:tc>
          <w:tcPr>
            <w:tcW w:w="1306" w:type="dxa"/>
          </w:tcPr>
          <w:p>
            <w:pPr>
              <w:pStyle w:val="65"/>
              <w:rPr>
                <w:rFonts w:ascii="Times New Roman"/>
                <w:color w:val="auto"/>
                <w:sz w:val="20"/>
                <w:highlight w:val="none"/>
              </w:rPr>
            </w:pPr>
          </w:p>
        </w:tc>
        <w:tc>
          <w:tcPr>
            <w:tcW w:w="2585" w:type="dxa"/>
          </w:tcPr>
          <w:p>
            <w:pPr>
              <w:pStyle w:val="65"/>
              <w:spacing w:line="244" w:lineRule="auto"/>
              <w:ind w:left="108" w:right="222"/>
              <w:rPr>
                <w:color w:val="auto"/>
                <w:sz w:val="21"/>
                <w:highlight w:val="none"/>
                <w:lang w:eastAsia="zh-CN"/>
              </w:rPr>
            </w:pPr>
            <w:r>
              <w:rPr>
                <w:rFonts w:hint="eastAsia" w:ascii="Times New Roman" w:hAnsi="Times New Roman"/>
                <w:color w:val="auto"/>
                <w:sz w:val="21"/>
                <w:highlight w:val="none"/>
                <w:lang w:eastAsia="zh-CN"/>
              </w:rPr>
              <w:t>1</w:t>
            </w:r>
            <w:r>
              <w:rPr>
                <w:color w:val="auto"/>
                <w:sz w:val="21"/>
                <w:highlight w:val="none"/>
                <w:lang w:eastAsia="zh-CN"/>
              </w:rPr>
              <w:t>、如分期出图，按分期成果进行支付。</w:t>
            </w:r>
          </w:p>
          <w:p>
            <w:pPr>
              <w:pStyle w:val="65"/>
              <w:spacing w:line="265" w:lineRule="exact"/>
              <w:ind w:left="108"/>
              <w:rPr>
                <w:color w:val="auto"/>
                <w:sz w:val="21"/>
                <w:highlight w:val="none"/>
                <w:lang w:eastAsia="zh-CN"/>
              </w:rPr>
            </w:pPr>
            <w:r>
              <w:rPr>
                <w:rFonts w:hint="eastAsia" w:ascii="Times New Roman" w:hAnsi="Times New Roman"/>
                <w:color w:val="auto"/>
                <w:sz w:val="21"/>
                <w:highlight w:val="none"/>
                <w:lang w:eastAsia="zh-CN"/>
              </w:rPr>
              <w:t>2</w:t>
            </w:r>
            <w:r>
              <w:rPr>
                <w:color w:val="auto"/>
                <w:sz w:val="21"/>
                <w:highlight w:val="none"/>
                <w:lang w:eastAsia="zh-CN"/>
              </w:rPr>
              <w:t>、本阶段按照图审合格</w:t>
            </w:r>
          </w:p>
          <w:p>
            <w:pPr>
              <w:pStyle w:val="65"/>
              <w:spacing w:before="2" w:line="270" w:lineRule="atLeast"/>
              <w:ind w:left="108" w:right="155"/>
              <w:rPr>
                <w:color w:val="auto"/>
                <w:sz w:val="21"/>
                <w:highlight w:val="none"/>
                <w:lang w:eastAsia="zh-CN"/>
              </w:rPr>
            </w:pPr>
            <w:r>
              <w:rPr>
                <w:color w:val="auto"/>
                <w:sz w:val="21"/>
                <w:highlight w:val="none"/>
                <w:lang w:eastAsia="zh-CN"/>
              </w:rPr>
              <w:t>证面积及建筑综合单价核定设计总费用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5" w:hRule="atLeast"/>
        </w:trPr>
        <w:tc>
          <w:tcPr>
            <w:tcW w:w="1156" w:type="dxa"/>
          </w:tcPr>
          <w:p>
            <w:pPr>
              <w:pStyle w:val="65"/>
              <w:rPr>
                <w:color w:val="auto"/>
                <w:sz w:val="20"/>
                <w:highlight w:val="none"/>
                <w:lang w:eastAsia="zh-CN"/>
              </w:rPr>
            </w:pPr>
          </w:p>
          <w:p>
            <w:pPr>
              <w:pStyle w:val="65"/>
              <w:spacing w:before="4"/>
              <w:rPr>
                <w:color w:val="auto"/>
                <w:sz w:val="20"/>
                <w:highlight w:val="none"/>
                <w:lang w:eastAsia="zh-CN"/>
              </w:rPr>
            </w:pPr>
          </w:p>
          <w:p>
            <w:pPr>
              <w:pStyle w:val="65"/>
              <w:ind w:left="137" w:right="129"/>
              <w:jc w:val="center"/>
              <w:rPr>
                <w:color w:val="auto"/>
                <w:sz w:val="21"/>
                <w:highlight w:val="none"/>
              </w:rPr>
            </w:pPr>
            <w:r>
              <w:rPr>
                <w:color w:val="auto"/>
                <w:sz w:val="21"/>
                <w:highlight w:val="none"/>
              </w:rPr>
              <w:t>第</w:t>
            </w:r>
            <w:r>
              <w:rPr>
                <w:rFonts w:hint="eastAsia"/>
                <w:color w:val="auto"/>
                <w:sz w:val="21"/>
                <w:highlight w:val="none"/>
                <w:lang w:val="en-US" w:eastAsia="zh-CN"/>
              </w:rPr>
              <w:t>三</w:t>
            </w:r>
            <w:r>
              <w:rPr>
                <w:color w:val="auto"/>
                <w:sz w:val="21"/>
                <w:highlight w:val="none"/>
              </w:rPr>
              <w:t>阶段</w:t>
            </w:r>
          </w:p>
        </w:tc>
        <w:tc>
          <w:tcPr>
            <w:tcW w:w="2224" w:type="dxa"/>
          </w:tcPr>
          <w:p>
            <w:pPr>
              <w:pStyle w:val="65"/>
              <w:spacing w:before="12"/>
              <w:rPr>
                <w:color w:val="auto"/>
                <w:sz w:val="18"/>
                <w:highlight w:val="none"/>
                <w:lang w:eastAsia="zh-CN"/>
              </w:rPr>
            </w:pPr>
          </w:p>
          <w:p>
            <w:pPr>
              <w:pStyle w:val="65"/>
              <w:spacing w:line="242" w:lineRule="auto"/>
              <w:ind w:left="166" w:right="156" w:hanging="1"/>
              <w:jc w:val="center"/>
              <w:rPr>
                <w:color w:val="auto"/>
                <w:sz w:val="21"/>
                <w:highlight w:val="none"/>
                <w:lang w:eastAsia="zh-CN"/>
              </w:rPr>
            </w:pPr>
            <w:r>
              <w:rPr>
                <w:color w:val="auto"/>
                <w:spacing w:val="-2"/>
                <w:sz w:val="21"/>
                <w:highlight w:val="none"/>
                <w:lang w:eastAsia="zh-CN"/>
              </w:rPr>
              <w:t>所有楼栋</w:t>
            </w:r>
            <w:r>
              <w:rPr>
                <w:rFonts w:hint="eastAsia"/>
                <w:color w:val="auto"/>
                <w:spacing w:val="-2"/>
                <w:sz w:val="21"/>
                <w:highlight w:val="none"/>
                <w:lang w:val="en-US" w:eastAsia="zh-CN"/>
              </w:rPr>
              <w:t>竣工验收</w:t>
            </w:r>
            <w:r>
              <w:rPr>
                <w:color w:val="auto"/>
                <w:spacing w:val="-14"/>
                <w:sz w:val="21"/>
                <w:highlight w:val="none"/>
                <w:lang w:eastAsia="zh-CN"/>
              </w:rPr>
              <w:t xml:space="preserve">后 </w:t>
            </w:r>
            <w:r>
              <w:rPr>
                <w:rFonts w:hint="eastAsia" w:ascii="Times New Roman" w:hAnsi="Times New Roman"/>
                <w:color w:val="auto"/>
                <w:sz w:val="21"/>
                <w:highlight w:val="none"/>
                <w:lang w:eastAsia="zh-CN"/>
              </w:rPr>
              <w:t>7</w:t>
            </w:r>
            <w:r>
              <w:rPr>
                <w:color w:val="auto"/>
                <w:spacing w:val="-13"/>
                <w:sz w:val="21"/>
                <w:highlight w:val="none"/>
                <w:lang w:eastAsia="zh-CN"/>
              </w:rPr>
              <w:t xml:space="preserve"> 个工作日内</w:t>
            </w:r>
            <w:r>
              <w:rPr>
                <w:color w:val="auto"/>
                <w:sz w:val="21"/>
                <w:highlight w:val="none"/>
                <w:lang w:eastAsia="zh-CN"/>
              </w:rPr>
              <w:t>支付</w:t>
            </w:r>
          </w:p>
        </w:tc>
        <w:tc>
          <w:tcPr>
            <w:tcW w:w="1719" w:type="dxa"/>
          </w:tcPr>
          <w:p>
            <w:pPr>
              <w:pStyle w:val="65"/>
              <w:spacing w:before="8"/>
              <w:rPr>
                <w:color w:val="auto"/>
                <w:sz w:val="29"/>
                <w:highlight w:val="none"/>
                <w:lang w:eastAsia="zh-CN"/>
              </w:rPr>
            </w:pPr>
          </w:p>
          <w:p>
            <w:pPr>
              <w:pStyle w:val="65"/>
              <w:spacing w:line="244" w:lineRule="auto"/>
              <w:ind w:left="414" w:right="169" w:hanging="236"/>
              <w:rPr>
                <w:color w:val="auto"/>
                <w:sz w:val="21"/>
                <w:highlight w:val="none"/>
              </w:rPr>
            </w:pPr>
            <w:r>
              <w:rPr>
                <w:color w:val="auto"/>
                <w:sz w:val="21"/>
                <w:highlight w:val="none"/>
              </w:rPr>
              <w:t xml:space="preserve">建筑设计费的 </w:t>
            </w:r>
            <w:r>
              <w:rPr>
                <w:rFonts w:hint="eastAsia" w:ascii="Times New Roman" w:hAnsi="Times New Roman"/>
                <w:color w:val="auto"/>
                <w:sz w:val="21"/>
                <w:highlight w:val="none"/>
                <w:lang w:eastAsia="zh-CN"/>
              </w:rPr>
              <w:t>2</w:t>
            </w:r>
            <w:r>
              <w:rPr>
                <w:rFonts w:hint="eastAsia" w:ascii="Times New Roman" w:hAnsi="Times New Roman"/>
                <w:color w:val="auto"/>
                <w:sz w:val="21"/>
                <w:highlight w:val="none"/>
                <w:lang w:val="en-US" w:eastAsia="zh-CN"/>
              </w:rPr>
              <w:t>0</w:t>
            </w:r>
            <w:r>
              <w:rPr>
                <w:color w:val="auto"/>
                <w:sz w:val="21"/>
                <w:highlight w:val="none"/>
              </w:rPr>
              <w:t>%</w:t>
            </w:r>
          </w:p>
        </w:tc>
        <w:tc>
          <w:tcPr>
            <w:tcW w:w="1306" w:type="dxa"/>
          </w:tcPr>
          <w:p>
            <w:pPr>
              <w:pStyle w:val="65"/>
              <w:rPr>
                <w:rFonts w:ascii="Times New Roman"/>
                <w:color w:val="auto"/>
                <w:sz w:val="20"/>
                <w:highlight w:val="none"/>
              </w:rPr>
            </w:pPr>
          </w:p>
        </w:tc>
        <w:tc>
          <w:tcPr>
            <w:tcW w:w="2585" w:type="dxa"/>
          </w:tcPr>
          <w:p>
            <w:pPr>
              <w:pStyle w:val="65"/>
              <w:spacing w:before="8"/>
              <w:rPr>
                <w:color w:val="auto"/>
                <w:sz w:val="29"/>
                <w:highlight w:val="none"/>
                <w:lang w:eastAsia="zh-CN"/>
              </w:rPr>
            </w:pPr>
          </w:p>
          <w:p>
            <w:pPr>
              <w:pStyle w:val="65"/>
              <w:spacing w:line="244" w:lineRule="auto"/>
              <w:ind w:left="766" w:right="126" w:hanging="629"/>
              <w:rPr>
                <w:color w:val="auto"/>
                <w:sz w:val="21"/>
                <w:highlight w:val="none"/>
                <w:lang w:eastAsia="zh-CN"/>
              </w:rPr>
            </w:pPr>
            <w:r>
              <w:rPr>
                <w:color w:val="auto"/>
                <w:sz w:val="21"/>
                <w:highlight w:val="none"/>
                <w:lang w:eastAsia="zh-CN"/>
              </w:rPr>
              <w:t>如分期出图，按分期成果进行支付。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1156" w:type="dxa"/>
          </w:tcPr>
          <w:p>
            <w:pPr>
              <w:pStyle w:val="65"/>
              <w:spacing w:before="9"/>
              <w:rPr>
                <w:color w:val="auto"/>
                <w:sz w:val="19"/>
                <w:highlight w:val="none"/>
                <w:lang w:eastAsia="zh-CN"/>
              </w:rPr>
            </w:pPr>
          </w:p>
          <w:p>
            <w:pPr>
              <w:pStyle w:val="65"/>
              <w:ind w:left="137" w:right="129"/>
              <w:jc w:val="center"/>
              <w:rPr>
                <w:color w:val="auto"/>
                <w:sz w:val="21"/>
                <w:highlight w:val="none"/>
              </w:rPr>
            </w:pPr>
            <w:r>
              <w:rPr>
                <w:color w:val="auto"/>
                <w:sz w:val="21"/>
                <w:highlight w:val="none"/>
              </w:rPr>
              <w:t>第五阶段</w:t>
            </w:r>
          </w:p>
        </w:tc>
        <w:tc>
          <w:tcPr>
            <w:tcW w:w="2224" w:type="dxa"/>
          </w:tcPr>
          <w:p>
            <w:pPr>
              <w:pStyle w:val="65"/>
              <w:spacing w:before="118" w:line="242" w:lineRule="auto"/>
              <w:ind w:left="166" w:right="156"/>
              <w:rPr>
                <w:color w:val="auto"/>
                <w:sz w:val="21"/>
                <w:highlight w:val="none"/>
                <w:lang w:eastAsia="zh-CN"/>
              </w:rPr>
            </w:pPr>
            <w:r>
              <w:rPr>
                <w:color w:val="auto"/>
                <w:spacing w:val="-2"/>
                <w:sz w:val="21"/>
                <w:highlight w:val="none"/>
                <w:lang w:eastAsia="zh-CN"/>
              </w:rPr>
              <w:t>本项目</w:t>
            </w:r>
            <w:r>
              <w:rPr>
                <w:rFonts w:hint="eastAsia"/>
                <w:color w:val="auto"/>
                <w:spacing w:val="-2"/>
                <w:sz w:val="21"/>
                <w:highlight w:val="none"/>
                <w:lang w:val="en-US" w:eastAsia="zh-CN"/>
              </w:rPr>
              <w:t>竣工验收备案</w:t>
            </w:r>
            <w:r>
              <w:rPr>
                <w:color w:val="auto"/>
                <w:spacing w:val="-28"/>
                <w:sz w:val="21"/>
                <w:highlight w:val="none"/>
                <w:lang w:eastAsia="zh-CN"/>
              </w:rPr>
              <w:t xml:space="preserve">后 </w:t>
            </w:r>
            <w:r>
              <w:rPr>
                <w:rFonts w:hint="eastAsia" w:ascii="Times New Roman" w:hAnsi="Times New Roman"/>
                <w:color w:val="auto"/>
                <w:sz w:val="21"/>
                <w:highlight w:val="none"/>
                <w:lang w:eastAsia="zh-CN"/>
              </w:rPr>
              <w:t>7</w:t>
            </w:r>
            <w:r>
              <w:rPr>
                <w:color w:val="auto"/>
                <w:spacing w:val="-10"/>
                <w:sz w:val="21"/>
                <w:highlight w:val="none"/>
                <w:lang w:eastAsia="zh-CN"/>
              </w:rPr>
              <w:t xml:space="preserve"> 个工作日内支付</w:t>
            </w:r>
          </w:p>
        </w:tc>
        <w:tc>
          <w:tcPr>
            <w:tcW w:w="1719" w:type="dxa"/>
          </w:tcPr>
          <w:p>
            <w:pPr>
              <w:pStyle w:val="65"/>
              <w:spacing w:before="118" w:line="242" w:lineRule="auto"/>
              <w:ind w:left="414" w:right="169" w:hanging="236"/>
              <w:rPr>
                <w:color w:val="auto"/>
                <w:sz w:val="21"/>
                <w:highlight w:val="none"/>
              </w:rPr>
            </w:pPr>
            <w:r>
              <w:rPr>
                <w:color w:val="auto"/>
                <w:sz w:val="21"/>
                <w:highlight w:val="none"/>
              </w:rPr>
              <w:t xml:space="preserve">建筑设计费的 </w:t>
            </w:r>
            <w:r>
              <w:rPr>
                <w:rFonts w:hint="eastAsia" w:ascii="Times New Roman" w:hAnsi="Times New Roman"/>
                <w:color w:val="auto"/>
                <w:sz w:val="21"/>
                <w:highlight w:val="none"/>
                <w:lang w:eastAsia="zh-CN"/>
              </w:rPr>
              <w:t>10</w:t>
            </w:r>
            <w:r>
              <w:rPr>
                <w:color w:val="auto"/>
                <w:sz w:val="21"/>
                <w:highlight w:val="none"/>
              </w:rPr>
              <w:t>%</w:t>
            </w:r>
          </w:p>
        </w:tc>
        <w:tc>
          <w:tcPr>
            <w:tcW w:w="1306" w:type="dxa"/>
          </w:tcPr>
          <w:p>
            <w:pPr>
              <w:pStyle w:val="65"/>
              <w:rPr>
                <w:rFonts w:ascii="Times New Roman"/>
                <w:color w:val="auto"/>
                <w:sz w:val="20"/>
                <w:highlight w:val="none"/>
              </w:rPr>
            </w:pPr>
          </w:p>
        </w:tc>
        <w:tc>
          <w:tcPr>
            <w:tcW w:w="2585" w:type="dxa"/>
          </w:tcPr>
          <w:p>
            <w:pPr>
              <w:pStyle w:val="65"/>
              <w:spacing w:before="118" w:line="242" w:lineRule="auto"/>
              <w:ind w:left="240" w:right="126" w:hanging="104"/>
              <w:rPr>
                <w:color w:val="auto"/>
                <w:sz w:val="21"/>
                <w:highlight w:val="none"/>
                <w:lang w:eastAsia="zh-CN"/>
              </w:rPr>
            </w:pPr>
            <w:r>
              <w:rPr>
                <w:color w:val="auto"/>
                <w:sz w:val="21"/>
                <w:highlight w:val="none"/>
                <w:lang w:eastAsia="zh-CN"/>
              </w:rPr>
              <w:t>本阶段按照</w:t>
            </w:r>
            <w:r>
              <w:rPr>
                <w:rFonts w:hint="eastAsia"/>
                <w:color w:val="auto"/>
                <w:sz w:val="21"/>
                <w:highlight w:val="none"/>
                <w:lang w:val="en-US" w:eastAsia="zh-CN"/>
              </w:rPr>
              <w:t>规划许可证正本核准的建筑面积确定</w:t>
            </w:r>
            <w:r>
              <w:rPr>
                <w:color w:val="auto"/>
                <w:sz w:val="21"/>
                <w:highlight w:val="none"/>
                <w:lang w:eastAsia="zh-CN"/>
              </w:rPr>
              <w:t>建筑设计总费用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1156" w:type="dxa"/>
          </w:tcPr>
          <w:p>
            <w:pPr>
              <w:pStyle w:val="65"/>
              <w:spacing w:before="10"/>
              <w:rPr>
                <w:color w:val="auto"/>
                <w:sz w:val="26"/>
                <w:highlight w:val="none"/>
                <w:lang w:eastAsia="zh-CN"/>
              </w:rPr>
            </w:pPr>
          </w:p>
          <w:p>
            <w:pPr>
              <w:pStyle w:val="65"/>
              <w:ind w:left="135" w:right="129"/>
              <w:jc w:val="center"/>
              <w:rPr>
                <w:color w:val="auto"/>
                <w:sz w:val="21"/>
                <w:highlight w:val="none"/>
              </w:rPr>
            </w:pPr>
            <w:r>
              <w:rPr>
                <w:color w:val="auto"/>
                <w:sz w:val="21"/>
                <w:highlight w:val="none"/>
              </w:rPr>
              <w:t>合计</w:t>
            </w:r>
          </w:p>
        </w:tc>
        <w:tc>
          <w:tcPr>
            <w:tcW w:w="2224" w:type="dxa"/>
          </w:tcPr>
          <w:p>
            <w:pPr>
              <w:pStyle w:val="65"/>
              <w:rPr>
                <w:rFonts w:ascii="Times New Roman"/>
                <w:color w:val="auto"/>
                <w:sz w:val="20"/>
                <w:highlight w:val="none"/>
              </w:rPr>
            </w:pPr>
          </w:p>
        </w:tc>
        <w:tc>
          <w:tcPr>
            <w:tcW w:w="1719" w:type="dxa"/>
          </w:tcPr>
          <w:p>
            <w:pPr>
              <w:pStyle w:val="65"/>
              <w:spacing w:before="2"/>
              <w:rPr>
                <w:color w:val="auto"/>
                <w:sz w:val="16"/>
                <w:highlight w:val="none"/>
              </w:rPr>
            </w:pPr>
          </w:p>
          <w:p>
            <w:pPr>
              <w:pStyle w:val="65"/>
              <w:spacing w:line="244" w:lineRule="auto"/>
              <w:ind w:left="414" w:right="169" w:hanging="236"/>
              <w:rPr>
                <w:color w:val="auto"/>
                <w:sz w:val="21"/>
                <w:highlight w:val="none"/>
              </w:rPr>
            </w:pPr>
            <w:r>
              <w:rPr>
                <w:color w:val="auto"/>
                <w:sz w:val="21"/>
                <w:highlight w:val="none"/>
              </w:rPr>
              <w:t xml:space="preserve">建筑设计费的 </w:t>
            </w:r>
            <w:r>
              <w:rPr>
                <w:rFonts w:hint="eastAsia" w:ascii="Times New Roman" w:hAnsi="Times New Roman"/>
                <w:color w:val="auto"/>
                <w:sz w:val="21"/>
                <w:highlight w:val="none"/>
                <w:lang w:val="en-US" w:eastAsia="zh-CN"/>
              </w:rPr>
              <w:t>100</w:t>
            </w:r>
            <w:r>
              <w:rPr>
                <w:color w:val="auto"/>
                <w:sz w:val="21"/>
                <w:highlight w:val="none"/>
              </w:rPr>
              <w:t>%</w:t>
            </w:r>
          </w:p>
        </w:tc>
        <w:tc>
          <w:tcPr>
            <w:tcW w:w="1306" w:type="dxa"/>
          </w:tcPr>
          <w:p>
            <w:pPr>
              <w:pStyle w:val="65"/>
              <w:rPr>
                <w:rFonts w:ascii="Times New Roman"/>
                <w:color w:val="auto"/>
                <w:sz w:val="20"/>
                <w:highlight w:val="none"/>
              </w:rPr>
            </w:pPr>
          </w:p>
        </w:tc>
        <w:tc>
          <w:tcPr>
            <w:tcW w:w="2585" w:type="dxa"/>
          </w:tcPr>
          <w:p>
            <w:pPr>
              <w:pStyle w:val="6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8990" w:type="dxa"/>
            <w:gridSpan w:val="5"/>
          </w:tcPr>
          <w:p>
            <w:pPr>
              <w:pStyle w:val="65"/>
              <w:spacing w:before="5"/>
              <w:rPr>
                <w:color w:val="auto"/>
                <w:sz w:val="17"/>
                <w:highlight w:val="none"/>
                <w:lang w:eastAsia="zh-CN"/>
              </w:rPr>
            </w:pPr>
          </w:p>
          <w:p>
            <w:pPr>
              <w:pStyle w:val="65"/>
              <w:ind w:left="2738" w:right="2730"/>
              <w:jc w:val="center"/>
              <w:rPr>
                <w:b/>
                <w:color w:val="auto"/>
                <w:sz w:val="21"/>
                <w:highlight w:val="none"/>
                <w:lang w:eastAsia="zh-CN"/>
              </w:rPr>
            </w:pPr>
            <w:r>
              <w:rPr>
                <w:color w:val="auto"/>
                <w:sz w:val="21"/>
                <w:highlight w:val="none"/>
                <w:lang w:eastAsia="zh-CN"/>
              </w:rPr>
              <w:t>精装、景观、</w:t>
            </w:r>
            <w:r>
              <w:rPr>
                <w:rFonts w:hint="eastAsia" w:ascii="Times New Roman" w:hAnsi="Times New Roman"/>
                <w:color w:val="auto"/>
                <w:sz w:val="21"/>
                <w:highlight w:val="none"/>
                <w:lang w:eastAsia="zh-CN"/>
              </w:rPr>
              <w:t>PC</w:t>
            </w:r>
            <w:r>
              <w:rPr>
                <w:color w:val="auto"/>
                <w:sz w:val="21"/>
                <w:highlight w:val="none"/>
                <w:lang w:eastAsia="zh-CN"/>
              </w:rPr>
              <w:t xml:space="preserve"> 深化</w:t>
            </w:r>
            <w:r>
              <w:rPr>
                <w:b/>
                <w:color w:val="auto"/>
                <w:sz w:val="21"/>
                <w:highlight w:val="none"/>
                <w:lang w:eastAsia="zh-CN"/>
              </w:rPr>
              <w:t>专项设计费支付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1156" w:type="dxa"/>
          </w:tcPr>
          <w:p>
            <w:pPr>
              <w:pStyle w:val="65"/>
              <w:rPr>
                <w:color w:val="auto"/>
                <w:sz w:val="20"/>
                <w:highlight w:val="none"/>
                <w:lang w:eastAsia="zh-CN"/>
              </w:rPr>
            </w:pPr>
          </w:p>
          <w:p>
            <w:pPr>
              <w:pStyle w:val="65"/>
              <w:rPr>
                <w:color w:val="auto"/>
                <w:sz w:val="20"/>
                <w:highlight w:val="none"/>
                <w:lang w:eastAsia="zh-CN"/>
              </w:rPr>
            </w:pPr>
          </w:p>
          <w:p>
            <w:pPr>
              <w:pStyle w:val="65"/>
              <w:spacing w:before="130"/>
              <w:ind w:left="137" w:right="129"/>
              <w:jc w:val="center"/>
              <w:rPr>
                <w:color w:val="auto"/>
                <w:sz w:val="21"/>
                <w:highlight w:val="none"/>
              </w:rPr>
            </w:pPr>
            <w:r>
              <w:rPr>
                <w:color w:val="auto"/>
                <w:sz w:val="21"/>
                <w:highlight w:val="none"/>
              </w:rPr>
              <w:t>第</w:t>
            </w:r>
            <w:r>
              <w:rPr>
                <w:rFonts w:hint="eastAsia"/>
                <w:color w:val="auto"/>
                <w:sz w:val="21"/>
                <w:highlight w:val="none"/>
                <w:lang w:val="en-US" w:eastAsia="zh-CN"/>
              </w:rPr>
              <w:t>一</w:t>
            </w:r>
            <w:r>
              <w:rPr>
                <w:color w:val="auto"/>
                <w:sz w:val="21"/>
                <w:highlight w:val="none"/>
              </w:rPr>
              <w:t>阶段</w:t>
            </w:r>
          </w:p>
        </w:tc>
        <w:tc>
          <w:tcPr>
            <w:tcW w:w="2224" w:type="dxa"/>
          </w:tcPr>
          <w:p>
            <w:pPr>
              <w:pStyle w:val="65"/>
              <w:spacing w:before="4"/>
              <w:rPr>
                <w:color w:val="auto"/>
                <w:sz w:val="18"/>
                <w:highlight w:val="none"/>
                <w:lang w:eastAsia="zh-CN"/>
              </w:rPr>
            </w:pPr>
          </w:p>
          <w:p>
            <w:pPr>
              <w:pStyle w:val="65"/>
              <w:spacing w:line="242" w:lineRule="auto"/>
              <w:ind w:left="106" w:right="98"/>
              <w:jc w:val="center"/>
              <w:rPr>
                <w:color w:val="auto"/>
                <w:sz w:val="21"/>
                <w:highlight w:val="none"/>
                <w:lang w:eastAsia="zh-CN"/>
              </w:rPr>
            </w:pPr>
            <w:r>
              <w:rPr>
                <w:color w:val="auto"/>
                <w:sz w:val="21"/>
                <w:highlight w:val="none"/>
                <w:lang w:eastAsia="zh-CN"/>
              </w:rPr>
              <w:t>精装、景观、</w:t>
            </w:r>
            <w:r>
              <w:rPr>
                <w:rFonts w:hint="eastAsia" w:ascii="Times New Roman" w:hAnsi="Times New Roman"/>
                <w:color w:val="auto"/>
                <w:sz w:val="21"/>
                <w:highlight w:val="none"/>
                <w:lang w:eastAsia="zh-CN"/>
              </w:rPr>
              <w:t>PC</w:t>
            </w:r>
            <w:r>
              <w:rPr>
                <w:color w:val="auto"/>
                <w:sz w:val="21"/>
                <w:highlight w:val="none"/>
                <w:lang w:eastAsia="zh-CN"/>
              </w:rPr>
              <w:t xml:space="preserve"> 深化专项方案完成并经甲方确认后 </w:t>
            </w:r>
            <w:r>
              <w:rPr>
                <w:rFonts w:hint="eastAsia" w:ascii="Times New Roman" w:hAnsi="Times New Roman"/>
                <w:color w:val="auto"/>
                <w:sz w:val="21"/>
                <w:highlight w:val="none"/>
                <w:lang w:eastAsia="zh-CN"/>
              </w:rPr>
              <w:t>7</w:t>
            </w:r>
            <w:r>
              <w:rPr>
                <w:color w:val="auto"/>
                <w:sz w:val="21"/>
                <w:highlight w:val="none"/>
                <w:lang w:eastAsia="zh-CN"/>
              </w:rPr>
              <w:t xml:space="preserve"> 个工作日内支付</w:t>
            </w:r>
          </w:p>
        </w:tc>
        <w:tc>
          <w:tcPr>
            <w:tcW w:w="1719" w:type="dxa"/>
          </w:tcPr>
          <w:p>
            <w:pPr>
              <w:pStyle w:val="65"/>
              <w:spacing w:before="4"/>
              <w:rPr>
                <w:color w:val="auto"/>
                <w:sz w:val="18"/>
                <w:highlight w:val="none"/>
                <w:lang w:eastAsia="zh-CN"/>
              </w:rPr>
            </w:pPr>
          </w:p>
          <w:p>
            <w:pPr>
              <w:pStyle w:val="65"/>
              <w:spacing w:line="242" w:lineRule="auto"/>
              <w:ind w:left="152" w:right="145" w:firstLine="2"/>
              <w:jc w:val="center"/>
              <w:rPr>
                <w:color w:val="auto"/>
                <w:sz w:val="21"/>
                <w:highlight w:val="none"/>
                <w:lang w:eastAsia="zh-CN"/>
              </w:rPr>
            </w:pPr>
            <w:r>
              <w:rPr>
                <w:color w:val="auto"/>
                <w:sz w:val="21"/>
                <w:highlight w:val="none"/>
                <w:lang w:eastAsia="zh-CN"/>
              </w:rPr>
              <w:t>精装、景 观、</w:t>
            </w:r>
            <w:r>
              <w:rPr>
                <w:rFonts w:hint="eastAsia" w:ascii="Times New Roman" w:hAnsi="Times New Roman"/>
                <w:color w:val="auto"/>
                <w:sz w:val="21"/>
                <w:highlight w:val="none"/>
                <w:lang w:eastAsia="zh-CN"/>
              </w:rPr>
              <w:t>PC</w:t>
            </w:r>
            <w:r>
              <w:rPr>
                <w:color w:val="auto"/>
                <w:spacing w:val="-24"/>
                <w:sz w:val="21"/>
                <w:highlight w:val="none"/>
                <w:lang w:eastAsia="zh-CN"/>
              </w:rPr>
              <w:t xml:space="preserve"> 深化</w:t>
            </w:r>
            <w:r>
              <w:rPr>
                <w:color w:val="auto"/>
                <w:sz w:val="21"/>
                <w:highlight w:val="none"/>
                <w:lang w:eastAsia="zh-CN"/>
              </w:rPr>
              <w:t>专项设计费</w:t>
            </w:r>
            <w:r>
              <w:rPr>
                <w:color w:val="auto"/>
                <w:spacing w:val="-26"/>
                <w:sz w:val="21"/>
                <w:highlight w:val="none"/>
                <w:lang w:eastAsia="zh-CN"/>
              </w:rPr>
              <w:t xml:space="preserve">的 </w:t>
            </w:r>
            <w:r>
              <w:rPr>
                <w:rFonts w:hint="eastAsia" w:ascii="Times New Roman" w:hAnsi="Times New Roman"/>
                <w:color w:val="auto"/>
                <w:sz w:val="21"/>
                <w:highlight w:val="none"/>
                <w:lang w:eastAsia="zh-CN"/>
              </w:rPr>
              <w:t>20</w:t>
            </w:r>
            <w:r>
              <w:rPr>
                <w:color w:val="auto"/>
                <w:sz w:val="21"/>
                <w:highlight w:val="none"/>
                <w:lang w:eastAsia="zh-CN"/>
              </w:rPr>
              <w:t>%</w:t>
            </w:r>
          </w:p>
        </w:tc>
        <w:tc>
          <w:tcPr>
            <w:tcW w:w="1306" w:type="dxa"/>
          </w:tcPr>
          <w:p>
            <w:pPr>
              <w:pStyle w:val="65"/>
              <w:rPr>
                <w:rFonts w:ascii="Times New Roman"/>
                <w:color w:val="auto"/>
                <w:sz w:val="20"/>
                <w:highlight w:val="none"/>
                <w:lang w:eastAsia="zh-CN"/>
              </w:rPr>
            </w:pPr>
          </w:p>
        </w:tc>
        <w:tc>
          <w:tcPr>
            <w:tcW w:w="2585" w:type="dxa"/>
          </w:tcPr>
          <w:p>
            <w:pPr>
              <w:pStyle w:val="65"/>
              <w:rPr>
                <w:rFonts w:ascii="Times New Roman"/>
                <w:color w:val="auto"/>
                <w:sz w:val="2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5" w:hRule="atLeast"/>
        </w:trPr>
        <w:tc>
          <w:tcPr>
            <w:tcW w:w="1156" w:type="dxa"/>
          </w:tcPr>
          <w:p>
            <w:pPr>
              <w:pStyle w:val="65"/>
              <w:rPr>
                <w:color w:val="auto"/>
                <w:sz w:val="20"/>
                <w:highlight w:val="none"/>
                <w:lang w:eastAsia="zh-CN"/>
              </w:rPr>
            </w:pPr>
          </w:p>
          <w:p>
            <w:pPr>
              <w:pStyle w:val="65"/>
              <w:rPr>
                <w:color w:val="auto"/>
                <w:sz w:val="20"/>
                <w:highlight w:val="none"/>
                <w:lang w:eastAsia="zh-CN"/>
              </w:rPr>
            </w:pPr>
          </w:p>
          <w:p>
            <w:pPr>
              <w:pStyle w:val="65"/>
              <w:spacing w:before="168"/>
              <w:ind w:left="137" w:right="129"/>
              <w:jc w:val="center"/>
              <w:rPr>
                <w:color w:val="auto"/>
                <w:sz w:val="21"/>
                <w:highlight w:val="none"/>
              </w:rPr>
            </w:pPr>
            <w:r>
              <w:rPr>
                <w:color w:val="auto"/>
                <w:sz w:val="21"/>
                <w:highlight w:val="none"/>
              </w:rPr>
              <w:t>第</w:t>
            </w:r>
            <w:r>
              <w:rPr>
                <w:rFonts w:hint="eastAsia"/>
                <w:color w:val="auto"/>
                <w:sz w:val="21"/>
                <w:highlight w:val="none"/>
                <w:lang w:val="en-US" w:eastAsia="zh-CN"/>
              </w:rPr>
              <w:t>二</w:t>
            </w:r>
            <w:r>
              <w:rPr>
                <w:color w:val="auto"/>
                <w:sz w:val="21"/>
                <w:highlight w:val="none"/>
              </w:rPr>
              <w:t>阶段</w:t>
            </w:r>
          </w:p>
        </w:tc>
        <w:tc>
          <w:tcPr>
            <w:tcW w:w="2224" w:type="dxa"/>
          </w:tcPr>
          <w:p>
            <w:pPr>
              <w:pStyle w:val="65"/>
              <w:spacing w:before="1" w:line="242" w:lineRule="auto"/>
              <w:ind w:left="166" w:right="132" w:hanging="27"/>
              <w:jc w:val="both"/>
              <w:rPr>
                <w:color w:val="auto"/>
                <w:sz w:val="21"/>
                <w:highlight w:val="none"/>
                <w:lang w:eastAsia="zh-CN"/>
              </w:rPr>
            </w:pPr>
            <w:r>
              <w:rPr>
                <w:color w:val="auto"/>
                <w:sz w:val="21"/>
                <w:highlight w:val="none"/>
                <w:lang w:eastAsia="zh-CN"/>
              </w:rPr>
              <w:t>精装、景观、</w:t>
            </w:r>
            <w:r>
              <w:rPr>
                <w:rFonts w:hint="eastAsia" w:ascii="Times New Roman" w:hAnsi="Times New Roman"/>
                <w:color w:val="auto"/>
                <w:sz w:val="21"/>
                <w:highlight w:val="none"/>
                <w:lang w:eastAsia="zh-CN"/>
              </w:rPr>
              <w:t>PC</w:t>
            </w:r>
            <w:r>
              <w:rPr>
                <w:color w:val="auto"/>
                <w:spacing w:val="-24"/>
                <w:sz w:val="21"/>
                <w:highlight w:val="none"/>
                <w:lang w:eastAsia="zh-CN"/>
              </w:rPr>
              <w:t xml:space="preserve"> 深化</w:t>
            </w:r>
            <w:r>
              <w:rPr>
                <w:color w:val="auto"/>
                <w:sz w:val="21"/>
                <w:highlight w:val="none"/>
                <w:lang w:eastAsia="zh-CN"/>
              </w:rPr>
              <w:t>专项施工图完成并经甲方确认，如有外部报审需经外部报审通</w:t>
            </w:r>
            <w:r>
              <w:rPr>
                <w:color w:val="auto"/>
                <w:spacing w:val="-18"/>
                <w:sz w:val="21"/>
                <w:highlight w:val="none"/>
                <w:lang w:eastAsia="zh-CN"/>
              </w:rPr>
              <w:t xml:space="preserve">过后 </w:t>
            </w:r>
            <w:r>
              <w:rPr>
                <w:rFonts w:hint="eastAsia" w:ascii="Times New Roman" w:hAnsi="Times New Roman"/>
                <w:color w:val="auto"/>
                <w:sz w:val="21"/>
                <w:highlight w:val="none"/>
                <w:lang w:eastAsia="zh-CN"/>
              </w:rPr>
              <w:t>7</w:t>
            </w:r>
            <w:r>
              <w:rPr>
                <w:color w:val="auto"/>
                <w:spacing w:val="-9"/>
                <w:sz w:val="21"/>
                <w:highlight w:val="none"/>
                <w:lang w:eastAsia="zh-CN"/>
              </w:rPr>
              <w:t xml:space="preserve"> 个工作日内支</w:t>
            </w:r>
          </w:p>
          <w:p>
            <w:pPr>
              <w:pStyle w:val="65"/>
              <w:spacing w:before="3" w:line="252" w:lineRule="exact"/>
              <w:ind w:left="8"/>
              <w:jc w:val="center"/>
              <w:rPr>
                <w:color w:val="auto"/>
                <w:sz w:val="21"/>
                <w:highlight w:val="none"/>
              </w:rPr>
            </w:pPr>
            <w:r>
              <w:rPr>
                <w:color w:val="auto"/>
                <w:w w:val="99"/>
                <w:sz w:val="21"/>
                <w:highlight w:val="none"/>
              </w:rPr>
              <w:t>付</w:t>
            </w:r>
          </w:p>
        </w:tc>
        <w:tc>
          <w:tcPr>
            <w:tcW w:w="1719" w:type="dxa"/>
          </w:tcPr>
          <w:p>
            <w:pPr>
              <w:pStyle w:val="65"/>
              <w:spacing w:before="3"/>
              <w:rPr>
                <w:color w:val="auto"/>
                <w:sz w:val="21"/>
                <w:highlight w:val="none"/>
                <w:lang w:eastAsia="zh-CN"/>
              </w:rPr>
            </w:pPr>
          </w:p>
          <w:p>
            <w:pPr>
              <w:pStyle w:val="65"/>
              <w:spacing w:before="1" w:line="242" w:lineRule="auto"/>
              <w:ind w:left="152" w:right="145" w:firstLine="2"/>
              <w:jc w:val="center"/>
              <w:rPr>
                <w:color w:val="auto"/>
                <w:sz w:val="21"/>
                <w:highlight w:val="none"/>
                <w:lang w:eastAsia="zh-CN"/>
              </w:rPr>
            </w:pPr>
            <w:r>
              <w:rPr>
                <w:color w:val="auto"/>
                <w:sz w:val="21"/>
                <w:highlight w:val="none"/>
                <w:lang w:eastAsia="zh-CN"/>
              </w:rPr>
              <w:t>精装、景 观、</w:t>
            </w:r>
            <w:r>
              <w:rPr>
                <w:rFonts w:hint="eastAsia" w:ascii="Times New Roman" w:hAnsi="Times New Roman"/>
                <w:color w:val="auto"/>
                <w:sz w:val="21"/>
                <w:highlight w:val="none"/>
                <w:lang w:eastAsia="zh-CN"/>
              </w:rPr>
              <w:t>PC</w:t>
            </w:r>
            <w:r>
              <w:rPr>
                <w:color w:val="auto"/>
                <w:spacing w:val="-24"/>
                <w:sz w:val="21"/>
                <w:highlight w:val="none"/>
                <w:lang w:eastAsia="zh-CN"/>
              </w:rPr>
              <w:t xml:space="preserve"> 深化</w:t>
            </w:r>
            <w:r>
              <w:rPr>
                <w:color w:val="auto"/>
                <w:sz w:val="21"/>
                <w:highlight w:val="none"/>
                <w:lang w:eastAsia="zh-CN"/>
              </w:rPr>
              <w:t>专项设计费</w:t>
            </w:r>
            <w:r>
              <w:rPr>
                <w:color w:val="auto"/>
                <w:spacing w:val="-26"/>
                <w:sz w:val="21"/>
                <w:highlight w:val="none"/>
                <w:lang w:eastAsia="zh-CN"/>
              </w:rPr>
              <w:t xml:space="preserve">的 </w:t>
            </w:r>
            <w:r>
              <w:rPr>
                <w:rFonts w:hint="eastAsia" w:ascii="Times New Roman" w:hAnsi="Times New Roman"/>
                <w:color w:val="auto"/>
                <w:sz w:val="21"/>
                <w:highlight w:val="none"/>
                <w:lang w:val="en-US" w:eastAsia="zh-CN"/>
              </w:rPr>
              <w:t>60</w:t>
            </w:r>
            <w:r>
              <w:rPr>
                <w:color w:val="auto"/>
                <w:sz w:val="21"/>
                <w:highlight w:val="none"/>
                <w:lang w:eastAsia="zh-CN"/>
              </w:rPr>
              <w:t>%</w:t>
            </w:r>
          </w:p>
        </w:tc>
        <w:tc>
          <w:tcPr>
            <w:tcW w:w="1306" w:type="dxa"/>
          </w:tcPr>
          <w:p>
            <w:pPr>
              <w:pStyle w:val="65"/>
              <w:rPr>
                <w:rFonts w:ascii="Times New Roman"/>
                <w:color w:val="auto"/>
                <w:sz w:val="20"/>
                <w:highlight w:val="none"/>
                <w:lang w:eastAsia="zh-CN"/>
              </w:rPr>
            </w:pPr>
          </w:p>
        </w:tc>
        <w:tc>
          <w:tcPr>
            <w:tcW w:w="2585" w:type="dxa"/>
          </w:tcPr>
          <w:p>
            <w:pPr>
              <w:pStyle w:val="65"/>
              <w:rPr>
                <w:rFonts w:ascii="Times New Roman"/>
                <w:color w:val="auto"/>
                <w:sz w:val="20"/>
                <w:highlight w:val="none"/>
                <w:lang w:eastAsia="zh-CN"/>
              </w:rPr>
            </w:pPr>
          </w:p>
        </w:tc>
      </w:tr>
    </w:tbl>
    <w:p>
      <w:pPr>
        <w:rPr>
          <w:rFonts w:ascii="Times New Roman"/>
          <w:color w:val="auto"/>
          <w:sz w:val="20"/>
          <w:highlight w:val="none"/>
        </w:rPr>
        <w:sectPr>
          <w:pgSz w:w="11849" w:h="16792"/>
          <w:pgMar w:top="1417" w:right="850" w:bottom="1417" w:left="850" w:header="850" w:footer="850" w:gutter="0"/>
          <w:pgBorders>
            <w:top w:val="none" w:sz="0" w:space="0"/>
            <w:left w:val="none" w:sz="0" w:space="0"/>
            <w:bottom w:val="none" w:sz="0" w:space="0"/>
            <w:right w:val="none" w:sz="0" w:space="0"/>
          </w:pgBorders>
          <w:pgNumType w:fmt="decimal"/>
          <w:cols w:space="0" w:num="1"/>
          <w:rtlGutter w:val="0"/>
          <w:docGrid w:linePitch="0" w:charSpace="0"/>
        </w:sectPr>
      </w:pPr>
    </w:p>
    <w:tbl>
      <w:tblPr>
        <w:tblStyle w:val="104"/>
        <w:tblW w:w="0" w:type="auto"/>
        <w:tblInd w:w="5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6"/>
        <w:gridCol w:w="2224"/>
        <w:gridCol w:w="1410"/>
        <w:gridCol w:w="1615"/>
        <w:gridCol w:w="25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1156" w:type="dxa"/>
          </w:tcPr>
          <w:p>
            <w:pPr>
              <w:pStyle w:val="65"/>
              <w:rPr>
                <w:color w:val="auto"/>
                <w:sz w:val="20"/>
                <w:highlight w:val="none"/>
              </w:rPr>
            </w:pPr>
          </w:p>
          <w:p>
            <w:pPr>
              <w:pStyle w:val="65"/>
              <w:spacing w:before="3"/>
              <w:rPr>
                <w:color w:val="auto"/>
                <w:highlight w:val="none"/>
              </w:rPr>
            </w:pPr>
          </w:p>
          <w:p>
            <w:pPr>
              <w:pStyle w:val="65"/>
              <w:ind w:left="137" w:right="129"/>
              <w:jc w:val="center"/>
              <w:rPr>
                <w:color w:val="auto"/>
                <w:sz w:val="21"/>
                <w:highlight w:val="none"/>
              </w:rPr>
            </w:pPr>
            <w:r>
              <w:rPr>
                <w:color w:val="auto"/>
                <w:sz w:val="21"/>
                <w:highlight w:val="none"/>
              </w:rPr>
              <w:t>第</w:t>
            </w:r>
            <w:r>
              <w:rPr>
                <w:rFonts w:hint="eastAsia"/>
                <w:color w:val="auto"/>
                <w:sz w:val="21"/>
                <w:highlight w:val="none"/>
                <w:lang w:val="en-US" w:eastAsia="zh-CN"/>
              </w:rPr>
              <w:t>三</w:t>
            </w:r>
            <w:r>
              <w:rPr>
                <w:color w:val="auto"/>
                <w:sz w:val="21"/>
                <w:highlight w:val="none"/>
              </w:rPr>
              <w:t>阶段</w:t>
            </w:r>
          </w:p>
        </w:tc>
        <w:tc>
          <w:tcPr>
            <w:tcW w:w="2224" w:type="dxa"/>
          </w:tcPr>
          <w:p>
            <w:pPr>
              <w:pStyle w:val="65"/>
              <w:rPr>
                <w:color w:val="auto"/>
                <w:sz w:val="20"/>
                <w:highlight w:val="none"/>
                <w:lang w:eastAsia="zh-CN"/>
              </w:rPr>
            </w:pPr>
          </w:p>
          <w:p>
            <w:pPr>
              <w:pStyle w:val="65"/>
              <w:spacing w:before="150" w:line="242" w:lineRule="auto"/>
              <w:ind w:left="166" w:right="156"/>
              <w:rPr>
                <w:color w:val="auto"/>
                <w:sz w:val="21"/>
                <w:highlight w:val="none"/>
                <w:lang w:eastAsia="zh-CN"/>
              </w:rPr>
            </w:pPr>
            <w:r>
              <w:rPr>
                <w:color w:val="auto"/>
                <w:spacing w:val="-2"/>
                <w:sz w:val="21"/>
                <w:highlight w:val="none"/>
                <w:lang w:eastAsia="zh-CN"/>
              </w:rPr>
              <w:t>本项目通过竣工验收</w:t>
            </w:r>
            <w:r>
              <w:rPr>
                <w:color w:val="auto"/>
                <w:spacing w:val="-28"/>
                <w:sz w:val="21"/>
                <w:highlight w:val="none"/>
                <w:lang w:eastAsia="zh-CN"/>
              </w:rPr>
              <w:t xml:space="preserve">后 </w:t>
            </w:r>
            <w:r>
              <w:rPr>
                <w:rFonts w:hint="eastAsia" w:ascii="Times New Roman" w:hAnsi="Times New Roman"/>
                <w:color w:val="auto"/>
                <w:sz w:val="21"/>
                <w:highlight w:val="none"/>
                <w:lang w:eastAsia="zh-CN"/>
              </w:rPr>
              <w:t>7</w:t>
            </w:r>
            <w:r>
              <w:rPr>
                <w:color w:val="auto"/>
                <w:spacing w:val="-10"/>
                <w:sz w:val="21"/>
                <w:highlight w:val="none"/>
                <w:lang w:eastAsia="zh-CN"/>
              </w:rPr>
              <w:t xml:space="preserve"> 个工作日内支付</w:t>
            </w:r>
          </w:p>
        </w:tc>
        <w:tc>
          <w:tcPr>
            <w:tcW w:w="1410" w:type="dxa"/>
          </w:tcPr>
          <w:p>
            <w:pPr>
              <w:pStyle w:val="65"/>
              <w:spacing w:before="133" w:line="242" w:lineRule="auto"/>
              <w:ind w:left="152" w:right="145" w:firstLine="2"/>
              <w:jc w:val="center"/>
              <w:rPr>
                <w:color w:val="auto"/>
                <w:sz w:val="21"/>
                <w:highlight w:val="none"/>
                <w:lang w:eastAsia="zh-CN"/>
              </w:rPr>
            </w:pPr>
            <w:r>
              <w:rPr>
                <w:color w:val="auto"/>
                <w:sz w:val="21"/>
                <w:highlight w:val="none"/>
                <w:lang w:eastAsia="zh-CN"/>
              </w:rPr>
              <w:t>精装、景 观、</w:t>
            </w:r>
            <w:r>
              <w:rPr>
                <w:rFonts w:hint="eastAsia" w:ascii="Times New Roman" w:hAnsi="Times New Roman"/>
                <w:color w:val="auto"/>
                <w:sz w:val="21"/>
                <w:highlight w:val="none"/>
                <w:lang w:eastAsia="zh-CN"/>
              </w:rPr>
              <w:t>PC</w:t>
            </w:r>
            <w:r>
              <w:rPr>
                <w:color w:val="auto"/>
                <w:spacing w:val="-24"/>
                <w:sz w:val="21"/>
                <w:highlight w:val="none"/>
                <w:lang w:eastAsia="zh-CN"/>
              </w:rPr>
              <w:t xml:space="preserve"> 深化</w:t>
            </w:r>
            <w:r>
              <w:rPr>
                <w:color w:val="auto"/>
                <w:sz w:val="21"/>
                <w:highlight w:val="none"/>
                <w:lang w:eastAsia="zh-CN"/>
              </w:rPr>
              <w:t>专项设计费</w:t>
            </w:r>
            <w:r>
              <w:rPr>
                <w:color w:val="auto"/>
                <w:spacing w:val="-26"/>
                <w:sz w:val="21"/>
                <w:highlight w:val="none"/>
                <w:lang w:eastAsia="zh-CN"/>
              </w:rPr>
              <w:t xml:space="preserve">的 </w:t>
            </w:r>
            <w:r>
              <w:rPr>
                <w:rFonts w:hint="eastAsia" w:ascii="Times New Roman" w:hAnsi="Times New Roman"/>
                <w:color w:val="auto"/>
                <w:sz w:val="21"/>
                <w:highlight w:val="none"/>
                <w:lang w:val="en-US" w:eastAsia="zh-CN"/>
              </w:rPr>
              <w:t>20</w:t>
            </w:r>
            <w:r>
              <w:rPr>
                <w:color w:val="auto"/>
                <w:sz w:val="21"/>
                <w:highlight w:val="none"/>
                <w:lang w:eastAsia="zh-CN"/>
              </w:rPr>
              <w:t>%</w:t>
            </w:r>
          </w:p>
        </w:tc>
        <w:tc>
          <w:tcPr>
            <w:tcW w:w="1615" w:type="dxa"/>
          </w:tcPr>
          <w:p>
            <w:pPr>
              <w:pStyle w:val="65"/>
              <w:rPr>
                <w:rFonts w:ascii="Times New Roman"/>
                <w:color w:val="auto"/>
                <w:sz w:val="20"/>
                <w:highlight w:val="none"/>
                <w:lang w:eastAsia="zh-CN"/>
              </w:rPr>
            </w:pPr>
          </w:p>
        </w:tc>
        <w:tc>
          <w:tcPr>
            <w:tcW w:w="2585" w:type="dxa"/>
          </w:tcPr>
          <w:p>
            <w:pPr>
              <w:pStyle w:val="65"/>
              <w:spacing w:line="242" w:lineRule="auto"/>
              <w:ind w:left="84" w:right="75"/>
              <w:jc w:val="center"/>
              <w:rPr>
                <w:color w:val="auto"/>
                <w:sz w:val="21"/>
                <w:highlight w:val="none"/>
                <w:lang w:eastAsia="zh-CN"/>
              </w:rPr>
            </w:pPr>
            <w:r>
              <w:rPr>
                <w:color w:val="auto"/>
                <w:sz w:val="21"/>
                <w:highlight w:val="none"/>
                <w:lang w:eastAsia="zh-CN"/>
              </w:rPr>
              <w:t>本阶段精装、</w:t>
            </w:r>
            <w:r>
              <w:rPr>
                <w:rFonts w:hint="eastAsia" w:ascii="Times New Roman" w:hAnsi="Times New Roman"/>
                <w:color w:val="auto"/>
                <w:sz w:val="21"/>
                <w:highlight w:val="none"/>
                <w:lang w:eastAsia="zh-CN"/>
              </w:rPr>
              <w:t>PC</w:t>
            </w:r>
            <w:r>
              <w:rPr>
                <w:color w:val="auto"/>
                <w:sz w:val="21"/>
                <w:highlight w:val="none"/>
                <w:lang w:eastAsia="zh-CN"/>
              </w:rPr>
              <w:t xml:space="preserve"> 深化按照实际设计面积核定设计总费用,如有外部图审，按外部图审面积核定，景观</w:t>
            </w:r>
          </w:p>
          <w:p>
            <w:pPr>
              <w:pStyle w:val="65"/>
              <w:spacing w:line="256" w:lineRule="exact"/>
              <w:ind w:left="81" w:right="75"/>
              <w:jc w:val="center"/>
              <w:rPr>
                <w:color w:val="auto"/>
                <w:sz w:val="21"/>
                <w:highlight w:val="none"/>
              </w:rPr>
            </w:pPr>
            <w:r>
              <w:rPr>
                <w:color w:val="auto"/>
                <w:sz w:val="21"/>
                <w:highlight w:val="none"/>
              </w:rPr>
              <w:t>按包干价一次性结算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8" w:hRule="atLeast"/>
        </w:trPr>
        <w:tc>
          <w:tcPr>
            <w:tcW w:w="1156" w:type="dxa"/>
          </w:tcPr>
          <w:p>
            <w:pPr>
              <w:pStyle w:val="65"/>
              <w:rPr>
                <w:color w:val="auto"/>
                <w:sz w:val="20"/>
                <w:highlight w:val="none"/>
              </w:rPr>
            </w:pPr>
          </w:p>
          <w:p>
            <w:pPr>
              <w:pStyle w:val="65"/>
              <w:spacing w:before="149"/>
              <w:ind w:left="135" w:right="129"/>
              <w:jc w:val="center"/>
              <w:rPr>
                <w:color w:val="auto"/>
                <w:sz w:val="21"/>
                <w:highlight w:val="none"/>
              </w:rPr>
            </w:pPr>
            <w:r>
              <w:rPr>
                <w:color w:val="auto"/>
                <w:sz w:val="21"/>
                <w:highlight w:val="none"/>
              </w:rPr>
              <w:t>合计</w:t>
            </w:r>
          </w:p>
        </w:tc>
        <w:tc>
          <w:tcPr>
            <w:tcW w:w="2224" w:type="dxa"/>
          </w:tcPr>
          <w:p>
            <w:pPr>
              <w:pStyle w:val="65"/>
              <w:rPr>
                <w:rFonts w:ascii="Times New Roman"/>
                <w:color w:val="auto"/>
                <w:sz w:val="20"/>
                <w:highlight w:val="none"/>
              </w:rPr>
            </w:pPr>
          </w:p>
        </w:tc>
        <w:tc>
          <w:tcPr>
            <w:tcW w:w="1410" w:type="dxa"/>
          </w:tcPr>
          <w:p>
            <w:pPr>
              <w:pStyle w:val="65"/>
              <w:spacing w:line="242" w:lineRule="auto"/>
              <w:ind w:left="152" w:right="145" w:firstLine="2"/>
              <w:jc w:val="center"/>
              <w:rPr>
                <w:color w:val="auto"/>
                <w:sz w:val="21"/>
                <w:highlight w:val="none"/>
                <w:lang w:eastAsia="zh-CN"/>
              </w:rPr>
            </w:pPr>
            <w:r>
              <w:rPr>
                <w:color w:val="auto"/>
                <w:sz w:val="21"/>
                <w:highlight w:val="none"/>
                <w:lang w:eastAsia="zh-CN"/>
              </w:rPr>
              <w:t>精装、景 观、</w:t>
            </w:r>
            <w:r>
              <w:rPr>
                <w:rFonts w:hint="eastAsia" w:ascii="Times New Roman" w:hAnsi="Times New Roman"/>
                <w:color w:val="auto"/>
                <w:sz w:val="21"/>
                <w:highlight w:val="none"/>
                <w:lang w:eastAsia="zh-CN"/>
              </w:rPr>
              <w:t>PC</w:t>
            </w:r>
            <w:r>
              <w:rPr>
                <w:color w:val="auto"/>
                <w:spacing w:val="-24"/>
                <w:sz w:val="21"/>
                <w:highlight w:val="none"/>
                <w:lang w:eastAsia="zh-CN"/>
              </w:rPr>
              <w:t xml:space="preserve"> 深化</w:t>
            </w:r>
            <w:r>
              <w:rPr>
                <w:color w:val="auto"/>
                <w:sz w:val="21"/>
                <w:highlight w:val="none"/>
                <w:lang w:eastAsia="zh-CN"/>
              </w:rPr>
              <w:t>专项设计费</w:t>
            </w:r>
          </w:p>
          <w:p>
            <w:pPr>
              <w:pStyle w:val="65"/>
              <w:spacing w:line="256" w:lineRule="exact"/>
              <w:ind w:left="369" w:right="361"/>
              <w:jc w:val="center"/>
              <w:rPr>
                <w:color w:val="auto"/>
                <w:sz w:val="21"/>
                <w:highlight w:val="none"/>
              </w:rPr>
            </w:pPr>
            <w:r>
              <w:rPr>
                <w:color w:val="auto"/>
                <w:sz w:val="21"/>
                <w:highlight w:val="none"/>
              </w:rPr>
              <w:t xml:space="preserve">的 </w:t>
            </w:r>
            <w:r>
              <w:rPr>
                <w:rFonts w:hint="eastAsia" w:ascii="Times New Roman" w:hAnsi="Times New Roman"/>
                <w:color w:val="auto"/>
                <w:sz w:val="21"/>
                <w:highlight w:val="none"/>
                <w:lang w:val="en-US" w:eastAsia="zh-CN"/>
              </w:rPr>
              <w:t>100</w:t>
            </w:r>
            <w:r>
              <w:rPr>
                <w:color w:val="auto"/>
                <w:sz w:val="21"/>
                <w:highlight w:val="none"/>
              </w:rPr>
              <w:t>%</w:t>
            </w:r>
          </w:p>
        </w:tc>
        <w:tc>
          <w:tcPr>
            <w:tcW w:w="1615" w:type="dxa"/>
          </w:tcPr>
          <w:p>
            <w:pPr>
              <w:pStyle w:val="65"/>
              <w:rPr>
                <w:rFonts w:ascii="Times New Roman"/>
                <w:color w:val="auto"/>
                <w:sz w:val="20"/>
                <w:highlight w:val="none"/>
              </w:rPr>
            </w:pPr>
          </w:p>
        </w:tc>
        <w:tc>
          <w:tcPr>
            <w:tcW w:w="2585" w:type="dxa"/>
          </w:tcPr>
          <w:p>
            <w:pPr>
              <w:pStyle w:val="6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8990" w:type="dxa"/>
            <w:gridSpan w:val="5"/>
          </w:tcPr>
          <w:p>
            <w:pPr>
              <w:pStyle w:val="65"/>
              <w:spacing w:before="11"/>
              <w:rPr>
                <w:color w:val="auto"/>
                <w:sz w:val="21"/>
                <w:highlight w:val="none"/>
              </w:rPr>
            </w:pPr>
          </w:p>
          <w:p>
            <w:pPr>
              <w:pStyle w:val="65"/>
              <w:ind w:left="2736" w:right="2730"/>
              <w:jc w:val="center"/>
              <w:rPr>
                <w:b/>
                <w:color w:val="auto"/>
                <w:sz w:val="21"/>
                <w:highlight w:val="none"/>
              </w:rPr>
            </w:pPr>
            <w:r>
              <w:rPr>
                <w:b/>
                <w:color w:val="auto"/>
                <w:sz w:val="21"/>
                <w:highlight w:val="none"/>
              </w:rPr>
              <w:t>其他专项设计费支付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156" w:type="dxa"/>
          </w:tcPr>
          <w:p>
            <w:pPr>
              <w:pStyle w:val="65"/>
              <w:spacing w:before="11"/>
              <w:rPr>
                <w:color w:val="auto"/>
                <w:sz w:val="21"/>
                <w:highlight w:val="none"/>
              </w:rPr>
            </w:pPr>
          </w:p>
          <w:p>
            <w:pPr>
              <w:pStyle w:val="65"/>
              <w:ind w:left="137" w:right="129"/>
              <w:jc w:val="center"/>
              <w:rPr>
                <w:color w:val="auto"/>
                <w:sz w:val="21"/>
                <w:highlight w:val="none"/>
              </w:rPr>
            </w:pPr>
            <w:r>
              <w:rPr>
                <w:color w:val="auto"/>
                <w:sz w:val="21"/>
                <w:highlight w:val="none"/>
              </w:rPr>
              <w:t>第</w:t>
            </w:r>
            <w:r>
              <w:rPr>
                <w:rFonts w:hint="eastAsia"/>
                <w:color w:val="auto"/>
                <w:sz w:val="21"/>
                <w:highlight w:val="none"/>
                <w:lang w:val="en-US" w:eastAsia="zh-CN"/>
              </w:rPr>
              <w:t>一</w:t>
            </w:r>
            <w:r>
              <w:rPr>
                <w:color w:val="auto"/>
                <w:sz w:val="21"/>
                <w:highlight w:val="none"/>
              </w:rPr>
              <w:t>阶段</w:t>
            </w:r>
          </w:p>
        </w:tc>
        <w:tc>
          <w:tcPr>
            <w:tcW w:w="2224" w:type="dxa"/>
          </w:tcPr>
          <w:p>
            <w:pPr>
              <w:pStyle w:val="65"/>
              <w:spacing w:before="9" w:line="242" w:lineRule="auto"/>
              <w:ind w:left="166" w:right="156"/>
              <w:jc w:val="center"/>
              <w:rPr>
                <w:color w:val="auto"/>
                <w:sz w:val="21"/>
                <w:highlight w:val="none"/>
                <w:lang w:eastAsia="zh-CN"/>
              </w:rPr>
            </w:pPr>
            <w:r>
              <w:rPr>
                <w:color w:val="auto"/>
                <w:spacing w:val="-2"/>
                <w:sz w:val="21"/>
                <w:highlight w:val="none"/>
                <w:lang w:eastAsia="zh-CN"/>
              </w:rPr>
              <w:t>其他专项设计完成并</w:t>
            </w:r>
            <w:r>
              <w:rPr>
                <w:color w:val="auto"/>
                <w:spacing w:val="-8"/>
                <w:sz w:val="21"/>
                <w:highlight w:val="none"/>
                <w:lang w:eastAsia="zh-CN"/>
              </w:rPr>
              <w:t xml:space="preserve">经甲方确认后 </w:t>
            </w:r>
            <w:r>
              <w:rPr>
                <w:rFonts w:hint="eastAsia" w:ascii="Times New Roman" w:hAnsi="Times New Roman"/>
                <w:color w:val="auto"/>
                <w:sz w:val="21"/>
                <w:highlight w:val="none"/>
                <w:lang w:eastAsia="zh-CN"/>
              </w:rPr>
              <w:t>7</w:t>
            </w:r>
            <w:r>
              <w:rPr>
                <w:color w:val="auto"/>
                <w:spacing w:val="-23"/>
                <w:sz w:val="21"/>
                <w:highlight w:val="none"/>
                <w:lang w:eastAsia="zh-CN"/>
              </w:rPr>
              <w:t xml:space="preserve"> 个工</w:t>
            </w:r>
          </w:p>
          <w:p>
            <w:pPr>
              <w:pStyle w:val="65"/>
              <w:spacing w:before="1" w:line="266" w:lineRule="exact"/>
              <w:ind w:left="106" w:right="98"/>
              <w:jc w:val="center"/>
              <w:rPr>
                <w:color w:val="auto"/>
                <w:sz w:val="21"/>
                <w:highlight w:val="none"/>
              </w:rPr>
            </w:pPr>
            <w:r>
              <w:rPr>
                <w:color w:val="auto"/>
                <w:sz w:val="21"/>
                <w:highlight w:val="none"/>
              </w:rPr>
              <w:t>作日内支付</w:t>
            </w:r>
          </w:p>
        </w:tc>
        <w:tc>
          <w:tcPr>
            <w:tcW w:w="1410" w:type="dxa"/>
          </w:tcPr>
          <w:p>
            <w:pPr>
              <w:pStyle w:val="65"/>
              <w:spacing w:before="146" w:line="242" w:lineRule="auto"/>
              <w:ind w:left="205" w:right="117" w:hanging="27"/>
              <w:rPr>
                <w:color w:val="auto"/>
                <w:sz w:val="21"/>
                <w:highlight w:val="none"/>
              </w:rPr>
            </w:pPr>
            <w:r>
              <w:rPr>
                <w:color w:val="auto"/>
                <w:sz w:val="21"/>
                <w:highlight w:val="none"/>
              </w:rPr>
              <w:t xml:space="preserve">其他专项设计费的 </w:t>
            </w:r>
            <w:r>
              <w:rPr>
                <w:rFonts w:hint="eastAsia" w:ascii="Times New Roman" w:hAnsi="Times New Roman"/>
                <w:color w:val="auto"/>
                <w:sz w:val="21"/>
                <w:highlight w:val="none"/>
                <w:lang w:val="en-US" w:eastAsia="zh-CN"/>
              </w:rPr>
              <w:t>80</w:t>
            </w:r>
            <w:r>
              <w:rPr>
                <w:color w:val="auto"/>
                <w:sz w:val="21"/>
                <w:highlight w:val="none"/>
              </w:rPr>
              <w:t>%</w:t>
            </w:r>
          </w:p>
        </w:tc>
        <w:tc>
          <w:tcPr>
            <w:tcW w:w="1615" w:type="dxa"/>
          </w:tcPr>
          <w:p>
            <w:pPr>
              <w:pStyle w:val="65"/>
              <w:rPr>
                <w:rFonts w:ascii="Times New Roman"/>
                <w:color w:val="auto"/>
                <w:sz w:val="20"/>
                <w:highlight w:val="none"/>
              </w:rPr>
            </w:pPr>
          </w:p>
        </w:tc>
        <w:tc>
          <w:tcPr>
            <w:tcW w:w="2585" w:type="dxa"/>
          </w:tcPr>
          <w:p>
            <w:pPr>
              <w:pStyle w:val="6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156" w:type="dxa"/>
          </w:tcPr>
          <w:p>
            <w:pPr>
              <w:pStyle w:val="65"/>
              <w:rPr>
                <w:color w:val="auto"/>
                <w:highlight w:val="none"/>
              </w:rPr>
            </w:pPr>
          </w:p>
          <w:p>
            <w:pPr>
              <w:pStyle w:val="65"/>
              <w:ind w:left="137" w:right="129"/>
              <w:jc w:val="center"/>
              <w:rPr>
                <w:color w:val="auto"/>
                <w:sz w:val="21"/>
                <w:highlight w:val="none"/>
              </w:rPr>
            </w:pPr>
            <w:r>
              <w:rPr>
                <w:color w:val="auto"/>
                <w:sz w:val="21"/>
                <w:highlight w:val="none"/>
              </w:rPr>
              <w:t>第</w:t>
            </w:r>
            <w:r>
              <w:rPr>
                <w:rFonts w:hint="eastAsia"/>
                <w:color w:val="auto"/>
                <w:sz w:val="21"/>
                <w:highlight w:val="none"/>
                <w:lang w:val="en-US" w:eastAsia="zh-CN"/>
              </w:rPr>
              <w:t>二</w:t>
            </w:r>
            <w:r>
              <w:rPr>
                <w:color w:val="auto"/>
                <w:sz w:val="21"/>
                <w:highlight w:val="none"/>
              </w:rPr>
              <w:t>阶段</w:t>
            </w:r>
          </w:p>
        </w:tc>
        <w:tc>
          <w:tcPr>
            <w:tcW w:w="2224" w:type="dxa"/>
          </w:tcPr>
          <w:p>
            <w:pPr>
              <w:pStyle w:val="65"/>
              <w:spacing w:before="145" w:line="242" w:lineRule="auto"/>
              <w:ind w:left="166" w:right="156"/>
              <w:rPr>
                <w:color w:val="auto"/>
                <w:sz w:val="21"/>
                <w:highlight w:val="none"/>
                <w:lang w:eastAsia="zh-CN"/>
              </w:rPr>
            </w:pPr>
            <w:r>
              <w:rPr>
                <w:color w:val="auto"/>
                <w:spacing w:val="-2"/>
                <w:sz w:val="21"/>
                <w:highlight w:val="none"/>
                <w:lang w:eastAsia="zh-CN"/>
              </w:rPr>
              <w:t>本项目通过竣工验收</w:t>
            </w:r>
            <w:r>
              <w:rPr>
                <w:color w:val="auto"/>
                <w:spacing w:val="-28"/>
                <w:sz w:val="21"/>
                <w:highlight w:val="none"/>
                <w:lang w:eastAsia="zh-CN"/>
              </w:rPr>
              <w:t xml:space="preserve">后 </w:t>
            </w:r>
            <w:r>
              <w:rPr>
                <w:rFonts w:hint="eastAsia" w:ascii="Times New Roman" w:hAnsi="Times New Roman"/>
                <w:color w:val="auto"/>
                <w:sz w:val="21"/>
                <w:highlight w:val="none"/>
                <w:lang w:eastAsia="zh-CN"/>
              </w:rPr>
              <w:t>7</w:t>
            </w:r>
            <w:r>
              <w:rPr>
                <w:color w:val="auto"/>
                <w:spacing w:val="-10"/>
                <w:sz w:val="21"/>
                <w:highlight w:val="none"/>
                <w:lang w:eastAsia="zh-CN"/>
              </w:rPr>
              <w:t xml:space="preserve"> 个工作日内支付</w:t>
            </w:r>
          </w:p>
        </w:tc>
        <w:tc>
          <w:tcPr>
            <w:tcW w:w="1410" w:type="dxa"/>
          </w:tcPr>
          <w:p>
            <w:pPr>
              <w:pStyle w:val="65"/>
              <w:spacing w:before="145" w:line="242" w:lineRule="auto"/>
              <w:ind w:left="205" w:right="117" w:hanging="27"/>
              <w:rPr>
                <w:color w:val="auto"/>
                <w:sz w:val="21"/>
                <w:highlight w:val="none"/>
              </w:rPr>
            </w:pPr>
            <w:r>
              <w:rPr>
                <w:color w:val="auto"/>
                <w:sz w:val="21"/>
                <w:highlight w:val="none"/>
              </w:rPr>
              <w:t xml:space="preserve">其他专项设计费的 </w:t>
            </w:r>
            <w:r>
              <w:rPr>
                <w:rFonts w:hint="eastAsia" w:ascii="Times New Roman" w:hAnsi="Times New Roman"/>
                <w:color w:val="auto"/>
                <w:sz w:val="21"/>
                <w:highlight w:val="none"/>
                <w:lang w:val="en-US" w:eastAsia="zh-CN"/>
              </w:rPr>
              <w:t>20</w:t>
            </w:r>
            <w:r>
              <w:rPr>
                <w:color w:val="auto"/>
                <w:sz w:val="21"/>
                <w:highlight w:val="none"/>
              </w:rPr>
              <w:t>%</w:t>
            </w:r>
          </w:p>
        </w:tc>
        <w:tc>
          <w:tcPr>
            <w:tcW w:w="1615" w:type="dxa"/>
          </w:tcPr>
          <w:p>
            <w:pPr>
              <w:pStyle w:val="65"/>
              <w:rPr>
                <w:rFonts w:ascii="Times New Roman"/>
                <w:color w:val="auto"/>
                <w:sz w:val="20"/>
                <w:highlight w:val="none"/>
              </w:rPr>
            </w:pPr>
          </w:p>
        </w:tc>
        <w:tc>
          <w:tcPr>
            <w:tcW w:w="2585" w:type="dxa"/>
          </w:tcPr>
          <w:p>
            <w:pPr>
              <w:pStyle w:val="65"/>
              <w:spacing w:before="145" w:line="242" w:lineRule="auto"/>
              <w:ind w:left="766" w:right="126" w:hanging="629"/>
              <w:rPr>
                <w:color w:val="auto"/>
                <w:sz w:val="21"/>
                <w:highlight w:val="none"/>
                <w:lang w:eastAsia="zh-CN"/>
              </w:rPr>
            </w:pPr>
            <w:r>
              <w:rPr>
                <w:color w:val="auto"/>
                <w:sz w:val="21"/>
                <w:highlight w:val="none"/>
                <w:lang w:eastAsia="zh-CN"/>
              </w:rPr>
              <w:t>本阶段专项设计费包干， 一次性支付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156" w:type="dxa"/>
          </w:tcPr>
          <w:p>
            <w:pPr>
              <w:pStyle w:val="65"/>
              <w:spacing w:before="12"/>
              <w:rPr>
                <w:color w:val="auto"/>
                <w:sz w:val="21"/>
                <w:highlight w:val="none"/>
                <w:lang w:eastAsia="zh-CN"/>
              </w:rPr>
            </w:pPr>
          </w:p>
          <w:p>
            <w:pPr>
              <w:pStyle w:val="65"/>
              <w:ind w:left="135" w:right="129"/>
              <w:jc w:val="center"/>
              <w:rPr>
                <w:color w:val="auto"/>
                <w:sz w:val="21"/>
                <w:highlight w:val="none"/>
              </w:rPr>
            </w:pPr>
            <w:r>
              <w:rPr>
                <w:color w:val="auto"/>
                <w:sz w:val="21"/>
                <w:highlight w:val="none"/>
              </w:rPr>
              <w:t>合计</w:t>
            </w:r>
          </w:p>
        </w:tc>
        <w:tc>
          <w:tcPr>
            <w:tcW w:w="2224" w:type="dxa"/>
          </w:tcPr>
          <w:p>
            <w:pPr>
              <w:pStyle w:val="65"/>
              <w:rPr>
                <w:rFonts w:ascii="Times New Roman"/>
                <w:color w:val="auto"/>
                <w:sz w:val="20"/>
                <w:highlight w:val="none"/>
              </w:rPr>
            </w:pPr>
          </w:p>
        </w:tc>
        <w:tc>
          <w:tcPr>
            <w:tcW w:w="1410" w:type="dxa"/>
          </w:tcPr>
          <w:p>
            <w:pPr>
              <w:pStyle w:val="65"/>
              <w:spacing w:before="144" w:line="242" w:lineRule="auto"/>
              <w:ind w:left="205" w:right="117" w:hanging="27"/>
              <w:rPr>
                <w:color w:val="auto"/>
                <w:sz w:val="21"/>
                <w:highlight w:val="none"/>
              </w:rPr>
            </w:pPr>
            <w:r>
              <w:rPr>
                <w:color w:val="auto"/>
                <w:sz w:val="21"/>
                <w:highlight w:val="none"/>
              </w:rPr>
              <w:t xml:space="preserve">其他专项设计费的 </w:t>
            </w:r>
            <w:r>
              <w:rPr>
                <w:rFonts w:hint="eastAsia" w:ascii="Times New Roman" w:hAnsi="Times New Roman"/>
                <w:color w:val="auto"/>
                <w:sz w:val="21"/>
                <w:highlight w:val="none"/>
                <w:lang w:val="en-US" w:eastAsia="zh-CN"/>
              </w:rPr>
              <w:t>100</w:t>
            </w:r>
            <w:r>
              <w:rPr>
                <w:color w:val="auto"/>
                <w:sz w:val="21"/>
                <w:highlight w:val="none"/>
              </w:rPr>
              <w:t>%</w:t>
            </w:r>
          </w:p>
        </w:tc>
        <w:tc>
          <w:tcPr>
            <w:tcW w:w="1615" w:type="dxa"/>
          </w:tcPr>
          <w:p>
            <w:pPr>
              <w:pStyle w:val="65"/>
              <w:rPr>
                <w:rFonts w:ascii="Times New Roman"/>
                <w:color w:val="auto"/>
                <w:sz w:val="20"/>
                <w:highlight w:val="none"/>
              </w:rPr>
            </w:pPr>
          </w:p>
        </w:tc>
        <w:tc>
          <w:tcPr>
            <w:tcW w:w="2585" w:type="dxa"/>
          </w:tcPr>
          <w:p>
            <w:pPr>
              <w:pStyle w:val="6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1156" w:type="dxa"/>
          </w:tcPr>
          <w:p>
            <w:pPr>
              <w:pStyle w:val="65"/>
              <w:spacing w:before="10"/>
              <w:rPr>
                <w:color w:val="auto"/>
                <w:sz w:val="14"/>
                <w:highlight w:val="none"/>
              </w:rPr>
            </w:pPr>
          </w:p>
          <w:p>
            <w:pPr>
              <w:pStyle w:val="65"/>
              <w:ind w:left="137" w:right="129"/>
              <w:jc w:val="center"/>
              <w:rPr>
                <w:b/>
                <w:color w:val="auto"/>
                <w:sz w:val="21"/>
                <w:highlight w:val="none"/>
              </w:rPr>
            </w:pPr>
            <w:r>
              <w:rPr>
                <w:b/>
                <w:color w:val="auto"/>
                <w:sz w:val="21"/>
                <w:highlight w:val="none"/>
              </w:rPr>
              <w:t>总计</w:t>
            </w:r>
          </w:p>
        </w:tc>
        <w:tc>
          <w:tcPr>
            <w:tcW w:w="2224" w:type="dxa"/>
          </w:tcPr>
          <w:p>
            <w:pPr>
              <w:pStyle w:val="65"/>
              <w:rPr>
                <w:rFonts w:ascii="Times New Roman"/>
                <w:color w:val="auto"/>
                <w:sz w:val="20"/>
                <w:highlight w:val="none"/>
              </w:rPr>
            </w:pPr>
          </w:p>
        </w:tc>
        <w:tc>
          <w:tcPr>
            <w:tcW w:w="1410" w:type="dxa"/>
          </w:tcPr>
          <w:p>
            <w:pPr>
              <w:pStyle w:val="65"/>
              <w:spacing w:before="55" w:line="242" w:lineRule="auto"/>
              <w:ind w:left="493" w:right="167" w:hanging="317"/>
              <w:rPr>
                <w:b/>
                <w:color w:val="auto"/>
                <w:sz w:val="21"/>
                <w:highlight w:val="none"/>
              </w:rPr>
            </w:pPr>
            <w:r>
              <w:rPr>
                <w:b/>
                <w:color w:val="auto"/>
                <w:sz w:val="21"/>
                <w:highlight w:val="none"/>
              </w:rPr>
              <w:t>合同总额的</w:t>
            </w:r>
            <w:r>
              <w:rPr>
                <w:rFonts w:hint="eastAsia" w:ascii="Times New Roman" w:hAnsi="Times New Roman"/>
                <w:b/>
                <w:color w:val="auto"/>
                <w:sz w:val="21"/>
                <w:highlight w:val="none"/>
                <w:lang w:eastAsia="zh-CN"/>
              </w:rPr>
              <w:t>100</w:t>
            </w:r>
            <w:r>
              <w:rPr>
                <w:b/>
                <w:color w:val="auto"/>
                <w:sz w:val="21"/>
                <w:highlight w:val="none"/>
              </w:rPr>
              <w:t>%</w:t>
            </w:r>
          </w:p>
        </w:tc>
        <w:tc>
          <w:tcPr>
            <w:tcW w:w="1615" w:type="dxa"/>
          </w:tcPr>
          <w:p>
            <w:pPr>
              <w:pStyle w:val="65"/>
              <w:rPr>
                <w:rFonts w:ascii="Times New Roman"/>
                <w:color w:val="auto"/>
                <w:sz w:val="20"/>
                <w:highlight w:val="none"/>
              </w:rPr>
            </w:pPr>
          </w:p>
        </w:tc>
        <w:tc>
          <w:tcPr>
            <w:tcW w:w="2585" w:type="dxa"/>
          </w:tcPr>
          <w:p>
            <w:pPr>
              <w:pStyle w:val="65"/>
              <w:rPr>
                <w:rFonts w:ascii="Times New Roman"/>
                <w:color w:val="auto"/>
                <w:sz w:val="20"/>
                <w:highlight w:val="none"/>
              </w:rPr>
            </w:pPr>
          </w:p>
        </w:tc>
      </w:tr>
    </w:tbl>
    <w:p>
      <w:pPr>
        <w:spacing w:line="267" w:lineRule="exact"/>
        <w:ind w:left="820"/>
        <w:rPr>
          <w:b/>
          <w:color w:val="auto"/>
          <w:sz w:val="21"/>
          <w:highlight w:val="none"/>
        </w:rPr>
      </w:pPr>
      <w:r>
        <w:rPr>
          <w:b/>
          <w:color w:val="auto"/>
          <w:sz w:val="21"/>
          <w:highlight w:val="none"/>
        </w:rPr>
        <w:t>备注：</w:t>
      </w:r>
    </w:p>
    <w:p>
      <w:pPr>
        <w:spacing w:before="139" w:line="367" w:lineRule="auto"/>
        <w:ind w:left="820" w:right="820"/>
        <w:rPr>
          <w:b/>
          <w:color w:val="auto"/>
          <w:w w:val="95"/>
          <w:sz w:val="21"/>
          <w:highlight w:val="none"/>
          <w:lang w:eastAsia="zh-CN"/>
        </w:rPr>
      </w:pPr>
      <w:r>
        <w:rPr>
          <w:rFonts w:hint="eastAsia" w:ascii="Times New Roman" w:hAnsi="Times New Roman"/>
          <w:b/>
          <w:color w:val="auto"/>
          <w:w w:val="95"/>
          <w:sz w:val="21"/>
          <w:highlight w:val="none"/>
          <w:lang w:eastAsia="zh-CN"/>
        </w:rPr>
        <w:t>1</w:t>
      </w:r>
      <w:r>
        <w:rPr>
          <w:b/>
          <w:color w:val="auto"/>
          <w:w w:val="95"/>
          <w:sz w:val="21"/>
          <w:highlight w:val="none"/>
          <w:lang w:eastAsia="zh-CN"/>
        </w:rPr>
        <w:t>、甲方要求启动下一阶段设计时，需对乙方上一阶段的成果进行书面确认，并支付上一阶  段设计费。</w:t>
      </w:r>
    </w:p>
    <w:p>
      <w:pPr>
        <w:spacing w:before="139" w:line="367" w:lineRule="auto"/>
        <w:ind w:left="820" w:right="820"/>
        <w:rPr>
          <w:b/>
          <w:color w:val="auto"/>
          <w:w w:val="95"/>
          <w:sz w:val="21"/>
          <w:highlight w:val="none"/>
          <w:lang w:eastAsia="zh-CN"/>
        </w:rPr>
      </w:pPr>
      <w:r>
        <w:rPr>
          <w:rFonts w:hint="eastAsia" w:ascii="Times New Roman" w:hAnsi="Times New Roman"/>
          <w:b/>
          <w:color w:val="auto"/>
          <w:w w:val="95"/>
          <w:sz w:val="21"/>
          <w:highlight w:val="none"/>
          <w:lang w:eastAsia="zh-CN"/>
        </w:rPr>
        <w:t>2</w:t>
      </w:r>
      <w:r>
        <w:rPr>
          <w:b/>
          <w:color w:val="auto"/>
          <w:w w:val="95"/>
          <w:sz w:val="21"/>
          <w:highlight w:val="none"/>
          <w:lang w:eastAsia="zh-CN"/>
        </w:rPr>
        <w:t>、乙方在收到甲方书面设计启动函后，并满足上述条件后，推进下一阶段的设计。</w:t>
      </w:r>
    </w:p>
    <w:p>
      <w:pPr>
        <w:spacing w:before="139" w:line="367" w:lineRule="auto"/>
        <w:ind w:left="820" w:right="820"/>
        <w:rPr>
          <w:b/>
          <w:color w:val="auto"/>
          <w:w w:val="95"/>
          <w:sz w:val="21"/>
          <w:highlight w:val="none"/>
          <w:lang w:eastAsia="zh-CN"/>
        </w:rPr>
      </w:pPr>
      <w:r>
        <w:rPr>
          <w:b/>
          <w:color w:val="auto"/>
          <w:w w:val="95"/>
          <w:sz w:val="21"/>
          <w:highlight w:val="none"/>
          <w:lang w:eastAsia="zh-CN"/>
        </w:rPr>
        <w:t>如当地政府报规深度要求达到扩初及以上深度，则方案阶段费用在扩初阶段设计启动前付清。</w:t>
      </w:r>
    </w:p>
    <w:p>
      <w:pPr>
        <w:spacing w:before="139" w:line="367" w:lineRule="auto"/>
        <w:ind w:left="820" w:right="820"/>
        <w:rPr>
          <w:b/>
          <w:color w:val="auto"/>
          <w:w w:val="95"/>
          <w:sz w:val="21"/>
          <w:highlight w:val="none"/>
          <w:lang w:eastAsia="zh-CN"/>
        </w:rPr>
      </w:pPr>
      <w:r>
        <w:rPr>
          <w:rFonts w:hint="eastAsia" w:ascii="Times New Roman" w:hAnsi="Times New Roman"/>
          <w:b/>
          <w:color w:val="auto"/>
          <w:w w:val="95"/>
          <w:sz w:val="21"/>
          <w:highlight w:val="none"/>
          <w:lang w:eastAsia="zh-CN"/>
        </w:rPr>
        <w:t>3</w:t>
      </w:r>
      <w:r>
        <w:rPr>
          <w:b/>
          <w:color w:val="auto"/>
          <w:w w:val="95"/>
          <w:sz w:val="21"/>
          <w:highlight w:val="none"/>
          <w:lang w:eastAsia="zh-CN"/>
        </w:rPr>
        <w:t xml:space="preserve">、如项目正常推进，设计服务费的支付按上表执行。如设计过程中，因非乙方原因造成项  目重大设计修改、方案或施工图未落地、项目暂停或终止时，需根据乙方实际已完成工作  量对设计费进行核算，建筑设计占设计总包合同总额工作量的   </w:t>
      </w:r>
      <w:r>
        <w:rPr>
          <w:rFonts w:hint="eastAsia" w:ascii="Times New Roman" w:hAnsi="Times New Roman"/>
          <w:b/>
          <w:color w:val="auto"/>
          <w:w w:val="95"/>
          <w:sz w:val="21"/>
          <w:highlight w:val="none"/>
          <w:lang w:eastAsia="zh-CN"/>
        </w:rPr>
        <w:t>50</w:t>
      </w:r>
      <w:r>
        <w:rPr>
          <w:b/>
          <w:color w:val="auto"/>
          <w:w w:val="95"/>
          <w:sz w:val="21"/>
          <w:highlight w:val="none"/>
          <w:lang w:eastAsia="zh-CN"/>
        </w:rPr>
        <w:t xml:space="preserve">%，其中建筑设计各阶段对应工作量比例如下：方案阶段 </w:t>
      </w:r>
      <w:r>
        <w:rPr>
          <w:rFonts w:hint="eastAsia" w:ascii="Times New Roman" w:hAnsi="Times New Roman"/>
          <w:b/>
          <w:color w:val="auto"/>
          <w:w w:val="95"/>
          <w:sz w:val="21"/>
          <w:highlight w:val="none"/>
          <w:lang w:eastAsia="zh-CN"/>
        </w:rPr>
        <w:t>30</w:t>
      </w:r>
      <w:r>
        <w:rPr>
          <w:b/>
          <w:color w:val="auto"/>
          <w:w w:val="95"/>
          <w:sz w:val="21"/>
          <w:highlight w:val="none"/>
          <w:lang w:eastAsia="zh-CN"/>
        </w:rPr>
        <w:t xml:space="preserve">%，扩初阶段 </w:t>
      </w:r>
      <w:r>
        <w:rPr>
          <w:rFonts w:hint="eastAsia" w:ascii="Times New Roman" w:hAnsi="Times New Roman"/>
          <w:b/>
          <w:color w:val="auto"/>
          <w:w w:val="95"/>
          <w:sz w:val="21"/>
          <w:highlight w:val="none"/>
          <w:lang w:eastAsia="zh-CN"/>
        </w:rPr>
        <w:t>20</w:t>
      </w:r>
      <w:r>
        <w:rPr>
          <w:b/>
          <w:color w:val="auto"/>
          <w:w w:val="95"/>
          <w:sz w:val="21"/>
          <w:highlight w:val="none"/>
          <w:lang w:eastAsia="zh-CN"/>
        </w:rPr>
        <w:t xml:space="preserve">%，施工图阶段 </w:t>
      </w:r>
      <w:r>
        <w:rPr>
          <w:rFonts w:hint="eastAsia" w:ascii="Times New Roman" w:hAnsi="Times New Roman"/>
          <w:b/>
          <w:color w:val="auto"/>
          <w:w w:val="95"/>
          <w:sz w:val="21"/>
          <w:highlight w:val="none"/>
          <w:lang w:eastAsia="zh-CN"/>
        </w:rPr>
        <w:t>50</w:t>
      </w:r>
      <w:r>
        <w:rPr>
          <w:b/>
          <w:color w:val="auto"/>
          <w:w w:val="95"/>
          <w:sz w:val="21"/>
          <w:highlight w:val="none"/>
          <w:lang w:eastAsia="zh-CN"/>
        </w:rPr>
        <w:t>%。</w:t>
      </w:r>
    </w:p>
    <w:p>
      <w:pPr>
        <w:pStyle w:val="17"/>
        <w:ind w:left="0"/>
        <w:rPr>
          <w:color w:val="auto"/>
          <w:sz w:val="28"/>
          <w:highlight w:val="none"/>
          <w:lang w:eastAsia="zh-CN"/>
        </w:rPr>
      </w:pPr>
    </w:p>
    <w:p>
      <w:pPr>
        <w:spacing w:line="364" w:lineRule="auto"/>
        <w:ind w:left="820" w:right="819"/>
        <w:jc w:val="both"/>
        <w:rPr>
          <w:b/>
          <w:color w:val="auto"/>
          <w:sz w:val="21"/>
          <w:highlight w:val="none"/>
          <w:lang w:eastAsia="zh-CN"/>
        </w:rPr>
      </w:pPr>
    </w:p>
    <w:p>
      <w:pPr>
        <w:numPr>
          <w:ilvl w:val="0"/>
          <w:numId w:val="0"/>
        </w:numPr>
        <w:rPr>
          <w:color w:val="auto"/>
          <w:highlight w:val="none"/>
          <w:lang w:eastAsia="zh-CN"/>
        </w:rPr>
      </w:pPr>
    </w:p>
    <w:p>
      <w:pPr>
        <w:spacing w:line="364" w:lineRule="auto"/>
        <w:ind w:left="820" w:right="819"/>
        <w:jc w:val="both"/>
        <w:rPr>
          <w:color w:val="auto"/>
          <w:highlight w:val="none"/>
          <w:lang w:eastAsia="zh-CN"/>
        </w:rPr>
        <w:sectPr>
          <w:footerReference r:id="rId8" w:type="default"/>
          <w:pgSz w:w="11849" w:h="16792"/>
          <w:pgMar w:top="1417" w:right="850" w:bottom="1417" w:left="850" w:header="850" w:footer="850" w:gutter="0"/>
          <w:pgBorders>
            <w:top w:val="none" w:sz="0" w:space="0"/>
            <w:left w:val="none" w:sz="0" w:space="0"/>
            <w:bottom w:val="none" w:sz="0" w:space="0"/>
            <w:right w:val="none" w:sz="0" w:space="0"/>
          </w:pgBorders>
          <w:pgNumType w:fmt="decimal"/>
          <w:cols w:space="0" w:num="1"/>
          <w:rtlGutter w:val="0"/>
          <w:docGrid w:linePitch="0" w:charSpace="0"/>
        </w:sectPr>
      </w:pPr>
      <w:bookmarkStart w:id="173" w:name="第一节_开发委托管理合同书"/>
      <w:bookmarkEnd w:id="173"/>
      <w:r>
        <w:rPr>
          <w:rFonts w:hint="eastAsia" w:ascii="黑体" w:eastAsia="黑体"/>
          <w:color w:val="auto"/>
          <w:sz w:val="36"/>
          <w:highlight w:val="none"/>
          <w:lang w:val="en-US" w:eastAsia="zh-CN"/>
        </w:rPr>
        <w:t xml:space="preserve">  </w:t>
      </w:r>
    </w:p>
    <w:p>
      <w:pPr>
        <w:pStyle w:val="7"/>
        <w:spacing w:before="0" w:after="0"/>
        <w:jc w:val="center"/>
        <w:rPr>
          <w:rFonts w:hint="eastAsia"/>
          <w:color w:val="auto"/>
          <w:sz w:val="36"/>
          <w:highlight w:val="none"/>
        </w:rPr>
      </w:pPr>
      <w:bookmarkStart w:id="174" w:name="_Toc31757"/>
      <w:r>
        <w:rPr>
          <w:rFonts w:hint="eastAsia"/>
          <w:color w:val="auto"/>
          <w:sz w:val="36"/>
          <w:highlight w:val="none"/>
        </w:rPr>
        <w:t>第四章</w:t>
      </w:r>
      <w:r>
        <w:rPr>
          <w:rFonts w:hint="eastAsia"/>
          <w:color w:val="auto"/>
          <w:sz w:val="36"/>
          <w:highlight w:val="none"/>
          <w:lang w:eastAsia="zh-CN"/>
        </w:rPr>
        <w:t>、</w:t>
      </w:r>
      <w:r>
        <w:rPr>
          <w:rFonts w:hint="eastAsia"/>
          <w:color w:val="auto"/>
          <w:sz w:val="36"/>
          <w:highlight w:val="none"/>
        </w:rPr>
        <w:t>项目需求</w:t>
      </w:r>
      <w:bookmarkEnd w:id="174"/>
    </w:p>
    <w:p>
      <w:pPr>
        <w:tabs>
          <w:tab w:val="left" w:pos="900"/>
        </w:tabs>
        <w:adjustRightInd w:val="0"/>
        <w:spacing w:after="156" w:afterLines="50"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一、项目基本情况</w:t>
      </w:r>
    </w:p>
    <w:p>
      <w:pPr>
        <w:pStyle w:val="90"/>
        <w:numPr>
          <w:ilvl w:val="0"/>
          <w:numId w:val="0"/>
        </w:numPr>
        <w:tabs>
          <w:tab w:val="left" w:pos="1824"/>
        </w:tabs>
        <w:spacing w:line="365" w:lineRule="auto"/>
        <w:ind w:leftChars="200" w:right="420" w:rightChars="200"/>
        <w:jc w:val="left"/>
        <w:rPr>
          <w:rFonts w:hint="eastAsia" w:ascii="宋体" w:hAnsi="宋体" w:cs="宋体"/>
          <w:color w:val="auto"/>
          <w:szCs w:val="21"/>
          <w:highlight w:val="none"/>
        </w:rPr>
      </w:pPr>
      <w:r>
        <w:rPr>
          <w:rFonts w:hint="eastAsia" w:ascii="Times New Roman" w:hAnsi="Times New Roman" w:cs="宋体"/>
          <w:color w:val="auto"/>
          <w:szCs w:val="21"/>
          <w:highlight w:val="none"/>
          <w:lang w:eastAsia="zh-CN"/>
        </w:rPr>
        <w:t>GZ427</w:t>
      </w:r>
      <w:r>
        <w:rPr>
          <w:rFonts w:hint="eastAsia" w:ascii="宋体" w:hAnsi="宋体" w:cs="宋体"/>
          <w:color w:val="auto"/>
          <w:szCs w:val="21"/>
          <w:highlight w:val="none"/>
        </w:rPr>
        <w:t>地块，占地：</w:t>
      </w:r>
      <w:r>
        <w:rPr>
          <w:rFonts w:hint="eastAsia" w:ascii="Times New Roman" w:hAnsi="Times New Roman" w:cs="宋体"/>
          <w:color w:val="auto"/>
          <w:szCs w:val="21"/>
          <w:highlight w:val="none"/>
          <w:lang w:eastAsia="zh-CN"/>
        </w:rPr>
        <w:t>35360</w:t>
      </w:r>
      <w:r>
        <w:rPr>
          <w:rFonts w:hint="eastAsia" w:ascii="宋体" w:hAnsi="宋体" w:cs="宋体"/>
          <w:color w:val="auto"/>
          <w:szCs w:val="21"/>
          <w:highlight w:val="none"/>
        </w:rPr>
        <w:t>㎡ ，容积率：</w:t>
      </w:r>
      <w:r>
        <w:rPr>
          <w:rFonts w:hint="eastAsia" w:ascii="Times New Roman" w:hAnsi="Times New Roman" w:cs="宋体"/>
          <w:color w:val="auto"/>
          <w:szCs w:val="21"/>
          <w:highlight w:val="none"/>
          <w:lang w:eastAsia="zh-CN"/>
        </w:rPr>
        <w:t>1</w:t>
      </w:r>
      <w:r>
        <w:rPr>
          <w:rFonts w:hint="eastAsia" w:ascii="宋体" w:hAnsi="宋体" w:cs="宋体"/>
          <w:color w:val="auto"/>
          <w:szCs w:val="21"/>
          <w:highlight w:val="none"/>
        </w:rPr>
        <w:t>.</w:t>
      </w:r>
      <w:r>
        <w:rPr>
          <w:rFonts w:hint="eastAsia" w:ascii="Times New Roman" w:hAnsi="Times New Roman" w:cs="宋体"/>
          <w:color w:val="auto"/>
          <w:szCs w:val="21"/>
          <w:highlight w:val="none"/>
          <w:lang w:eastAsia="zh-CN"/>
        </w:rPr>
        <w:t>6</w:t>
      </w:r>
      <w:r>
        <w:rPr>
          <w:rFonts w:hint="eastAsia" w:ascii="宋体" w:hAnsi="宋体" w:cs="宋体"/>
          <w:color w:val="auto"/>
          <w:szCs w:val="21"/>
          <w:highlight w:val="none"/>
        </w:rPr>
        <w:t xml:space="preserve"> ，计容建面：</w:t>
      </w:r>
      <w:r>
        <w:rPr>
          <w:rFonts w:hint="eastAsia" w:ascii="Times New Roman" w:hAnsi="Times New Roman" w:cs="宋体"/>
          <w:color w:val="auto"/>
          <w:szCs w:val="21"/>
          <w:highlight w:val="none"/>
          <w:lang w:eastAsia="zh-CN"/>
        </w:rPr>
        <w:t>81984</w:t>
      </w:r>
      <w:r>
        <w:rPr>
          <w:rFonts w:hint="eastAsia" w:ascii="宋体" w:hAnsi="宋体" w:cs="宋体"/>
          <w:color w:val="auto"/>
          <w:szCs w:val="21"/>
          <w:highlight w:val="none"/>
        </w:rPr>
        <w:t>㎡，成交楼板价：</w:t>
      </w:r>
      <w:r>
        <w:rPr>
          <w:rFonts w:hint="eastAsia" w:ascii="Times New Roman" w:hAnsi="Times New Roman" w:cs="宋体"/>
          <w:color w:val="auto"/>
          <w:szCs w:val="21"/>
          <w:highlight w:val="none"/>
          <w:lang w:eastAsia="zh-CN"/>
        </w:rPr>
        <w:t>9175</w:t>
      </w:r>
      <w:r>
        <w:rPr>
          <w:rFonts w:hint="eastAsia" w:ascii="宋体" w:hAnsi="宋体" w:cs="宋体"/>
          <w:color w:val="auto"/>
          <w:szCs w:val="21"/>
          <w:highlight w:val="none"/>
        </w:rPr>
        <w:t>元/㎡ ，成交总价：</w:t>
      </w:r>
      <w:r>
        <w:rPr>
          <w:rFonts w:hint="eastAsia" w:ascii="Times New Roman" w:hAnsi="Times New Roman" w:cs="宋体"/>
          <w:color w:val="auto"/>
          <w:szCs w:val="21"/>
          <w:highlight w:val="none"/>
          <w:lang w:eastAsia="zh-CN"/>
        </w:rPr>
        <w:t>7</w:t>
      </w:r>
      <w:r>
        <w:rPr>
          <w:rFonts w:hint="eastAsia" w:ascii="宋体" w:hAnsi="宋体" w:cs="宋体"/>
          <w:color w:val="auto"/>
          <w:szCs w:val="21"/>
          <w:highlight w:val="none"/>
        </w:rPr>
        <w:t>.</w:t>
      </w:r>
      <w:r>
        <w:rPr>
          <w:rFonts w:hint="eastAsia" w:ascii="Times New Roman" w:hAnsi="Times New Roman" w:cs="宋体"/>
          <w:color w:val="auto"/>
          <w:szCs w:val="21"/>
          <w:highlight w:val="none"/>
          <w:lang w:eastAsia="zh-CN"/>
        </w:rPr>
        <w:t>52</w:t>
      </w:r>
      <w:r>
        <w:rPr>
          <w:rFonts w:hint="eastAsia" w:ascii="宋体" w:hAnsi="宋体" w:cs="宋体"/>
          <w:color w:val="auto"/>
          <w:szCs w:val="21"/>
          <w:highlight w:val="none"/>
        </w:rPr>
        <w:t xml:space="preserve">亿； </w:t>
      </w:r>
      <w:r>
        <w:rPr>
          <w:rFonts w:hint="eastAsia" w:ascii="Times New Roman" w:hAnsi="Times New Roman" w:cs="宋体"/>
          <w:color w:val="auto"/>
          <w:szCs w:val="21"/>
          <w:highlight w:val="none"/>
          <w:lang w:eastAsia="zh-CN"/>
        </w:rPr>
        <w:t>GZ428</w:t>
      </w:r>
      <w:r>
        <w:rPr>
          <w:rFonts w:hint="eastAsia" w:ascii="宋体" w:hAnsi="宋体" w:cs="宋体"/>
          <w:color w:val="auto"/>
          <w:szCs w:val="21"/>
          <w:highlight w:val="none"/>
        </w:rPr>
        <w:t>地块，占地：</w:t>
      </w:r>
      <w:r>
        <w:rPr>
          <w:rFonts w:hint="eastAsia" w:ascii="Times New Roman" w:hAnsi="Times New Roman" w:cs="宋体"/>
          <w:color w:val="auto"/>
          <w:szCs w:val="21"/>
          <w:highlight w:val="none"/>
          <w:lang w:eastAsia="zh-CN"/>
        </w:rPr>
        <w:t>51240</w:t>
      </w:r>
      <w:r>
        <w:rPr>
          <w:rFonts w:hint="eastAsia" w:ascii="宋体" w:hAnsi="宋体" w:cs="宋体"/>
          <w:color w:val="auto"/>
          <w:szCs w:val="21"/>
          <w:highlight w:val="none"/>
        </w:rPr>
        <w:t>㎡ ，容积率：</w:t>
      </w:r>
      <w:r>
        <w:rPr>
          <w:rFonts w:hint="eastAsia" w:ascii="Times New Roman" w:hAnsi="Times New Roman" w:cs="宋体"/>
          <w:color w:val="auto"/>
          <w:szCs w:val="21"/>
          <w:highlight w:val="none"/>
          <w:lang w:eastAsia="zh-CN"/>
        </w:rPr>
        <w:t>1</w:t>
      </w:r>
      <w:r>
        <w:rPr>
          <w:rFonts w:hint="eastAsia" w:ascii="宋体" w:hAnsi="宋体" w:cs="宋体"/>
          <w:color w:val="auto"/>
          <w:szCs w:val="21"/>
          <w:highlight w:val="none"/>
        </w:rPr>
        <w:t>.</w:t>
      </w:r>
      <w:r>
        <w:rPr>
          <w:rFonts w:hint="eastAsia" w:ascii="Times New Roman" w:hAnsi="Times New Roman" w:cs="宋体"/>
          <w:color w:val="auto"/>
          <w:szCs w:val="21"/>
          <w:highlight w:val="none"/>
          <w:lang w:eastAsia="zh-CN"/>
        </w:rPr>
        <w:t>6</w:t>
      </w:r>
      <w:r>
        <w:rPr>
          <w:rFonts w:hint="eastAsia" w:ascii="宋体" w:hAnsi="宋体" w:cs="宋体"/>
          <w:color w:val="auto"/>
          <w:szCs w:val="21"/>
          <w:highlight w:val="none"/>
        </w:rPr>
        <w:t xml:space="preserve"> ，计容建面：</w:t>
      </w:r>
      <w:r>
        <w:rPr>
          <w:rFonts w:hint="eastAsia" w:ascii="Times New Roman" w:hAnsi="Times New Roman" w:cs="宋体"/>
          <w:color w:val="auto"/>
          <w:szCs w:val="21"/>
          <w:highlight w:val="none"/>
          <w:lang w:eastAsia="zh-CN"/>
        </w:rPr>
        <w:t>56576</w:t>
      </w:r>
      <w:r>
        <w:rPr>
          <w:rFonts w:hint="eastAsia" w:ascii="宋体" w:hAnsi="宋体" w:cs="宋体"/>
          <w:color w:val="auto"/>
          <w:szCs w:val="21"/>
          <w:highlight w:val="none"/>
        </w:rPr>
        <w:t>㎡，成交楼板价：</w:t>
      </w:r>
      <w:r>
        <w:rPr>
          <w:rFonts w:hint="eastAsia" w:ascii="Times New Roman" w:hAnsi="Times New Roman" w:cs="宋体"/>
          <w:color w:val="auto"/>
          <w:szCs w:val="21"/>
          <w:highlight w:val="none"/>
          <w:lang w:eastAsia="zh-CN"/>
        </w:rPr>
        <w:t>7975</w:t>
      </w:r>
      <w:r>
        <w:rPr>
          <w:rFonts w:hint="eastAsia" w:ascii="宋体" w:hAnsi="宋体" w:cs="宋体"/>
          <w:color w:val="auto"/>
          <w:szCs w:val="21"/>
          <w:highlight w:val="none"/>
        </w:rPr>
        <w:t>元/㎡ ，成交总价：</w:t>
      </w:r>
      <w:r>
        <w:rPr>
          <w:rFonts w:hint="eastAsia" w:ascii="Times New Roman" w:hAnsi="Times New Roman" w:cs="宋体"/>
          <w:color w:val="auto"/>
          <w:szCs w:val="21"/>
          <w:highlight w:val="none"/>
          <w:lang w:eastAsia="zh-CN"/>
        </w:rPr>
        <w:t>4</w:t>
      </w:r>
      <w:r>
        <w:rPr>
          <w:rFonts w:hint="eastAsia" w:ascii="宋体" w:hAnsi="宋体" w:cs="宋体"/>
          <w:color w:val="auto"/>
          <w:szCs w:val="21"/>
          <w:highlight w:val="none"/>
        </w:rPr>
        <w:t>.</w:t>
      </w:r>
      <w:r>
        <w:rPr>
          <w:rFonts w:hint="eastAsia" w:ascii="Times New Roman" w:hAnsi="Times New Roman" w:cs="宋体"/>
          <w:color w:val="auto"/>
          <w:szCs w:val="21"/>
          <w:highlight w:val="none"/>
          <w:lang w:eastAsia="zh-CN"/>
        </w:rPr>
        <w:t>51</w:t>
      </w:r>
      <w:r>
        <w:rPr>
          <w:rFonts w:hint="eastAsia" w:ascii="宋体" w:hAnsi="宋体" w:cs="宋体"/>
          <w:color w:val="auto"/>
          <w:szCs w:val="21"/>
          <w:highlight w:val="none"/>
        </w:rPr>
        <w:t>亿。</w:t>
      </w:r>
    </w:p>
    <w:p>
      <w:pPr>
        <w:tabs>
          <w:tab w:val="left" w:pos="900"/>
        </w:tabs>
        <w:adjustRightInd w:val="0"/>
        <w:spacing w:after="156" w:afterLines="50" w:line="360" w:lineRule="auto"/>
        <w:rPr>
          <w:rFonts w:ascii="宋体" w:hAnsi="宋体" w:cs="宋体"/>
          <w:b/>
          <w:bCs/>
          <w:color w:val="auto"/>
          <w:szCs w:val="21"/>
          <w:highlight w:val="none"/>
        </w:rPr>
      </w:pPr>
      <w:r>
        <w:rPr>
          <w:rFonts w:hint="eastAsia" w:ascii="宋体" w:hAnsi="宋体" w:cs="宋体"/>
          <w:b/>
          <w:bCs/>
          <w:color w:val="auto"/>
          <w:szCs w:val="21"/>
          <w:highlight w:val="none"/>
        </w:rPr>
        <w:t>二、项目基本需求</w:t>
      </w:r>
    </w:p>
    <w:p>
      <w:pPr>
        <w:pStyle w:val="17"/>
        <w:spacing w:before="159" w:line="365" w:lineRule="auto"/>
        <w:ind w:firstLine="420" w:firstLineChars="200"/>
        <w:rPr>
          <w:color w:val="auto"/>
          <w:highlight w:val="none"/>
        </w:rPr>
      </w:pPr>
      <w:r>
        <w:rPr>
          <w:rFonts w:hint="eastAsia" w:ascii="Times New Roman" w:hAnsi="Times New Roman"/>
          <w:color w:val="auto"/>
          <w:highlight w:val="none"/>
          <w:lang w:eastAsia="zh-CN"/>
        </w:rPr>
        <w:t>1</w:t>
      </w:r>
      <w:r>
        <w:rPr>
          <w:color w:val="auto"/>
          <w:highlight w:val="none"/>
        </w:rPr>
        <w:t>、</w:t>
      </w:r>
      <w:r>
        <w:rPr>
          <w:rFonts w:hint="eastAsia"/>
          <w:color w:val="auto"/>
          <w:highlight w:val="none"/>
        </w:rPr>
        <w:t>本合同约定的开发管理服务涵盖</w:t>
      </w:r>
      <w:r>
        <w:rPr>
          <w:color w:val="auto"/>
          <w:highlight w:val="none"/>
        </w:rPr>
        <w:t>项目的全过程开发管理工作，</w:t>
      </w:r>
      <w:r>
        <w:rPr>
          <w:rFonts w:hint="eastAsia"/>
          <w:color w:val="auto"/>
          <w:highlight w:val="none"/>
        </w:rPr>
        <w:t>投标方</w:t>
      </w:r>
      <w:r>
        <w:rPr>
          <w:color w:val="auto"/>
          <w:highlight w:val="none"/>
        </w:rPr>
        <w:t>对管理范围内应该从事的具体管理事项在以下进行了</w:t>
      </w:r>
      <w:r>
        <w:rPr>
          <w:rFonts w:hint="eastAsia"/>
          <w:color w:val="auto"/>
          <w:highlight w:val="none"/>
        </w:rPr>
        <w:t>主要</w:t>
      </w:r>
      <w:r>
        <w:rPr>
          <w:color w:val="auto"/>
          <w:highlight w:val="none"/>
        </w:rPr>
        <w:t>列举：</w:t>
      </w:r>
    </w:p>
    <w:p>
      <w:pPr>
        <w:pStyle w:val="90"/>
        <w:numPr>
          <w:ilvl w:val="0"/>
          <w:numId w:val="47"/>
        </w:numPr>
        <w:tabs>
          <w:tab w:val="left" w:pos="1824"/>
        </w:tabs>
        <w:autoSpaceDE w:val="0"/>
        <w:autoSpaceDN w:val="0"/>
        <w:spacing w:line="365" w:lineRule="auto"/>
        <w:ind w:left="425" w:leftChars="0" w:hanging="425" w:firstLineChars="0"/>
        <w:jc w:val="left"/>
        <w:rPr>
          <w:color w:val="auto"/>
          <w:highlight w:val="none"/>
        </w:rPr>
      </w:pPr>
      <w:r>
        <w:rPr>
          <w:rFonts w:hint="eastAsia"/>
          <w:color w:val="auto"/>
          <w:highlight w:val="none"/>
        </w:rPr>
        <w:t>管理系统工作：项目公司各项管理制度的建立，并协助甲方进行项目公司财务管理系统、</w:t>
      </w:r>
      <w:r>
        <w:rPr>
          <w:rFonts w:hint="eastAsia" w:ascii="Times New Roman" w:hAnsi="Times New Roman"/>
          <w:color w:val="auto"/>
          <w:highlight w:val="none"/>
          <w:lang w:eastAsia="zh-CN"/>
        </w:rPr>
        <w:t>ERP</w:t>
      </w:r>
      <w:r>
        <w:rPr>
          <w:rFonts w:hint="eastAsia"/>
          <w:color w:val="auto"/>
          <w:highlight w:val="none"/>
        </w:rPr>
        <w:t>管理系统等日常维护。</w:t>
      </w:r>
    </w:p>
    <w:p>
      <w:pPr>
        <w:pStyle w:val="90"/>
        <w:numPr>
          <w:ilvl w:val="0"/>
          <w:numId w:val="47"/>
        </w:numPr>
        <w:tabs>
          <w:tab w:val="left" w:pos="1824"/>
        </w:tabs>
        <w:autoSpaceDE w:val="0"/>
        <w:autoSpaceDN w:val="0"/>
        <w:spacing w:line="365" w:lineRule="auto"/>
        <w:ind w:left="425" w:leftChars="0" w:hanging="425" w:firstLineChars="0"/>
        <w:jc w:val="left"/>
        <w:rPr>
          <w:color w:val="auto"/>
          <w:highlight w:val="none"/>
        </w:rPr>
      </w:pPr>
      <w:r>
        <w:rPr>
          <w:color w:val="auto"/>
          <w:highlight w:val="none"/>
        </w:rPr>
        <w:t>前期管理工作：对项目的运营思路和方案进行统筹规划，乙方负责办理项目</w:t>
      </w:r>
      <w:r>
        <w:rPr>
          <w:color w:val="auto"/>
          <w:spacing w:val="-3"/>
          <w:highlight w:val="none"/>
        </w:rPr>
        <w:t>开发建设所需的具体审批和许可手续（但本合同另有约定的除外）</w:t>
      </w:r>
      <w:r>
        <w:rPr>
          <w:color w:val="auto"/>
          <w:highlight w:val="none"/>
        </w:rPr>
        <w:t>。</w:t>
      </w:r>
    </w:p>
    <w:p>
      <w:pPr>
        <w:pStyle w:val="90"/>
        <w:numPr>
          <w:ilvl w:val="0"/>
          <w:numId w:val="47"/>
        </w:numPr>
        <w:tabs>
          <w:tab w:val="left" w:pos="1824"/>
        </w:tabs>
        <w:autoSpaceDE w:val="0"/>
        <w:autoSpaceDN w:val="0"/>
        <w:spacing w:line="365" w:lineRule="auto"/>
        <w:ind w:left="425" w:leftChars="0" w:hanging="425" w:firstLineChars="0"/>
        <w:rPr>
          <w:color w:val="auto"/>
          <w:highlight w:val="none"/>
        </w:rPr>
      </w:pPr>
      <w:r>
        <w:rPr>
          <w:color w:val="auto"/>
          <w:highlight w:val="none"/>
        </w:rPr>
        <w:t>规划设计管理：根据项目类型和实际情况负责各阶段设计单位</w:t>
      </w:r>
      <w:r>
        <w:rPr>
          <w:color w:val="auto"/>
          <w:spacing w:val="4"/>
          <w:highlight w:val="none"/>
        </w:rPr>
        <w:t>（</w:t>
      </w:r>
      <w:r>
        <w:rPr>
          <w:color w:val="auto"/>
          <w:highlight w:val="none"/>
        </w:rPr>
        <w:t>包括但不限于规划设计、建筑设计、景观设计、装修装饰设计等）的设计管理工作，把控设计进度</w:t>
      </w:r>
      <w:r>
        <w:rPr>
          <w:color w:val="auto"/>
          <w:spacing w:val="-3"/>
          <w:highlight w:val="none"/>
        </w:rPr>
        <w:t>及设计成果质量。</w:t>
      </w:r>
    </w:p>
    <w:p>
      <w:pPr>
        <w:pStyle w:val="90"/>
        <w:numPr>
          <w:ilvl w:val="0"/>
          <w:numId w:val="47"/>
        </w:numPr>
        <w:tabs>
          <w:tab w:val="left" w:pos="1863"/>
        </w:tabs>
        <w:autoSpaceDE w:val="0"/>
        <w:autoSpaceDN w:val="0"/>
        <w:spacing w:line="365" w:lineRule="auto"/>
        <w:ind w:left="425" w:leftChars="0" w:hanging="425" w:firstLineChars="0"/>
        <w:jc w:val="left"/>
        <w:rPr>
          <w:color w:val="auto"/>
          <w:highlight w:val="none"/>
        </w:rPr>
      </w:pPr>
      <w:r>
        <w:rPr>
          <w:color w:val="auto"/>
          <w:spacing w:val="16"/>
          <w:highlight w:val="none"/>
        </w:rPr>
        <w:t>成本管理：制订合理的项目成本管理目标（</w:t>
      </w:r>
      <w:r>
        <w:rPr>
          <w:color w:val="auto"/>
          <w:spacing w:val="14"/>
          <w:highlight w:val="none"/>
        </w:rPr>
        <w:t>需经甲乙双方按合同约定确认）</w:t>
      </w:r>
      <w:r>
        <w:rPr>
          <w:color w:val="auto"/>
          <w:spacing w:val="-3"/>
          <w:highlight w:val="none"/>
        </w:rPr>
        <w:t>，</w:t>
      </w:r>
      <w:r>
        <w:rPr>
          <w:rFonts w:hint="eastAsia"/>
          <w:color w:val="auto"/>
          <w:spacing w:val="-3"/>
          <w:highlight w:val="none"/>
        </w:rPr>
        <w:t>免费提供乙方集采资源，</w:t>
      </w:r>
      <w:r>
        <w:rPr>
          <w:color w:val="auto"/>
          <w:spacing w:val="-3"/>
          <w:highlight w:val="none"/>
        </w:rPr>
        <w:t>并在项目开发建设全过程中实行有效的成本管理。</w:t>
      </w:r>
    </w:p>
    <w:p>
      <w:pPr>
        <w:pStyle w:val="90"/>
        <w:numPr>
          <w:ilvl w:val="0"/>
          <w:numId w:val="47"/>
        </w:numPr>
        <w:tabs>
          <w:tab w:val="left" w:pos="1824"/>
        </w:tabs>
        <w:autoSpaceDE w:val="0"/>
        <w:autoSpaceDN w:val="0"/>
        <w:spacing w:before="158" w:line="365" w:lineRule="auto"/>
        <w:ind w:left="425" w:leftChars="0" w:hanging="425" w:firstLineChars="0"/>
        <w:rPr>
          <w:color w:val="auto"/>
          <w:highlight w:val="none"/>
        </w:rPr>
      </w:pPr>
      <w:r>
        <w:rPr>
          <w:color w:val="auto"/>
          <w:highlight w:val="none"/>
        </w:rPr>
        <w:t>工程管理：依据甲方合规招采流程选择各类</w:t>
      </w:r>
      <w:r>
        <w:rPr>
          <w:rFonts w:hint="eastAsia"/>
          <w:color w:val="auto"/>
          <w:highlight w:val="none"/>
        </w:rPr>
        <w:t>参建单位，包括</w:t>
      </w:r>
      <w:r>
        <w:rPr>
          <w:color w:val="auto"/>
          <w:highlight w:val="none"/>
        </w:rPr>
        <w:t>施工单位、材料设备供应单位和监理单位并进行统筹管理，对项目工程建设阶段的安全生产、质量、工期、文明施工等进行全面管理，对项目建设过程中出现的各类突发事件进行妥善处理。</w:t>
      </w:r>
    </w:p>
    <w:p>
      <w:pPr>
        <w:pStyle w:val="90"/>
        <w:numPr>
          <w:ilvl w:val="0"/>
          <w:numId w:val="47"/>
        </w:numPr>
        <w:tabs>
          <w:tab w:val="left" w:pos="1824"/>
        </w:tabs>
        <w:autoSpaceDE w:val="0"/>
        <w:autoSpaceDN w:val="0"/>
        <w:spacing w:before="158" w:line="365" w:lineRule="auto"/>
        <w:ind w:left="425" w:leftChars="0" w:hanging="425" w:firstLineChars="0"/>
        <w:rPr>
          <w:color w:val="auto"/>
          <w:highlight w:val="none"/>
        </w:rPr>
      </w:pPr>
      <w:r>
        <w:rPr>
          <w:color w:val="auto"/>
          <w:highlight w:val="none"/>
        </w:rPr>
        <w:t>营销管理：对项目房产市场定位进行规划并制订销售目标和营销计划（</w:t>
      </w:r>
      <w:r>
        <w:rPr>
          <w:color w:val="auto"/>
          <w:spacing w:val="2"/>
          <w:highlight w:val="none"/>
        </w:rPr>
        <w:t>需经甲乙双方按合同约定确认），选择各类营销专业服务单位并进行统筹管理，对项目的定位</w:t>
      </w:r>
      <w:r>
        <w:rPr>
          <w:color w:val="auto"/>
          <w:spacing w:val="-3"/>
          <w:highlight w:val="none"/>
        </w:rPr>
        <w:t>（</w:t>
      </w:r>
      <w:r>
        <w:rPr>
          <w:color w:val="auto"/>
          <w:spacing w:val="-1"/>
          <w:highlight w:val="none"/>
        </w:rPr>
        <w:t>含客户研究</w:t>
      </w:r>
      <w:r>
        <w:rPr>
          <w:color w:val="auto"/>
          <w:spacing w:val="-3"/>
          <w:highlight w:val="none"/>
        </w:rPr>
        <w:t>）、策划、推广、销售过程进行全面管理，实现项目销售目标。</w:t>
      </w:r>
    </w:p>
    <w:p>
      <w:pPr>
        <w:pStyle w:val="90"/>
        <w:numPr>
          <w:ilvl w:val="0"/>
          <w:numId w:val="47"/>
        </w:numPr>
        <w:tabs>
          <w:tab w:val="left" w:pos="1824"/>
        </w:tabs>
        <w:autoSpaceDE w:val="0"/>
        <w:autoSpaceDN w:val="0"/>
        <w:spacing w:before="1" w:line="365" w:lineRule="auto"/>
        <w:ind w:left="425" w:leftChars="0" w:hanging="425" w:firstLineChars="0"/>
        <w:jc w:val="left"/>
        <w:rPr>
          <w:color w:val="auto"/>
          <w:highlight w:val="none"/>
        </w:rPr>
      </w:pPr>
      <w:r>
        <w:rPr>
          <w:color w:val="auto"/>
          <w:highlight w:val="none"/>
        </w:rPr>
        <w:t>竣工验收和交付管理：组织各类工程节点中间验收、竣工验收，完成竣工验</w:t>
      </w:r>
      <w:r>
        <w:rPr>
          <w:color w:val="auto"/>
          <w:spacing w:val="-3"/>
          <w:highlight w:val="none"/>
        </w:rPr>
        <w:t>收备案工作，组织实施项目房产的集中交付工作。</w:t>
      </w:r>
    </w:p>
    <w:p>
      <w:pPr>
        <w:pStyle w:val="90"/>
        <w:numPr>
          <w:ilvl w:val="0"/>
          <w:numId w:val="47"/>
        </w:numPr>
        <w:tabs>
          <w:tab w:val="left" w:pos="1824"/>
        </w:tabs>
        <w:autoSpaceDE w:val="0"/>
        <w:autoSpaceDN w:val="0"/>
        <w:spacing w:before="1" w:line="365" w:lineRule="auto"/>
        <w:ind w:left="425" w:leftChars="0" w:hanging="425" w:firstLineChars="0"/>
        <w:jc w:val="left"/>
        <w:rPr>
          <w:color w:val="auto"/>
          <w:highlight w:val="none"/>
        </w:rPr>
      </w:pPr>
      <w:r>
        <w:rPr>
          <w:color w:val="auto"/>
          <w:highlight w:val="none"/>
        </w:rPr>
        <w:t xml:space="preserve">客户服务及房产保修管理：设置或聘任客户服务组织，有效处理客户投诉， </w:t>
      </w:r>
      <w:r>
        <w:rPr>
          <w:color w:val="auto"/>
          <w:spacing w:val="-3"/>
          <w:highlight w:val="none"/>
        </w:rPr>
        <w:t>提升客户满意度；负责项目房产在本合同约定期限内质量保修的管理工作。</w:t>
      </w:r>
    </w:p>
    <w:p>
      <w:pPr>
        <w:pStyle w:val="90"/>
        <w:numPr>
          <w:ilvl w:val="0"/>
          <w:numId w:val="47"/>
        </w:numPr>
        <w:tabs>
          <w:tab w:val="left" w:pos="1811"/>
        </w:tabs>
        <w:autoSpaceDE w:val="0"/>
        <w:autoSpaceDN w:val="0"/>
        <w:spacing w:line="365" w:lineRule="auto"/>
        <w:ind w:left="425" w:leftChars="0" w:hanging="425" w:firstLineChars="0"/>
        <w:jc w:val="left"/>
        <w:rPr>
          <w:color w:val="auto"/>
          <w:highlight w:val="none"/>
        </w:rPr>
      </w:pPr>
      <w:r>
        <w:rPr>
          <w:color w:val="auto"/>
          <w:spacing w:val="-3"/>
          <w:highlight w:val="none"/>
        </w:rPr>
        <w:t>前期物业服务督导：依据甲乙双方共同确认的招采方式选择前期物业管理单位，协调制定物业服务方案，对前期物业服务的质量进行督导，包括房屋交付后进行物业服务督导并完成首年度监督考核工作，实现物业服务考核合格。</w:t>
      </w:r>
    </w:p>
    <w:p>
      <w:pPr>
        <w:pStyle w:val="90"/>
        <w:numPr>
          <w:ilvl w:val="0"/>
          <w:numId w:val="47"/>
        </w:numPr>
        <w:tabs>
          <w:tab w:val="left" w:pos="1811"/>
        </w:tabs>
        <w:autoSpaceDE w:val="0"/>
        <w:autoSpaceDN w:val="0"/>
        <w:spacing w:line="365" w:lineRule="auto"/>
        <w:ind w:left="425" w:leftChars="0" w:hanging="425" w:firstLineChars="0"/>
        <w:jc w:val="left"/>
        <w:rPr>
          <w:color w:val="auto"/>
          <w:highlight w:val="none"/>
        </w:rPr>
      </w:pPr>
      <w:r>
        <w:rPr>
          <w:color w:val="auto"/>
          <w:spacing w:val="-3"/>
          <w:highlight w:val="none"/>
        </w:rPr>
        <w:t>人力资源管理：根据乙方的管理经验，建立</w:t>
      </w:r>
      <w:r>
        <w:rPr>
          <w:rFonts w:hint="eastAsia"/>
          <w:color w:val="auto"/>
          <w:spacing w:val="-3"/>
          <w:highlight w:val="none"/>
        </w:rPr>
        <w:t>拟开发管理</w:t>
      </w:r>
      <w:r>
        <w:rPr>
          <w:color w:val="auto"/>
          <w:spacing w:val="-3"/>
          <w:highlight w:val="none"/>
        </w:rPr>
        <w:t>项目的人力资源相关管理制度，并进行人力资源日常管理。负责培训甲方派驻项目的现场管理人员，包括建立培训计划、考核细则等全过程的管理培训体系。</w:t>
      </w:r>
    </w:p>
    <w:p>
      <w:pPr>
        <w:pStyle w:val="90"/>
        <w:numPr>
          <w:ilvl w:val="0"/>
          <w:numId w:val="47"/>
        </w:numPr>
        <w:tabs>
          <w:tab w:val="left" w:pos="1824"/>
        </w:tabs>
        <w:autoSpaceDE w:val="0"/>
        <w:autoSpaceDN w:val="0"/>
        <w:spacing w:before="1" w:line="365" w:lineRule="auto"/>
        <w:ind w:left="425" w:leftChars="0" w:hanging="425" w:firstLineChars="0"/>
        <w:jc w:val="left"/>
        <w:rPr>
          <w:color w:val="auto"/>
          <w:highlight w:val="none"/>
        </w:rPr>
      </w:pPr>
      <w:r>
        <w:rPr>
          <w:color w:val="auto"/>
          <w:spacing w:val="-3"/>
          <w:highlight w:val="none"/>
        </w:rPr>
        <w:t>行政管理</w:t>
      </w:r>
      <w:r>
        <w:rPr>
          <w:color w:val="auto"/>
          <w:highlight w:val="none"/>
        </w:rPr>
        <w:t>：根据乙方的管理经验，协助甲方建立</w:t>
      </w:r>
      <w:r>
        <w:rPr>
          <w:rFonts w:hint="eastAsia"/>
          <w:color w:val="auto"/>
          <w:highlight w:val="none"/>
        </w:rPr>
        <w:t>开发</w:t>
      </w:r>
      <w:r>
        <w:rPr>
          <w:color w:val="auto"/>
          <w:highlight w:val="none"/>
        </w:rPr>
        <w:t>管理项目的行政相关管理制度，进行行政后勤、公文管理、信息管理、档案管理等工作。</w:t>
      </w:r>
    </w:p>
    <w:p>
      <w:pPr>
        <w:pStyle w:val="17"/>
        <w:spacing w:before="159" w:line="365" w:lineRule="auto"/>
        <w:ind w:firstLine="420" w:firstLineChars="200"/>
        <w:rPr>
          <w:rFonts w:hint="eastAsia"/>
          <w:color w:val="auto"/>
          <w:highlight w:val="none"/>
        </w:rPr>
      </w:pPr>
      <w:r>
        <w:rPr>
          <w:rFonts w:hint="eastAsia" w:ascii="Times New Roman" w:hAnsi="Times New Roman"/>
          <w:color w:val="auto"/>
          <w:highlight w:val="none"/>
          <w:lang w:eastAsia="zh-CN"/>
        </w:rPr>
        <w:t>2</w:t>
      </w:r>
      <w:r>
        <w:rPr>
          <w:color w:val="auto"/>
          <w:highlight w:val="none"/>
        </w:rPr>
        <w:t>、</w:t>
      </w:r>
      <w:r>
        <w:rPr>
          <w:rFonts w:hint="eastAsia"/>
          <w:color w:val="auto"/>
          <w:highlight w:val="none"/>
        </w:rPr>
        <w:t>本合同约定的全过程设计服务涵盖</w:t>
      </w:r>
      <w:r>
        <w:rPr>
          <w:color w:val="auto"/>
          <w:highlight w:val="none"/>
        </w:rPr>
        <w:t>项目的全过程</w:t>
      </w:r>
      <w:r>
        <w:rPr>
          <w:rFonts w:hint="eastAsia"/>
          <w:color w:val="auto"/>
          <w:highlight w:val="none"/>
        </w:rPr>
        <w:t>的设计</w:t>
      </w:r>
      <w:r>
        <w:rPr>
          <w:color w:val="auto"/>
          <w:highlight w:val="none"/>
        </w:rPr>
        <w:t>工作，</w:t>
      </w:r>
      <w:r>
        <w:rPr>
          <w:rFonts w:hint="eastAsia"/>
          <w:color w:val="auto"/>
          <w:highlight w:val="none"/>
        </w:rPr>
        <w:t>投标方</w:t>
      </w:r>
      <w:r>
        <w:rPr>
          <w:color w:val="auto"/>
          <w:highlight w:val="none"/>
        </w:rPr>
        <w:t>对应该从事的具体</w:t>
      </w:r>
      <w:r>
        <w:rPr>
          <w:rFonts w:hint="eastAsia"/>
          <w:color w:val="auto"/>
          <w:highlight w:val="none"/>
        </w:rPr>
        <w:t>设计</w:t>
      </w:r>
      <w:r>
        <w:rPr>
          <w:color w:val="auto"/>
          <w:highlight w:val="none"/>
        </w:rPr>
        <w:t>事项在以下进行了</w:t>
      </w:r>
      <w:r>
        <w:rPr>
          <w:rFonts w:hint="eastAsia"/>
          <w:color w:val="auto"/>
          <w:highlight w:val="none"/>
        </w:rPr>
        <w:t>主要</w:t>
      </w:r>
      <w:r>
        <w:rPr>
          <w:color w:val="auto"/>
          <w:highlight w:val="none"/>
        </w:rPr>
        <w:t>列举：</w:t>
      </w:r>
    </w:p>
    <w:p>
      <w:pPr>
        <w:pStyle w:val="90"/>
        <w:numPr>
          <w:ilvl w:val="0"/>
          <w:numId w:val="48"/>
        </w:numPr>
        <w:tabs>
          <w:tab w:val="left" w:pos="1824"/>
        </w:tabs>
        <w:autoSpaceDE w:val="0"/>
        <w:autoSpaceDN w:val="0"/>
        <w:spacing w:line="365" w:lineRule="auto"/>
        <w:ind w:firstLine="408"/>
        <w:jc w:val="left"/>
        <w:rPr>
          <w:rFonts w:hint="eastAsia"/>
          <w:color w:val="auto"/>
          <w:spacing w:val="-3"/>
          <w:highlight w:val="none"/>
        </w:rPr>
      </w:pPr>
      <w:r>
        <w:rPr>
          <w:rFonts w:hint="eastAsia"/>
          <w:color w:val="auto"/>
          <w:spacing w:val="-3"/>
          <w:highlight w:val="none"/>
        </w:rPr>
        <w:t>建筑工程设计：概念方案设计、方案设计、初步设计、施工图设计、后期服务等；</w:t>
      </w:r>
    </w:p>
    <w:p>
      <w:pPr>
        <w:pStyle w:val="90"/>
        <w:numPr>
          <w:ilvl w:val="0"/>
          <w:numId w:val="48"/>
        </w:numPr>
        <w:tabs>
          <w:tab w:val="left" w:pos="1824"/>
        </w:tabs>
        <w:autoSpaceDE w:val="0"/>
        <w:autoSpaceDN w:val="0"/>
        <w:spacing w:line="365" w:lineRule="auto"/>
        <w:ind w:firstLine="408"/>
        <w:jc w:val="left"/>
        <w:rPr>
          <w:rFonts w:hint="eastAsia"/>
          <w:color w:val="auto"/>
          <w:spacing w:val="-3"/>
          <w:highlight w:val="none"/>
        </w:rPr>
      </w:pPr>
      <w:r>
        <w:rPr>
          <w:rFonts w:hint="eastAsia"/>
          <w:color w:val="auto"/>
          <w:spacing w:val="-3"/>
          <w:highlight w:val="none"/>
        </w:rPr>
        <w:t>景观专项设计：概念方案、方案深化、扩初设计、施工图、现场服务等；</w:t>
      </w:r>
    </w:p>
    <w:p>
      <w:pPr>
        <w:pStyle w:val="90"/>
        <w:numPr>
          <w:ilvl w:val="0"/>
          <w:numId w:val="48"/>
        </w:numPr>
        <w:tabs>
          <w:tab w:val="left" w:pos="1824"/>
        </w:tabs>
        <w:autoSpaceDE w:val="0"/>
        <w:autoSpaceDN w:val="0"/>
        <w:spacing w:line="365" w:lineRule="auto"/>
        <w:ind w:firstLine="408"/>
        <w:jc w:val="left"/>
        <w:rPr>
          <w:rFonts w:hint="eastAsia"/>
          <w:color w:val="auto"/>
          <w:spacing w:val="-3"/>
          <w:highlight w:val="none"/>
        </w:rPr>
      </w:pPr>
      <w:r>
        <w:rPr>
          <w:rFonts w:hint="eastAsia"/>
          <w:color w:val="auto"/>
          <w:spacing w:val="-3"/>
          <w:highlight w:val="none"/>
        </w:rPr>
        <w:t>精装修专项设计：概念方案、方案深化、扩初设计、施工图、施工阶段的监督及配合等；</w:t>
      </w:r>
    </w:p>
    <w:p>
      <w:pPr>
        <w:pStyle w:val="90"/>
        <w:numPr>
          <w:ilvl w:val="0"/>
          <w:numId w:val="48"/>
        </w:numPr>
        <w:tabs>
          <w:tab w:val="left" w:pos="1824"/>
        </w:tabs>
        <w:autoSpaceDE w:val="0"/>
        <w:autoSpaceDN w:val="0"/>
        <w:spacing w:line="365" w:lineRule="auto"/>
        <w:ind w:firstLine="408"/>
        <w:jc w:val="left"/>
        <w:rPr>
          <w:rFonts w:hint="eastAsia"/>
          <w:color w:val="auto"/>
          <w:spacing w:val="-3"/>
          <w:highlight w:val="none"/>
        </w:rPr>
      </w:pPr>
      <w:r>
        <w:rPr>
          <w:rFonts w:hint="eastAsia" w:ascii="Times New Roman" w:hAnsi="Times New Roman"/>
          <w:color w:val="auto"/>
          <w:spacing w:val="-3"/>
          <w:highlight w:val="none"/>
          <w:lang w:eastAsia="zh-CN"/>
        </w:rPr>
        <w:t>BIM</w:t>
      </w:r>
      <w:r>
        <w:rPr>
          <w:rFonts w:hint="eastAsia"/>
          <w:color w:val="auto"/>
          <w:spacing w:val="-3"/>
          <w:highlight w:val="none"/>
        </w:rPr>
        <w:t>专项设计：</w:t>
      </w:r>
      <w:r>
        <w:rPr>
          <w:rFonts w:hint="eastAsia" w:ascii="Times New Roman" w:hAnsi="Times New Roman"/>
          <w:color w:val="auto"/>
          <w:spacing w:val="-3"/>
          <w:highlight w:val="none"/>
          <w:lang w:eastAsia="zh-CN"/>
        </w:rPr>
        <w:t>BIM</w:t>
      </w:r>
      <w:r>
        <w:rPr>
          <w:rFonts w:hint="eastAsia"/>
          <w:color w:val="auto"/>
          <w:spacing w:val="-3"/>
          <w:highlight w:val="none"/>
        </w:rPr>
        <w:t xml:space="preserve"> 建模、图纸校验、管线优化、现场施工服务等；</w:t>
      </w:r>
    </w:p>
    <w:p>
      <w:pPr>
        <w:pStyle w:val="90"/>
        <w:numPr>
          <w:ilvl w:val="0"/>
          <w:numId w:val="48"/>
        </w:numPr>
        <w:tabs>
          <w:tab w:val="left" w:pos="1824"/>
        </w:tabs>
        <w:autoSpaceDE w:val="0"/>
        <w:autoSpaceDN w:val="0"/>
        <w:spacing w:line="365" w:lineRule="auto"/>
        <w:ind w:firstLine="408"/>
        <w:jc w:val="left"/>
        <w:rPr>
          <w:rFonts w:hint="eastAsia"/>
          <w:color w:val="auto"/>
          <w:spacing w:val="-3"/>
          <w:highlight w:val="none"/>
        </w:rPr>
      </w:pPr>
      <w:r>
        <w:rPr>
          <w:rFonts w:hint="eastAsia"/>
          <w:color w:val="auto"/>
          <w:spacing w:val="-3"/>
          <w:highlight w:val="none"/>
        </w:rPr>
        <w:t>基坑专项设计：概念方案、方案深化、施工图、施工阶段的监督及配合等；</w:t>
      </w:r>
    </w:p>
    <w:p>
      <w:pPr>
        <w:pStyle w:val="90"/>
        <w:numPr>
          <w:ilvl w:val="0"/>
          <w:numId w:val="48"/>
        </w:numPr>
        <w:tabs>
          <w:tab w:val="left" w:pos="1824"/>
        </w:tabs>
        <w:autoSpaceDE w:val="0"/>
        <w:autoSpaceDN w:val="0"/>
        <w:spacing w:line="365" w:lineRule="auto"/>
        <w:ind w:firstLine="408"/>
        <w:jc w:val="left"/>
        <w:rPr>
          <w:rFonts w:hint="eastAsia"/>
          <w:color w:val="auto"/>
          <w:spacing w:val="-3"/>
          <w:highlight w:val="none"/>
        </w:rPr>
      </w:pPr>
      <w:r>
        <w:rPr>
          <w:rFonts w:hint="eastAsia"/>
          <w:color w:val="auto"/>
          <w:spacing w:val="-3"/>
          <w:highlight w:val="none"/>
        </w:rPr>
        <w:t>门窗深化专项设计：施工图（总说明、平立面、大样图、节点图、型材图、计算书）、施工阶段的监督及配合等；</w:t>
      </w:r>
    </w:p>
    <w:p>
      <w:pPr>
        <w:pStyle w:val="90"/>
        <w:numPr>
          <w:ilvl w:val="0"/>
          <w:numId w:val="48"/>
        </w:numPr>
        <w:tabs>
          <w:tab w:val="left" w:pos="1824"/>
        </w:tabs>
        <w:autoSpaceDE w:val="0"/>
        <w:autoSpaceDN w:val="0"/>
        <w:spacing w:line="365" w:lineRule="auto"/>
        <w:ind w:firstLine="408"/>
        <w:jc w:val="left"/>
        <w:rPr>
          <w:rFonts w:hint="eastAsia"/>
          <w:color w:val="auto"/>
          <w:spacing w:val="-3"/>
          <w:highlight w:val="none"/>
        </w:rPr>
      </w:pPr>
      <w:r>
        <w:rPr>
          <w:rFonts w:hint="eastAsia"/>
          <w:color w:val="auto"/>
          <w:spacing w:val="-3"/>
          <w:highlight w:val="none"/>
        </w:rPr>
        <w:t>幕墙专项设计：施工图（总说明、平立面、大样图、节点图、埋件图、计算书）、施工阶段的监督及配合等；</w:t>
      </w:r>
    </w:p>
    <w:p>
      <w:pPr>
        <w:pStyle w:val="90"/>
        <w:numPr>
          <w:ilvl w:val="0"/>
          <w:numId w:val="48"/>
        </w:numPr>
        <w:tabs>
          <w:tab w:val="left" w:pos="1824"/>
        </w:tabs>
        <w:autoSpaceDE w:val="0"/>
        <w:autoSpaceDN w:val="0"/>
        <w:spacing w:line="365" w:lineRule="auto"/>
        <w:ind w:firstLine="408"/>
        <w:jc w:val="left"/>
        <w:rPr>
          <w:rFonts w:hint="eastAsia"/>
          <w:color w:val="auto"/>
          <w:spacing w:val="-3"/>
          <w:highlight w:val="none"/>
          <w:u w:val="single"/>
        </w:rPr>
      </w:pPr>
      <w:r>
        <w:rPr>
          <w:rFonts w:hint="eastAsia"/>
          <w:color w:val="auto"/>
          <w:spacing w:val="-3"/>
          <w:highlight w:val="none"/>
        </w:rPr>
        <w:t>其他专项设计：人防、消防、弱电智能化（室内、室外）、建筑绿色节能专项设计、海绵城市设计、</w:t>
      </w:r>
      <w:r>
        <w:rPr>
          <w:rFonts w:hint="eastAsia" w:ascii="Times New Roman" w:hAnsi="Times New Roman"/>
          <w:color w:val="auto"/>
          <w:spacing w:val="-3"/>
          <w:highlight w:val="none"/>
          <w:lang w:eastAsia="zh-CN"/>
        </w:rPr>
        <w:t>PC</w:t>
      </w:r>
      <w:r>
        <w:rPr>
          <w:rFonts w:hint="eastAsia"/>
          <w:color w:val="auto"/>
          <w:spacing w:val="-3"/>
          <w:highlight w:val="none"/>
        </w:rPr>
        <w:t>设计咨询、交通标志标线、标识标牌及导示设计（地上地下）、用地红线内市政及室外配套管线综合设计、室外排水（含沼气池）、室外给水（按自来水公司要求）。</w:t>
      </w:r>
      <w:r>
        <w:rPr>
          <w:rFonts w:hint="eastAsia"/>
          <w:color w:val="auto"/>
          <w:spacing w:val="-3"/>
          <w:highlight w:val="none"/>
          <w:u w:val="single"/>
        </w:rPr>
        <w:t>专项设计不包含：勘察设计、项目能源规划、公用变电站、换热站、红线外道路设计、施工图预算、竣工图编制等，以及当地行业主管部门有特殊要求的设计内容（如自来水、电力、燃气、通讯、数字电视配线等）。</w:t>
      </w:r>
    </w:p>
    <w:p>
      <w:pPr>
        <w:pStyle w:val="90"/>
        <w:numPr>
          <w:ilvl w:val="0"/>
          <w:numId w:val="0"/>
        </w:numPr>
        <w:tabs>
          <w:tab w:val="left" w:pos="1824"/>
        </w:tabs>
        <w:spacing w:line="376" w:lineRule="auto"/>
        <w:ind w:left="400" w:leftChars="0" w:right="817" w:rightChars="0"/>
        <w:jc w:val="left"/>
        <w:rPr>
          <w:rFonts w:hint="eastAsia" w:ascii="宋体" w:hAnsi="宋体" w:eastAsia="宋体" w:cs="宋体"/>
          <w:b w:val="0"/>
          <w:bCs w:val="0"/>
          <w:color w:val="auto"/>
          <w:kern w:val="2"/>
          <w:sz w:val="21"/>
          <w:szCs w:val="21"/>
          <w:highlight w:val="none"/>
          <w:u w:val="none"/>
          <w:lang w:val="en-US" w:eastAsia="zh-CN" w:bidi="ar-SA"/>
        </w:rPr>
      </w:pPr>
    </w:p>
    <w:p>
      <w:pPr>
        <w:pStyle w:val="17"/>
        <w:rPr>
          <w:color w:val="auto"/>
          <w:highlight w:val="none"/>
        </w:rPr>
      </w:pPr>
    </w:p>
    <w:p>
      <w:pPr>
        <w:rPr>
          <w:rFonts w:hint="eastAsia"/>
          <w:color w:val="auto"/>
          <w:highlight w:val="none"/>
        </w:rPr>
      </w:pPr>
      <w:r>
        <w:rPr>
          <w:rFonts w:hint="eastAsia"/>
          <w:color w:val="auto"/>
          <w:highlight w:val="none"/>
        </w:rPr>
        <w:br w:type="page"/>
      </w:r>
    </w:p>
    <w:p>
      <w:pPr>
        <w:pStyle w:val="7"/>
        <w:spacing w:line="360" w:lineRule="auto"/>
        <w:rPr>
          <w:color w:val="auto"/>
          <w:highlight w:val="none"/>
        </w:rPr>
      </w:pPr>
      <w:bookmarkStart w:id="175" w:name="_Toc6360"/>
      <w:r>
        <w:rPr>
          <w:rFonts w:hint="eastAsia"/>
          <w:color w:val="auto"/>
          <w:highlight w:val="none"/>
        </w:rPr>
        <w:t>第五章、评审方法和评审标准</w:t>
      </w:r>
      <w:bookmarkEnd w:id="136"/>
      <w:bookmarkEnd w:id="137"/>
      <w:bookmarkEnd w:id="175"/>
    </w:p>
    <w:p>
      <w:pPr>
        <w:pStyle w:val="64"/>
        <w:spacing w:before="0" w:after="0" w:line="360" w:lineRule="auto"/>
        <w:ind w:firstLine="0"/>
        <w:rPr>
          <w:rFonts w:ascii="宋体" w:hAnsi="宋体"/>
          <w:b/>
          <w:color w:val="auto"/>
          <w:kern w:val="2"/>
          <w:sz w:val="21"/>
          <w:szCs w:val="21"/>
          <w:highlight w:val="none"/>
        </w:rPr>
      </w:pPr>
      <w:bookmarkStart w:id="176" w:name="_Toc31015"/>
      <w:bookmarkStart w:id="177" w:name="_Toc2614"/>
      <w:r>
        <w:rPr>
          <w:rFonts w:hint="eastAsia" w:ascii="宋体" w:hAnsi="宋体"/>
          <w:b/>
          <w:color w:val="auto"/>
          <w:kern w:val="2"/>
          <w:sz w:val="21"/>
          <w:szCs w:val="21"/>
          <w:highlight w:val="none"/>
        </w:rPr>
        <w:t>一、评标方法</w:t>
      </w:r>
    </w:p>
    <w:p>
      <w:pPr>
        <w:spacing w:line="360" w:lineRule="auto"/>
        <w:ind w:firstLine="420" w:firstLineChars="200"/>
        <w:rPr>
          <w:rFonts w:ascii="宋体" w:hAnsi="宋体"/>
          <w:color w:val="auto"/>
          <w:szCs w:val="21"/>
          <w:highlight w:val="none"/>
        </w:rPr>
      </w:pPr>
      <w:r>
        <w:rPr>
          <w:rFonts w:hint="eastAsia"/>
          <w:color w:val="auto"/>
          <w:highlight w:val="none"/>
        </w:rPr>
        <w:t>本项目采用综合评</w:t>
      </w:r>
      <w:r>
        <w:rPr>
          <w:rFonts w:hint="eastAsia" w:ascii="宋体" w:hAnsi="宋体"/>
          <w:color w:val="auto"/>
          <w:szCs w:val="21"/>
          <w:highlight w:val="none"/>
        </w:rPr>
        <w:t>分法，评委会将对确定为实质性响应招标文件要求的投标文件进行评价和比较。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64"/>
        <w:spacing w:before="0" w:after="0" w:line="360" w:lineRule="auto"/>
        <w:ind w:firstLine="0"/>
        <w:rPr>
          <w:rFonts w:ascii="宋体" w:hAnsi="宋体"/>
          <w:b/>
          <w:color w:val="auto"/>
          <w:kern w:val="2"/>
          <w:sz w:val="21"/>
          <w:szCs w:val="21"/>
          <w:highlight w:val="none"/>
        </w:rPr>
      </w:pPr>
      <w:r>
        <w:rPr>
          <w:rFonts w:hint="eastAsia" w:ascii="宋体" w:hAnsi="宋体"/>
          <w:b/>
          <w:color w:val="auto"/>
          <w:kern w:val="2"/>
          <w:sz w:val="21"/>
          <w:szCs w:val="21"/>
          <w:highlight w:val="none"/>
        </w:rPr>
        <w:t>三、评标标准</w:t>
      </w:r>
    </w:p>
    <w:tbl>
      <w:tblPr>
        <w:tblStyle w:val="37"/>
        <w:tblW w:w="8864"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0" w:type="dxa"/>
          <w:left w:w="0" w:type="dxa"/>
          <w:bottom w:w="0" w:type="dxa"/>
          <w:right w:w="0" w:type="dxa"/>
        </w:tblCellMar>
      </w:tblPr>
      <w:tblGrid>
        <w:gridCol w:w="1133"/>
        <w:gridCol w:w="7731"/>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77" w:hRule="atLeast"/>
        </w:trPr>
        <w:tc>
          <w:tcPr>
            <w:tcW w:w="1133" w:type="dxa"/>
            <w:tcBorders>
              <w:top w:val="inset" w:color="auto" w:sz="6" w:space="0"/>
              <w:left w:val="inset" w:color="auto" w:sz="6" w:space="0"/>
              <w:bottom w:val="inset" w:color="auto" w:sz="6" w:space="0"/>
              <w:right w:val="inset" w:color="auto" w:sz="6" w:space="0"/>
            </w:tcBorders>
            <w:vAlign w:val="center"/>
          </w:tcPr>
          <w:p>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评分项目</w:t>
            </w:r>
          </w:p>
        </w:tc>
        <w:tc>
          <w:tcPr>
            <w:tcW w:w="7731" w:type="dxa"/>
            <w:tcBorders>
              <w:top w:val="inset" w:color="auto" w:sz="6" w:space="0"/>
              <w:left w:val="single" w:color="auto" w:sz="0" w:space="0"/>
              <w:bottom w:val="inset" w:color="auto" w:sz="6" w:space="0"/>
              <w:right w:val="inset" w:color="auto" w:sz="6" w:space="0"/>
            </w:tcBorders>
            <w:vAlign w:val="center"/>
          </w:tcPr>
          <w:p>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评审标准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513" w:hRule="atLeast"/>
        </w:trPr>
        <w:tc>
          <w:tcPr>
            <w:tcW w:w="1133" w:type="dxa"/>
            <w:tcBorders>
              <w:top w:val="inset" w:color="auto" w:sz="6" w:space="0"/>
              <w:left w:val="single" w:color="auto" w:sz="0" w:space="0"/>
              <w:bottom w:val="inset" w:color="auto" w:sz="6" w:space="0"/>
              <w:right w:val="inset" w:color="auto" w:sz="6" w:space="0"/>
            </w:tcBorders>
            <w:vAlign w:val="center"/>
          </w:tcPr>
          <w:p>
            <w:pPr>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价格（</w:t>
            </w:r>
            <w:r>
              <w:rPr>
                <w:rFonts w:hint="eastAsia" w:ascii="Times New Roman" w:hAnsi="Times New Roman" w:cs="Times New Roman"/>
                <w:color w:val="auto"/>
                <w:highlight w:val="none"/>
                <w:lang w:val="en-US" w:eastAsia="zh-CN"/>
              </w:rPr>
              <w:t>10</w:t>
            </w:r>
            <w:r>
              <w:rPr>
                <w:rFonts w:hint="default" w:ascii="Times New Roman" w:hAnsi="Times New Roman" w:cs="Times New Roman"/>
                <w:color w:val="auto"/>
                <w:highlight w:val="none"/>
              </w:rPr>
              <w:t>分）</w:t>
            </w:r>
          </w:p>
        </w:tc>
        <w:tc>
          <w:tcPr>
            <w:tcW w:w="7731" w:type="dxa"/>
            <w:tcBorders>
              <w:top w:val="inset" w:color="auto" w:sz="6" w:space="0"/>
              <w:left w:val="single" w:color="auto" w:sz="0" w:space="0"/>
              <w:bottom w:val="inset" w:color="auto" w:sz="6" w:space="0"/>
              <w:right w:val="inset" w:color="auto" w:sz="6" w:space="0"/>
            </w:tcBorders>
            <w:vAlign w:val="center"/>
          </w:tcPr>
          <w:p>
            <w:pPr>
              <w:numPr>
                <w:ilvl w:val="0"/>
                <w:numId w:val="0"/>
              </w:numPr>
              <w:spacing w:line="360" w:lineRule="auto"/>
              <w:rPr>
                <w:rFonts w:hint="default" w:ascii="Times New Roman" w:hAnsi="Times New Roman" w:cs="Times New Roman"/>
                <w:color w:val="auto"/>
                <w:highlight w:val="none"/>
                <w:lang w:val="en-US" w:eastAsia="zh-CN"/>
              </w:rPr>
            </w:pPr>
            <w:r>
              <w:rPr>
                <w:rFonts w:hint="eastAsia" w:ascii="Times New Roman" w:hAnsi="Times New Roman" w:cs="Times New Roman"/>
                <w:color w:val="auto"/>
                <w:szCs w:val="21"/>
                <w:highlight w:val="none"/>
                <w:lang w:val="en-US" w:eastAsia="zh-CN"/>
              </w:rPr>
              <w:t>1</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委托管理费</w:t>
            </w:r>
            <w:r>
              <w:rPr>
                <w:rFonts w:hint="default" w:ascii="Times New Roman" w:hAnsi="Times New Roman" w:cs="Times New Roman"/>
                <w:color w:val="auto"/>
                <w:highlight w:val="none"/>
              </w:rPr>
              <w:t>以满足</w:t>
            </w:r>
            <w:r>
              <w:rPr>
                <w:rFonts w:hint="default" w:ascii="Times New Roman" w:hAnsi="Times New Roman" w:cs="Times New Roman"/>
                <w:color w:val="auto"/>
                <w:highlight w:val="none"/>
                <w:lang w:val="en-US" w:eastAsia="zh-CN"/>
              </w:rPr>
              <w:t>招标</w:t>
            </w:r>
            <w:r>
              <w:rPr>
                <w:rFonts w:hint="default" w:ascii="Times New Roman" w:hAnsi="Times New Roman" w:cs="Times New Roman"/>
                <w:color w:val="auto"/>
                <w:highlight w:val="none"/>
              </w:rPr>
              <w:t>文件要求的最低报价为评标基准价，</w:t>
            </w:r>
            <w:r>
              <w:rPr>
                <w:rFonts w:hint="default" w:ascii="Times New Roman" w:hAnsi="Times New Roman" w:cs="Times New Roman"/>
                <w:color w:val="auto"/>
                <w:highlight w:val="none"/>
                <w:lang w:val="en-US" w:eastAsia="zh-CN"/>
              </w:rPr>
              <w:t>得</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lang w:val="en-US" w:eastAsia="zh-CN"/>
              </w:rPr>
              <w:t>分，其他报价得分＝（基准价/报价）×</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100</w:t>
            </w:r>
            <w:r>
              <w:rPr>
                <w:rFonts w:hint="default" w:ascii="Times New Roman" w:hAnsi="Times New Roman" w:cs="Times New Roman"/>
                <w:color w:val="auto"/>
                <w:highlight w:val="none"/>
                <w:lang w:val="en-US" w:eastAsia="zh-CN"/>
              </w:rPr>
              <w:t>％（四舍五入，保留两位小数）</w:t>
            </w:r>
          </w:p>
          <w:p>
            <w:pPr>
              <w:numPr>
                <w:ilvl w:val="0"/>
                <w:numId w:val="0"/>
              </w:numPr>
              <w:spacing w:line="360" w:lineRule="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lang w:val="en-US" w:eastAsia="zh-CN"/>
              </w:rPr>
              <w:t>、</w:t>
            </w:r>
            <w:r>
              <w:rPr>
                <w:rFonts w:hint="default" w:ascii="Times New Roman" w:hAnsi="Times New Roman" w:eastAsia="宋体" w:cs="Times New Roman"/>
                <w:color w:val="auto"/>
                <w:kern w:val="2"/>
                <w:sz w:val="21"/>
                <w:szCs w:val="21"/>
                <w:highlight w:val="none"/>
                <w:lang w:val="en-US" w:eastAsia="zh-CN" w:bidi="ar-SA"/>
              </w:rPr>
              <w:t>设计费</w:t>
            </w:r>
            <w:r>
              <w:rPr>
                <w:rFonts w:hint="default" w:ascii="Times New Roman" w:hAnsi="Times New Roman" w:cs="Times New Roman"/>
                <w:color w:val="auto"/>
                <w:highlight w:val="none"/>
              </w:rPr>
              <w:t>以满足</w:t>
            </w:r>
            <w:r>
              <w:rPr>
                <w:rFonts w:hint="default" w:ascii="Times New Roman" w:hAnsi="Times New Roman" w:cs="Times New Roman"/>
                <w:color w:val="auto"/>
                <w:highlight w:val="none"/>
                <w:lang w:val="en-US" w:eastAsia="zh-CN"/>
              </w:rPr>
              <w:t>招标</w:t>
            </w:r>
            <w:r>
              <w:rPr>
                <w:rFonts w:hint="default" w:ascii="Times New Roman" w:hAnsi="Times New Roman" w:cs="Times New Roman"/>
                <w:color w:val="auto"/>
                <w:highlight w:val="none"/>
              </w:rPr>
              <w:t>文件要求的最低报价为评标基准价，</w:t>
            </w:r>
            <w:r>
              <w:rPr>
                <w:rFonts w:hint="default" w:ascii="Times New Roman" w:hAnsi="Times New Roman" w:cs="Times New Roman"/>
                <w:color w:val="auto"/>
                <w:highlight w:val="none"/>
                <w:lang w:val="en-US" w:eastAsia="zh-CN"/>
              </w:rPr>
              <w:t>得</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lang w:val="en-US" w:eastAsia="zh-CN"/>
              </w:rPr>
              <w:t>分，其他报价得分＝（基准价/报价）×</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100</w:t>
            </w:r>
            <w:r>
              <w:rPr>
                <w:rFonts w:hint="default" w:ascii="Times New Roman" w:hAnsi="Times New Roman" w:cs="Times New Roman"/>
                <w:color w:val="auto"/>
                <w:highlight w:val="none"/>
                <w:lang w:val="en-US" w:eastAsia="zh-CN"/>
              </w:rPr>
              <w:t>％（四舍五入，保留两位小数）</w:t>
            </w:r>
          </w:p>
          <w:p>
            <w:pPr>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注：评标委员会认为供应商的报价明显低于其他通过符合性审查供应商的报价，有可能影响</w:t>
            </w:r>
            <w:r>
              <w:rPr>
                <w:rFonts w:hint="default" w:ascii="Times New Roman" w:hAnsi="Times New Roman" w:cs="Times New Roman"/>
                <w:color w:val="auto"/>
                <w:highlight w:val="none"/>
                <w:lang w:val="en-US" w:eastAsia="zh-CN"/>
              </w:rPr>
              <w:t>项目</w:t>
            </w:r>
            <w:r>
              <w:rPr>
                <w:rFonts w:hint="default" w:ascii="Times New Roman" w:hAnsi="Times New Roman" w:cs="Times New Roman"/>
                <w:color w:val="auto"/>
                <w:highlight w:val="none"/>
              </w:rPr>
              <w:t>质量或者不能诚信履约的，且供应商不能在评标现场合理的时间内证明其报价合理性的，评标委员会有权将其作为无效投标处理。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trPr>
        <w:tc>
          <w:tcPr>
            <w:tcW w:w="1133" w:type="dxa"/>
            <w:vMerge w:val="restart"/>
            <w:tcBorders>
              <w:top w:val="inset" w:color="auto" w:sz="6" w:space="0"/>
              <w:left w:val="single" w:color="auto" w:sz="0" w:space="0"/>
              <w:right w:val="inset" w:color="auto" w:sz="6" w:space="0"/>
            </w:tcBorders>
            <w:vAlign w:val="center"/>
          </w:tcPr>
          <w:p>
            <w:pPr>
              <w:pStyle w:val="18"/>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rPr>
              <w:t>技术标</w:t>
            </w: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70</w:t>
            </w:r>
            <w:r>
              <w:rPr>
                <w:rFonts w:hint="default" w:ascii="Times New Roman" w:hAnsi="Times New Roman" w:cs="Times New Roman"/>
                <w:color w:val="auto"/>
                <w:highlight w:val="none"/>
                <w:lang w:val="en-US" w:eastAsia="zh-CN"/>
              </w:rPr>
              <w:t>分）</w:t>
            </w:r>
          </w:p>
          <w:p>
            <w:pPr>
              <w:pStyle w:val="18"/>
              <w:rPr>
                <w:rFonts w:hint="default" w:ascii="Times New Roman" w:hAnsi="Times New Roman" w:cs="Times New Roman"/>
                <w:color w:val="auto"/>
                <w:highlight w:val="none"/>
              </w:rPr>
            </w:pPr>
          </w:p>
          <w:p>
            <w:pPr>
              <w:pStyle w:val="18"/>
              <w:rPr>
                <w:rFonts w:hint="default" w:ascii="Times New Roman" w:hAnsi="Times New Roman" w:cs="Times New Roman"/>
                <w:color w:val="auto"/>
                <w:highlight w:val="none"/>
              </w:rPr>
            </w:pPr>
          </w:p>
        </w:tc>
        <w:tc>
          <w:tcPr>
            <w:tcW w:w="7731" w:type="dxa"/>
            <w:tcBorders>
              <w:top w:val="inset" w:color="auto" w:sz="6" w:space="0"/>
              <w:left w:val="single" w:color="auto" w:sz="0" w:space="0"/>
              <w:bottom w:val="inset" w:color="auto" w:sz="6" w:space="0"/>
              <w:right w:val="inset" w:color="auto" w:sz="6" w:space="0"/>
            </w:tcBorders>
            <w:vAlign w:val="center"/>
          </w:tcPr>
          <w:p>
            <w:pPr>
              <w:numPr>
                <w:ilvl w:val="0"/>
                <w:numId w:val="0"/>
              </w:numPr>
              <w:spacing w:line="360" w:lineRule="auto"/>
              <w:jc w:val="both"/>
              <w:rPr>
                <w:rFonts w:hint="default" w:ascii="Times New Roman" w:hAnsi="Times New Roman" w:eastAsia="宋体" w:cs="Times New Roman"/>
                <w:color w:val="auto"/>
                <w:highlight w:val="none"/>
                <w:lang w:eastAsia="zh-CN"/>
              </w:rPr>
            </w:pPr>
            <w:r>
              <w:rPr>
                <w:rFonts w:hint="eastAsia" w:ascii="Times New Roman" w:hAnsi="Times New Roman" w:cs="Times New Roman"/>
                <w:color w:val="auto"/>
                <w:kern w:val="2"/>
                <w:sz w:val="21"/>
                <w:szCs w:val="22"/>
                <w:highlight w:val="none"/>
                <w:lang w:val="en-US" w:eastAsia="zh-CN" w:bidi="ar-SA"/>
              </w:rPr>
              <w:t>1</w:t>
            </w:r>
            <w:r>
              <w:rPr>
                <w:rFonts w:hint="default" w:ascii="Times New Roman" w:hAnsi="Times New Roman" w:eastAsia="宋体" w:cs="Times New Roman"/>
                <w:color w:val="auto"/>
                <w:kern w:val="2"/>
                <w:sz w:val="21"/>
                <w:szCs w:val="22"/>
                <w:highlight w:val="none"/>
                <w:lang w:val="en-US" w:eastAsia="zh-CN" w:bidi="ar-SA"/>
              </w:rPr>
              <w:t>、</w:t>
            </w:r>
            <w:r>
              <w:rPr>
                <w:rFonts w:hint="default" w:ascii="Times New Roman" w:hAnsi="Times New Roman" w:eastAsia="宋体" w:cs="Times New Roman"/>
                <w:color w:val="auto"/>
                <w:highlight w:val="none"/>
              </w:rPr>
              <w:t>项目全周期开发方案</w:t>
            </w:r>
            <w:r>
              <w:rPr>
                <w:rFonts w:hint="default" w:ascii="Times New Roman" w:hAnsi="Times New Roman" w:eastAsia="宋体" w:cs="Times New Roman"/>
                <w:color w:val="auto"/>
                <w:highlight w:val="none"/>
                <w:lang w:val="en-US" w:eastAsia="zh-CN"/>
              </w:rPr>
              <w:t>(</w:t>
            </w:r>
            <w:r>
              <w:rPr>
                <w:rFonts w:hint="default" w:ascii="Times New Roman" w:hAnsi="Times New Roman" w:cs="Times New Roman"/>
                <w:color w:val="auto"/>
                <w:highlight w:val="none"/>
                <w:lang w:val="en-US" w:eastAsia="zh-CN"/>
              </w:rPr>
              <w:t>【</w:t>
            </w:r>
            <w:r>
              <w:rPr>
                <w:rFonts w:hint="default" w:ascii="Times New Roman" w:hAnsi="Times New Roman" w:eastAsia="宋体" w:cs="Times New Roman"/>
                <w:color w:val="auto"/>
                <w:highlight w:val="none"/>
                <w:lang w:val="en-US" w:eastAsia="zh-CN"/>
              </w:rPr>
              <w:t>包括单不限于（</w:t>
            </w:r>
            <w:r>
              <w:rPr>
                <w:rFonts w:hint="eastAsia" w:ascii="Times New Roman" w:hAnsi="Times New Roman" w:cs="Times New Roman"/>
                <w:color w:val="auto"/>
                <w:highlight w:val="none"/>
                <w:lang w:val="en-US" w:eastAsia="zh-CN"/>
              </w:rPr>
              <w:t>1</w:t>
            </w:r>
            <w:r>
              <w:rPr>
                <w:rFonts w:hint="default" w:ascii="Times New Roman" w:hAnsi="Times New Roman" w:eastAsia="宋体" w:cs="Times New Roman"/>
                <w:color w:val="auto"/>
                <w:highlight w:val="none"/>
                <w:lang w:val="en-US" w:eastAsia="zh-CN"/>
              </w:rPr>
              <w:t>）</w:t>
            </w:r>
            <w:r>
              <w:rPr>
                <w:rFonts w:hint="default" w:ascii="Times New Roman" w:hAnsi="Times New Roman" w:eastAsia="宋体" w:cs="Times New Roman"/>
                <w:color w:val="auto"/>
                <w:highlight w:val="none"/>
              </w:rPr>
              <w:t>全周期建设的总体安排；</w:t>
            </w:r>
            <w:r>
              <w:rPr>
                <w:rFonts w:hint="default" w:ascii="Times New Roman" w:hAnsi="Times New Roman" w:eastAsia="宋体"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项目现状及管理中难点、特点的分析；（</w:t>
            </w:r>
            <w:r>
              <w:rPr>
                <w:rFonts w:hint="eastAsia" w:ascii="Times New Roman" w:hAnsi="Times New Roman" w:cs="Times New Roman"/>
                <w:color w:val="auto"/>
                <w:highlight w:val="none"/>
                <w:lang w:eastAsia="zh-CN"/>
              </w:rPr>
              <w:t>3</w:t>
            </w:r>
            <w:r>
              <w:rPr>
                <w:rFonts w:hint="default" w:ascii="Times New Roman" w:hAnsi="Times New Roman" w:eastAsia="宋体" w:cs="Times New Roman"/>
                <w:color w:val="auto"/>
                <w:highlight w:val="none"/>
              </w:rPr>
              <w:t>）目标总体分析：关于设计要求、质量、进度、安全、技术管理的目标分析；</w:t>
            </w:r>
            <w:r>
              <w:rPr>
                <w:rFonts w:hint="default" w:ascii="Times New Roman" w:hAnsi="Times New Roman" w:eastAsia="宋体"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地块条件：板块格局、交通分析、综合配套与景观资源；</w:t>
            </w:r>
            <w:r>
              <w:rPr>
                <w:rFonts w:hint="default" w:ascii="Times New Roman" w:hAnsi="Times New Roman" w:eastAsia="宋体" w:cs="Times New Roman"/>
                <w:color w:val="auto"/>
                <w:highlight w:val="none"/>
                <w:lang w:eastAsia="zh-CN"/>
              </w:rPr>
              <w:t>（</w:t>
            </w:r>
            <w:r>
              <w:rPr>
                <w:rFonts w:hint="eastAsia" w:ascii="Times New Roman" w:hAnsi="Times New Roman" w:cs="Times New Roman"/>
                <w:color w:val="auto"/>
                <w:highlight w:val="none"/>
                <w:lang w:val="en-US" w:eastAsia="zh-CN"/>
              </w:rPr>
              <w:t>5</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项目启动性：土地现状、土地平整性及项目启动性；开发方案和经济测算全成本测算</w:t>
            </w:r>
            <w:r>
              <w:rPr>
                <w:rFonts w:hint="default" w:ascii="Times New Roman" w:hAnsi="Times New Roman" w:cs="Times New Roman"/>
                <w:color w:val="auto"/>
                <w:highlight w:val="none"/>
                <w:lang w:eastAsia="zh-CN"/>
              </w:rPr>
              <w:t>】</w:t>
            </w:r>
          </w:p>
          <w:p>
            <w:pPr>
              <w:spacing w:line="360" w:lineRule="auto"/>
              <w:jc w:val="both"/>
              <w:rPr>
                <w:rFonts w:hint="default" w:ascii="Times New Roman" w:hAnsi="Times New Roman" w:cs="Times New Roman"/>
                <w:color w:val="auto"/>
                <w:highlight w:val="none"/>
              </w:rPr>
            </w:pPr>
            <w:r>
              <w:rPr>
                <w:rFonts w:hint="default" w:ascii="Times New Roman" w:hAnsi="Times New Roman" w:eastAsia="宋体" w:cs="Times New Roman"/>
                <w:color w:val="auto"/>
                <w:highlight w:val="none"/>
              </w:rPr>
              <w:t>项目全周期开发</w:t>
            </w:r>
            <w:r>
              <w:rPr>
                <w:rFonts w:hint="default" w:ascii="Times New Roman" w:hAnsi="Times New Roman" w:cs="Times New Roman"/>
                <w:color w:val="auto"/>
                <w:highlight w:val="none"/>
                <w:lang w:eastAsia="zh-CN"/>
              </w:rPr>
              <w:t>方案</w:t>
            </w:r>
            <w:r>
              <w:rPr>
                <w:rFonts w:hint="default" w:ascii="Times New Roman" w:hAnsi="Times New Roman" w:cs="Times New Roman"/>
                <w:color w:val="auto"/>
                <w:highlight w:val="none"/>
              </w:rPr>
              <w:t>透彻、全面、准确、合理的得</w:t>
            </w:r>
            <w:r>
              <w:rPr>
                <w:rFonts w:hint="eastAsia" w:ascii="Times New Roman" w:hAnsi="Times New Roman" w:cs="Times New Roman"/>
                <w:color w:val="auto"/>
                <w:highlight w:val="none"/>
                <w:lang w:val="en-US" w:eastAsia="zh-CN"/>
              </w:rPr>
              <w:t>12</w:t>
            </w:r>
            <w:r>
              <w:rPr>
                <w:rFonts w:hint="default" w:ascii="Times New Roman" w:hAnsi="Times New Roman" w:cs="Times New Roman"/>
                <w:color w:val="auto"/>
                <w:highlight w:val="none"/>
              </w:rPr>
              <w:t>分；</w:t>
            </w:r>
          </w:p>
          <w:p>
            <w:pPr>
              <w:spacing w:line="360" w:lineRule="auto"/>
              <w:jc w:val="both"/>
              <w:rPr>
                <w:rFonts w:hint="default" w:ascii="Times New Roman" w:hAnsi="Times New Roman" w:cs="Times New Roman"/>
                <w:color w:val="auto"/>
                <w:highlight w:val="none"/>
              </w:rPr>
            </w:pPr>
            <w:r>
              <w:rPr>
                <w:rFonts w:hint="default" w:ascii="Times New Roman" w:hAnsi="Times New Roman" w:eastAsia="宋体" w:cs="Times New Roman"/>
                <w:color w:val="auto"/>
                <w:highlight w:val="none"/>
              </w:rPr>
              <w:t>项目全周期开发方案</w:t>
            </w:r>
            <w:r>
              <w:rPr>
                <w:rFonts w:hint="default" w:ascii="Times New Roman" w:hAnsi="Times New Roman" w:cs="Times New Roman"/>
                <w:color w:val="auto"/>
                <w:highlight w:val="none"/>
              </w:rPr>
              <w:t>基本透彻、较全面、较准确、较合理的得</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分；</w:t>
            </w:r>
          </w:p>
          <w:p>
            <w:pPr>
              <w:spacing w:line="360" w:lineRule="auto"/>
              <w:jc w:val="both"/>
              <w:rPr>
                <w:rFonts w:hint="default" w:ascii="Times New Roman" w:hAnsi="Times New Roman" w:cs="Times New Roman"/>
                <w:color w:val="auto"/>
                <w:highlight w:val="none"/>
              </w:rPr>
            </w:pPr>
            <w:r>
              <w:rPr>
                <w:rFonts w:hint="default" w:ascii="Times New Roman" w:hAnsi="Times New Roman" w:eastAsia="宋体" w:cs="Times New Roman"/>
                <w:color w:val="auto"/>
                <w:highlight w:val="none"/>
              </w:rPr>
              <w:t>项目全周期开发方案</w:t>
            </w:r>
            <w:r>
              <w:rPr>
                <w:rFonts w:hint="default" w:ascii="Times New Roman" w:hAnsi="Times New Roman" w:cs="Times New Roman"/>
                <w:color w:val="auto"/>
                <w:highlight w:val="none"/>
              </w:rPr>
              <w:t>不太透彻、全面、不太准确、</w:t>
            </w:r>
            <w:r>
              <w:rPr>
                <w:rFonts w:hint="default" w:ascii="Times New Roman" w:hAnsi="Times New Roman" w:cs="Times New Roman"/>
                <w:color w:val="auto"/>
                <w:highlight w:val="none"/>
                <w:lang w:val="en-US" w:eastAsia="zh-CN"/>
              </w:rPr>
              <w:t>一般</w:t>
            </w:r>
            <w:r>
              <w:rPr>
                <w:rFonts w:hint="default" w:ascii="Times New Roman" w:hAnsi="Times New Roman" w:cs="Times New Roman"/>
                <w:color w:val="auto"/>
                <w:highlight w:val="none"/>
              </w:rPr>
              <w:t>合理的得</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分。</w:t>
            </w:r>
          </w:p>
          <w:p>
            <w:pPr>
              <w:spacing w:line="276" w:lineRule="auto"/>
              <w:rPr>
                <w:rFonts w:hint="default" w:ascii="Times New Roman" w:hAnsi="Times New Roman" w:cs="Times New Roman"/>
                <w:color w:val="auto"/>
                <w:highlight w:val="none"/>
              </w:rPr>
            </w:pPr>
            <w:r>
              <w:rPr>
                <w:rFonts w:hint="default" w:ascii="Times New Roman" w:hAnsi="Times New Roman" w:eastAsia="宋体" w:cs="Times New Roman"/>
                <w:color w:val="auto"/>
                <w:highlight w:val="none"/>
              </w:rPr>
              <w:t>项目全周期开发方案</w:t>
            </w:r>
            <w:r>
              <w:rPr>
                <w:rFonts w:hint="default" w:ascii="Times New Roman" w:hAnsi="Times New Roman" w:cs="Times New Roman"/>
                <w:color w:val="auto"/>
                <w:highlight w:val="none"/>
              </w:rPr>
              <w:t>不透彻、</w:t>
            </w:r>
            <w:r>
              <w:rPr>
                <w:rFonts w:hint="default" w:ascii="Times New Roman" w:hAnsi="Times New Roman" w:cs="Times New Roman"/>
                <w:color w:val="auto"/>
                <w:highlight w:val="none"/>
                <w:lang w:val="en-US" w:eastAsia="zh-CN"/>
              </w:rPr>
              <w:t>不</w:t>
            </w:r>
            <w:r>
              <w:rPr>
                <w:rFonts w:hint="default" w:ascii="Times New Roman" w:hAnsi="Times New Roman" w:cs="Times New Roman"/>
                <w:color w:val="auto"/>
                <w:highlight w:val="none"/>
              </w:rPr>
              <w:t>全面、不准确</w:t>
            </w:r>
            <w:r>
              <w:rPr>
                <w:rFonts w:hint="default" w:ascii="Times New Roman" w:hAnsi="Times New Roman" w:cs="Times New Roman"/>
                <w:color w:val="auto"/>
                <w:highlight w:val="none"/>
                <w:lang w:val="en-US" w:eastAsia="zh-CN"/>
              </w:rPr>
              <w:t>的或不提供的不得分。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trPr>
        <w:tc>
          <w:tcPr>
            <w:tcW w:w="1133" w:type="dxa"/>
            <w:vMerge w:val="continue"/>
            <w:tcBorders>
              <w:left w:val="single" w:color="auto" w:sz="0" w:space="0"/>
              <w:right w:val="inset" w:color="auto" w:sz="6" w:space="0"/>
            </w:tcBorders>
            <w:vAlign w:val="center"/>
          </w:tcPr>
          <w:p>
            <w:pPr>
              <w:spacing w:line="360" w:lineRule="auto"/>
              <w:rPr>
                <w:rFonts w:hint="default" w:ascii="Times New Roman" w:hAnsi="Times New Roman" w:cs="Times New Roman"/>
                <w:color w:val="auto"/>
                <w:highlight w:val="none"/>
              </w:rPr>
            </w:pPr>
          </w:p>
        </w:tc>
        <w:tc>
          <w:tcPr>
            <w:tcW w:w="7731" w:type="dxa"/>
            <w:tcBorders>
              <w:top w:val="inset" w:color="auto" w:sz="6" w:space="0"/>
              <w:left w:val="single" w:color="auto" w:sz="0" w:space="0"/>
              <w:bottom w:val="inset" w:color="auto" w:sz="6" w:space="0"/>
              <w:right w:val="inset" w:color="auto" w:sz="6" w:space="0"/>
            </w:tcBorders>
            <w:vAlign w:val="center"/>
          </w:tcPr>
          <w:p>
            <w:pPr>
              <w:numPr>
                <w:ilvl w:val="0"/>
                <w:numId w:val="0"/>
              </w:numPr>
              <w:spacing w:line="360" w:lineRule="auto"/>
              <w:jc w:val="both"/>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kern w:val="2"/>
                <w:sz w:val="21"/>
                <w:szCs w:val="22"/>
                <w:highlight w:val="none"/>
                <w:lang w:val="en-US" w:eastAsia="zh-CN" w:bidi="ar-SA"/>
              </w:rPr>
              <w:t>2</w:t>
            </w:r>
            <w:r>
              <w:rPr>
                <w:rFonts w:hint="default" w:ascii="Times New Roman" w:hAnsi="Times New Roman" w:eastAsia="宋体" w:cs="Times New Roman"/>
                <w:color w:val="auto"/>
                <w:kern w:val="2"/>
                <w:sz w:val="21"/>
                <w:szCs w:val="22"/>
                <w:highlight w:val="none"/>
                <w:lang w:val="en-US" w:eastAsia="zh-CN" w:bidi="ar-SA"/>
              </w:rPr>
              <w:t>、</w:t>
            </w:r>
            <w:r>
              <w:rPr>
                <w:rFonts w:hint="default" w:ascii="Times New Roman" w:hAnsi="Times New Roman" w:eastAsia="宋体" w:cs="Times New Roman"/>
                <w:color w:val="auto"/>
                <w:highlight w:val="none"/>
                <w:lang w:eastAsia="zh-CN"/>
              </w:rPr>
              <w:t>项目市场及客户定位方案</w:t>
            </w:r>
            <w:r>
              <w:rPr>
                <w:rFonts w:hint="default" w:ascii="Times New Roman" w:hAnsi="Times New Roman" w:cs="Times New Roman"/>
                <w:color w:val="auto"/>
                <w:highlight w:val="none"/>
                <w:lang w:eastAsia="zh-CN"/>
              </w:rPr>
              <w:t>【</w:t>
            </w:r>
            <w:r>
              <w:rPr>
                <w:rFonts w:hint="default" w:ascii="Times New Roman" w:hAnsi="Times New Roman" w:eastAsia="宋体" w:cs="Times New Roman"/>
                <w:color w:val="auto"/>
                <w:highlight w:val="none"/>
                <w:lang w:val="en-US" w:eastAsia="zh-CN"/>
              </w:rPr>
              <w:t>包括但不限于</w:t>
            </w:r>
            <w:r>
              <w:rPr>
                <w:rFonts w:hint="default" w:ascii="Times New Roman" w:hAnsi="Times New Roman" w:eastAsia="宋体" w:cs="Times New Roman"/>
                <w:color w:val="auto"/>
                <w:highlight w:val="none"/>
                <w:lang w:eastAsia="zh-CN"/>
              </w:rPr>
              <w:t>（</w:t>
            </w:r>
            <w:r>
              <w:rPr>
                <w:rFonts w:hint="eastAsia" w:ascii="Times New Roman" w:hAnsi="Times New Roman" w:cs="Times New Roman"/>
                <w:color w:val="auto"/>
                <w:highlight w:val="none"/>
                <w:lang w:eastAsia="zh-CN"/>
              </w:rPr>
              <w:t>1</w:t>
            </w:r>
            <w:r>
              <w:rPr>
                <w:rFonts w:hint="default" w:ascii="Times New Roman" w:hAnsi="Times New Roman" w:eastAsia="宋体" w:cs="Times New Roman"/>
                <w:color w:val="auto"/>
                <w:highlight w:val="none"/>
                <w:lang w:eastAsia="zh-CN"/>
              </w:rPr>
              <w:t>）市场政策梳理：限价、限购、限售、限贷、预售等政策说明；（</w:t>
            </w:r>
            <w:r>
              <w:rPr>
                <w:rFonts w:hint="eastAsia" w:ascii="Times New Roman" w:hAnsi="Times New Roman" w:cs="Times New Roman"/>
                <w:color w:val="auto"/>
                <w:highlight w:val="none"/>
                <w:lang w:eastAsia="zh-CN"/>
              </w:rPr>
              <w:t>2</w:t>
            </w:r>
            <w:r>
              <w:rPr>
                <w:rFonts w:hint="default" w:ascii="Times New Roman" w:hAnsi="Times New Roman" w:eastAsia="宋体" w:cs="Times New Roman"/>
                <w:color w:val="auto"/>
                <w:highlight w:val="none"/>
                <w:lang w:eastAsia="zh-CN"/>
              </w:rPr>
              <w:t>）市场容量：根据近</w:t>
            </w:r>
            <w:r>
              <w:rPr>
                <w:rFonts w:hint="eastAsia" w:ascii="Times New Roman" w:hAnsi="Times New Roman" w:cs="Times New Roman"/>
                <w:color w:val="auto"/>
                <w:highlight w:val="none"/>
                <w:lang w:eastAsia="zh-CN"/>
              </w:rPr>
              <w:t>5</w:t>
            </w:r>
            <w:r>
              <w:rPr>
                <w:rFonts w:hint="default" w:ascii="Times New Roman" w:hAnsi="Times New Roman" w:eastAsia="宋体" w:cs="Times New Roman"/>
                <w:color w:val="auto"/>
                <w:highlight w:val="none"/>
                <w:lang w:eastAsia="zh-CN"/>
              </w:rPr>
              <w:t>年土地成交量，住宅供需关系、量价走势，说明市场走势及容量；（</w:t>
            </w:r>
            <w:r>
              <w:rPr>
                <w:rFonts w:hint="eastAsia" w:ascii="Times New Roman" w:hAnsi="Times New Roman" w:cs="Times New Roman"/>
                <w:color w:val="auto"/>
                <w:highlight w:val="none"/>
                <w:lang w:eastAsia="zh-CN"/>
              </w:rPr>
              <w:t>3</w:t>
            </w:r>
            <w:r>
              <w:rPr>
                <w:rFonts w:hint="default" w:ascii="Times New Roman" w:hAnsi="Times New Roman" w:eastAsia="宋体" w:cs="Times New Roman"/>
                <w:color w:val="auto"/>
                <w:highlight w:val="none"/>
                <w:lang w:eastAsia="zh-CN"/>
              </w:rPr>
              <w:t>）区域集中度：根据区域近</w:t>
            </w:r>
            <w:r>
              <w:rPr>
                <w:rFonts w:hint="eastAsia" w:ascii="Times New Roman" w:hAnsi="Times New Roman" w:cs="Times New Roman"/>
                <w:color w:val="auto"/>
                <w:highlight w:val="none"/>
                <w:lang w:eastAsia="zh-CN"/>
              </w:rPr>
              <w:t>2</w:t>
            </w:r>
            <w:r>
              <w:rPr>
                <w:rFonts w:hint="default" w:ascii="Times New Roman" w:hAnsi="Times New Roman" w:eastAsia="宋体" w:cs="Times New Roman"/>
                <w:color w:val="auto"/>
                <w:highlight w:val="none"/>
                <w:lang w:eastAsia="zh-CN"/>
              </w:rPr>
              <w:t>年销售额</w:t>
            </w:r>
            <w:r>
              <w:rPr>
                <w:rFonts w:hint="eastAsia" w:ascii="Times New Roman" w:hAnsi="Times New Roman" w:cs="Times New Roman"/>
                <w:color w:val="auto"/>
                <w:highlight w:val="none"/>
                <w:lang w:eastAsia="zh-CN"/>
              </w:rPr>
              <w:t>TOP10</w:t>
            </w:r>
            <w:r>
              <w:rPr>
                <w:rFonts w:hint="default" w:ascii="Times New Roman" w:hAnsi="Times New Roman" w:eastAsia="宋体" w:cs="Times New Roman"/>
                <w:color w:val="auto"/>
                <w:highlight w:val="none"/>
                <w:lang w:eastAsia="zh-CN"/>
              </w:rPr>
              <w:t>情况，同时说明本案拟开盘时间及年销额峰值；（</w:t>
            </w:r>
            <w:r>
              <w:rPr>
                <w:rFonts w:hint="eastAsia" w:ascii="Times New Roman" w:hAnsi="Times New Roman" w:cs="Times New Roman"/>
                <w:color w:val="auto"/>
                <w:highlight w:val="none"/>
                <w:lang w:eastAsia="zh-CN"/>
              </w:rPr>
              <w:t>4</w:t>
            </w:r>
            <w:r>
              <w:rPr>
                <w:rFonts w:hint="default" w:ascii="Times New Roman" w:hAnsi="Times New Roman" w:eastAsia="宋体" w:cs="Times New Roman"/>
                <w:color w:val="auto"/>
                <w:highlight w:val="none"/>
                <w:lang w:eastAsia="zh-CN"/>
              </w:rPr>
              <w:t>）库存去化：根据城市、区域和板块的库存量以及去化周期，说明市场健康程度。（</w:t>
            </w:r>
            <w:r>
              <w:rPr>
                <w:rFonts w:hint="eastAsia" w:ascii="Times New Roman" w:hAnsi="Times New Roman" w:cs="Times New Roman"/>
                <w:color w:val="auto"/>
                <w:highlight w:val="none"/>
                <w:lang w:eastAsia="zh-CN"/>
              </w:rPr>
              <w:t>5</w:t>
            </w:r>
            <w:r>
              <w:rPr>
                <w:rFonts w:hint="default" w:ascii="Times New Roman" w:hAnsi="Times New Roman" w:eastAsia="宋体" w:cs="Times New Roman"/>
                <w:color w:val="auto"/>
                <w:highlight w:val="none"/>
                <w:lang w:eastAsia="zh-CN"/>
              </w:rPr>
              <w:t>）竞品详情：详细阐述区域/板块竞品的竞争格局与竞争强度，与竞品进行定位及产品对比，明确项目产品策略。（</w:t>
            </w:r>
            <w:r>
              <w:rPr>
                <w:rFonts w:hint="eastAsia" w:ascii="Times New Roman" w:hAnsi="Times New Roman" w:cs="Times New Roman"/>
                <w:color w:val="auto"/>
                <w:highlight w:val="none"/>
                <w:lang w:eastAsia="zh-CN"/>
              </w:rPr>
              <w:t>6</w:t>
            </w:r>
            <w:r>
              <w:rPr>
                <w:rFonts w:hint="default" w:ascii="Times New Roman" w:hAnsi="Times New Roman" w:eastAsia="宋体" w:cs="Times New Roman"/>
                <w:color w:val="auto"/>
                <w:highlight w:val="none"/>
                <w:lang w:eastAsia="zh-CN"/>
              </w:rPr>
              <w:t>）项目定位：结合竞品成交客户复盘及客研调研结果修正，确定本案客户定位，输出产品组合及户配结论；（</w:t>
            </w:r>
            <w:r>
              <w:rPr>
                <w:rFonts w:hint="eastAsia" w:ascii="Times New Roman" w:hAnsi="Times New Roman" w:cs="Times New Roman"/>
                <w:color w:val="auto"/>
                <w:highlight w:val="none"/>
                <w:lang w:eastAsia="zh-CN"/>
              </w:rPr>
              <w:t>7</w:t>
            </w:r>
            <w:r>
              <w:rPr>
                <w:rFonts w:hint="default" w:ascii="Times New Roman" w:hAnsi="Times New Roman" w:eastAsia="宋体" w:cs="Times New Roman"/>
                <w:color w:val="auto"/>
                <w:highlight w:val="none"/>
                <w:lang w:eastAsia="zh-CN"/>
              </w:rPr>
              <w:t>）定价策略：基于市场情况梳理，对不同类型产品进行市场比较打分，输出定价</w:t>
            </w:r>
            <w:r>
              <w:rPr>
                <w:rFonts w:hint="default" w:ascii="Times New Roman" w:hAnsi="Times New Roman" w:cs="Times New Roman"/>
                <w:color w:val="auto"/>
                <w:highlight w:val="none"/>
                <w:lang w:eastAsia="zh-CN"/>
              </w:rPr>
              <w:t>】</w:t>
            </w:r>
          </w:p>
          <w:p>
            <w:pPr>
              <w:spacing w:line="360" w:lineRule="auto"/>
              <w:jc w:val="both"/>
              <w:rPr>
                <w:rFonts w:hint="default" w:ascii="Times New Roman" w:hAnsi="Times New Roman" w:cs="Times New Roman"/>
                <w:color w:val="auto"/>
                <w:highlight w:val="none"/>
              </w:rPr>
            </w:pPr>
            <w:r>
              <w:rPr>
                <w:rFonts w:hint="default" w:ascii="Times New Roman" w:hAnsi="Times New Roman" w:eastAsia="宋体" w:cs="Times New Roman"/>
                <w:color w:val="auto"/>
                <w:highlight w:val="none"/>
                <w:lang w:eastAsia="zh-CN"/>
              </w:rPr>
              <w:t>项目市场及客户定位方案</w:t>
            </w:r>
            <w:r>
              <w:rPr>
                <w:rFonts w:hint="default" w:ascii="Times New Roman" w:hAnsi="Times New Roman" w:cs="Times New Roman"/>
                <w:color w:val="auto"/>
                <w:highlight w:val="none"/>
              </w:rPr>
              <w:t>透彻、全面、准确、合理的得</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分；</w:t>
            </w:r>
          </w:p>
          <w:p>
            <w:pPr>
              <w:spacing w:line="360" w:lineRule="auto"/>
              <w:jc w:val="both"/>
              <w:rPr>
                <w:rFonts w:hint="default" w:ascii="Times New Roman" w:hAnsi="Times New Roman" w:cs="Times New Roman"/>
                <w:color w:val="auto"/>
                <w:highlight w:val="none"/>
              </w:rPr>
            </w:pPr>
            <w:r>
              <w:rPr>
                <w:rFonts w:hint="default" w:ascii="Times New Roman" w:hAnsi="Times New Roman" w:eastAsia="宋体" w:cs="Times New Roman"/>
                <w:color w:val="auto"/>
                <w:highlight w:val="none"/>
                <w:lang w:eastAsia="zh-CN"/>
              </w:rPr>
              <w:t>项目市场及客户定位方案</w:t>
            </w:r>
            <w:r>
              <w:rPr>
                <w:rFonts w:hint="default" w:ascii="Times New Roman" w:hAnsi="Times New Roman" w:cs="Times New Roman"/>
                <w:color w:val="auto"/>
                <w:highlight w:val="none"/>
              </w:rPr>
              <w:t>基本透彻、较全面、较准确、较合理的得</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分；</w:t>
            </w:r>
          </w:p>
          <w:p>
            <w:pPr>
              <w:spacing w:line="360" w:lineRule="auto"/>
              <w:jc w:val="both"/>
              <w:rPr>
                <w:rFonts w:hint="default" w:ascii="Times New Roman" w:hAnsi="Times New Roman" w:cs="Times New Roman"/>
                <w:color w:val="auto"/>
                <w:highlight w:val="none"/>
              </w:rPr>
            </w:pPr>
            <w:r>
              <w:rPr>
                <w:rFonts w:hint="default" w:ascii="Times New Roman" w:hAnsi="Times New Roman" w:eastAsia="宋体" w:cs="Times New Roman"/>
                <w:color w:val="auto"/>
                <w:highlight w:val="none"/>
                <w:lang w:eastAsia="zh-CN"/>
              </w:rPr>
              <w:t>项目市场及客户定位方案</w:t>
            </w:r>
            <w:r>
              <w:rPr>
                <w:rFonts w:hint="default" w:ascii="Times New Roman" w:hAnsi="Times New Roman" w:cs="Times New Roman"/>
                <w:color w:val="auto"/>
                <w:highlight w:val="none"/>
              </w:rPr>
              <w:t>不太透彻、全面、不太准确、</w:t>
            </w:r>
            <w:r>
              <w:rPr>
                <w:rFonts w:hint="default" w:ascii="Times New Roman" w:hAnsi="Times New Roman" w:cs="Times New Roman"/>
                <w:color w:val="auto"/>
                <w:highlight w:val="none"/>
                <w:lang w:val="en-US" w:eastAsia="zh-CN"/>
              </w:rPr>
              <w:t>一般</w:t>
            </w:r>
            <w:r>
              <w:rPr>
                <w:rFonts w:hint="default" w:ascii="Times New Roman" w:hAnsi="Times New Roman" w:cs="Times New Roman"/>
                <w:color w:val="auto"/>
                <w:highlight w:val="none"/>
              </w:rPr>
              <w:t>合理的得</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分。</w:t>
            </w:r>
          </w:p>
          <w:p>
            <w:pPr>
              <w:spacing w:line="360" w:lineRule="auto"/>
              <w:rPr>
                <w:rFonts w:hint="default" w:ascii="Times New Roman" w:hAnsi="Times New Roman" w:cs="Times New Roman"/>
                <w:color w:val="auto"/>
                <w:highlight w:val="none"/>
              </w:rPr>
            </w:pPr>
            <w:r>
              <w:rPr>
                <w:rFonts w:hint="default" w:ascii="Times New Roman" w:hAnsi="Times New Roman" w:eastAsia="宋体" w:cs="Times New Roman"/>
                <w:color w:val="auto"/>
                <w:highlight w:val="none"/>
                <w:lang w:eastAsia="zh-CN"/>
              </w:rPr>
              <w:t>项目市场及客户定位方案</w:t>
            </w:r>
            <w:r>
              <w:rPr>
                <w:rFonts w:hint="default" w:ascii="Times New Roman" w:hAnsi="Times New Roman" w:cs="Times New Roman"/>
                <w:color w:val="auto"/>
                <w:highlight w:val="none"/>
              </w:rPr>
              <w:t>不透彻、</w:t>
            </w:r>
            <w:r>
              <w:rPr>
                <w:rFonts w:hint="default" w:ascii="Times New Roman" w:hAnsi="Times New Roman" w:cs="Times New Roman"/>
                <w:color w:val="auto"/>
                <w:highlight w:val="none"/>
                <w:lang w:val="en-US" w:eastAsia="zh-CN"/>
              </w:rPr>
              <w:t>不</w:t>
            </w:r>
            <w:r>
              <w:rPr>
                <w:rFonts w:hint="default" w:ascii="Times New Roman" w:hAnsi="Times New Roman" w:cs="Times New Roman"/>
                <w:color w:val="auto"/>
                <w:highlight w:val="none"/>
              </w:rPr>
              <w:t>全面、不准确</w:t>
            </w:r>
            <w:r>
              <w:rPr>
                <w:rFonts w:hint="default" w:ascii="Times New Roman" w:hAnsi="Times New Roman" w:cs="Times New Roman"/>
                <w:color w:val="auto"/>
                <w:highlight w:val="none"/>
                <w:lang w:val="en-US" w:eastAsia="zh-CN"/>
              </w:rPr>
              <w:t>的或不提供的不得分。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trPr>
        <w:tc>
          <w:tcPr>
            <w:tcW w:w="1133" w:type="dxa"/>
            <w:vMerge w:val="continue"/>
            <w:tcBorders>
              <w:left w:val="single" w:color="auto" w:sz="0" w:space="0"/>
              <w:right w:val="inset" w:color="auto" w:sz="6" w:space="0"/>
            </w:tcBorders>
            <w:vAlign w:val="center"/>
          </w:tcPr>
          <w:p>
            <w:pPr>
              <w:pStyle w:val="18"/>
              <w:rPr>
                <w:rFonts w:hint="default" w:ascii="Times New Roman" w:hAnsi="Times New Roman" w:cs="Times New Roman"/>
                <w:color w:val="auto"/>
                <w:highlight w:val="none"/>
              </w:rPr>
            </w:pPr>
          </w:p>
        </w:tc>
        <w:tc>
          <w:tcPr>
            <w:tcW w:w="7731" w:type="dxa"/>
            <w:tcBorders>
              <w:top w:val="inset" w:color="auto" w:sz="6" w:space="0"/>
              <w:left w:val="single" w:color="auto" w:sz="0" w:space="0"/>
              <w:bottom w:val="inset" w:color="auto" w:sz="6" w:space="0"/>
              <w:right w:val="inset" w:color="auto" w:sz="6" w:space="0"/>
            </w:tcBorders>
            <w:vAlign w:val="center"/>
          </w:tcPr>
          <w:p>
            <w:pPr>
              <w:numPr>
                <w:ilvl w:val="0"/>
                <w:numId w:val="0"/>
              </w:numPr>
              <w:spacing w:line="360" w:lineRule="auto"/>
              <w:jc w:val="both"/>
              <w:rPr>
                <w:rFonts w:hint="default" w:ascii="Times New Roman" w:hAnsi="Times New Roman" w:eastAsia="宋体" w:cs="Times New Roman"/>
                <w:color w:val="auto"/>
                <w:highlight w:val="none"/>
                <w:lang w:eastAsia="zh-CN"/>
              </w:rPr>
            </w:pP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lang w:val="en-US" w:eastAsia="zh-CN"/>
              </w:rPr>
              <w:t>、</w:t>
            </w:r>
            <w:r>
              <w:rPr>
                <w:rFonts w:hint="default" w:ascii="Times New Roman" w:hAnsi="Times New Roman" w:eastAsia="宋体" w:cs="Times New Roman"/>
                <w:color w:val="auto"/>
                <w:highlight w:val="none"/>
                <w:lang w:eastAsia="zh-CN"/>
              </w:rPr>
              <w:t>项目营销策划方案</w:t>
            </w:r>
            <w:r>
              <w:rPr>
                <w:rFonts w:hint="default" w:ascii="Times New Roman" w:hAnsi="Times New Roman" w:eastAsia="宋体" w:cs="Times New Roman"/>
                <w:color w:val="auto"/>
                <w:highlight w:val="none"/>
                <w:lang w:val="en-US" w:eastAsia="zh-CN"/>
              </w:rPr>
              <w:t>【包括但不限于</w:t>
            </w:r>
            <w:r>
              <w:rPr>
                <w:rFonts w:hint="default" w:ascii="Times New Roman" w:hAnsi="Times New Roman" w:eastAsia="宋体" w:cs="Times New Roman"/>
                <w:color w:val="auto"/>
                <w:highlight w:val="none"/>
                <w:lang w:eastAsia="zh-CN"/>
              </w:rPr>
              <w:t>（</w:t>
            </w:r>
            <w:r>
              <w:rPr>
                <w:rFonts w:hint="eastAsia" w:ascii="Times New Roman" w:hAnsi="Times New Roman" w:cs="Times New Roman"/>
                <w:color w:val="auto"/>
                <w:highlight w:val="none"/>
                <w:lang w:eastAsia="zh-CN"/>
              </w:rPr>
              <w:t>1</w:t>
            </w:r>
            <w:r>
              <w:rPr>
                <w:rFonts w:hint="default" w:ascii="Times New Roman" w:hAnsi="Times New Roman" w:eastAsia="宋体" w:cs="Times New Roman"/>
                <w:color w:val="auto"/>
                <w:highlight w:val="none"/>
                <w:lang w:eastAsia="zh-CN"/>
              </w:rPr>
              <w:t>）板块属性：根据城市研究工作成果，明确项目所在板块在城市版图中的地位和价值属性；（</w:t>
            </w:r>
            <w:r>
              <w:rPr>
                <w:rFonts w:hint="eastAsia" w:ascii="Times New Roman" w:hAnsi="Times New Roman" w:cs="Times New Roman"/>
                <w:color w:val="auto"/>
                <w:highlight w:val="none"/>
                <w:lang w:eastAsia="zh-CN"/>
              </w:rPr>
              <w:t>2</w:t>
            </w:r>
            <w:r>
              <w:rPr>
                <w:rFonts w:hint="default" w:ascii="Times New Roman" w:hAnsi="Times New Roman" w:eastAsia="宋体" w:cs="Times New Roman"/>
                <w:color w:val="auto"/>
                <w:highlight w:val="none"/>
                <w:lang w:eastAsia="zh-CN"/>
              </w:rPr>
              <w:t>）市场调研，竞品近期销售量价表现分析；（</w:t>
            </w:r>
            <w:r>
              <w:rPr>
                <w:rFonts w:hint="eastAsia" w:ascii="Times New Roman" w:hAnsi="Times New Roman" w:cs="Times New Roman"/>
                <w:color w:val="auto"/>
                <w:highlight w:val="none"/>
                <w:lang w:eastAsia="zh-CN"/>
              </w:rPr>
              <w:t>3</w:t>
            </w:r>
            <w:r>
              <w:rPr>
                <w:rFonts w:hint="default" w:ascii="Times New Roman" w:hAnsi="Times New Roman" w:eastAsia="宋体" w:cs="Times New Roman"/>
                <w:color w:val="auto"/>
                <w:highlight w:val="none"/>
                <w:lang w:eastAsia="zh-CN"/>
              </w:rPr>
              <w:t>）项目价值体系梳理和置业逻辑分析；（</w:t>
            </w:r>
            <w:r>
              <w:rPr>
                <w:rFonts w:hint="eastAsia" w:ascii="Times New Roman" w:hAnsi="Times New Roman" w:cs="Times New Roman"/>
                <w:color w:val="auto"/>
                <w:highlight w:val="none"/>
                <w:lang w:eastAsia="zh-CN"/>
              </w:rPr>
              <w:t>4</w:t>
            </w:r>
            <w:r>
              <w:rPr>
                <w:rFonts w:hint="default" w:ascii="Times New Roman" w:hAnsi="Times New Roman" w:eastAsia="宋体" w:cs="Times New Roman"/>
                <w:color w:val="auto"/>
                <w:highlight w:val="none"/>
                <w:lang w:eastAsia="zh-CN"/>
              </w:rPr>
              <w:t>）营销动作和计划铺排；（</w:t>
            </w:r>
            <w:r>
              <w:rPr>
                <w:rFonts w:hint="eastAsia" w:ascii="Times New Roman" w:hAnsi="Times New Roman" w:cs="Times New Roman"/>
                <w:color w:val="auto"/>
                <w:highlight w:val="none"/>
                <w:lang w:eastAsia="zh-CN"/>
              </w:rPr>
              <w:t>5</w:t>
            </w:r>
            <w:r>
              <w:rPr>
                <w:rFonts w:hint="default" w:ascii="Times New Roman" w:hAnsi="Times New Roman" w:eastAsia="宋体" w:cs="Times New Roman"/>
                <w:color w:val="auto"/>
                <w:highlight w:val="none"/>
                <w:lang w:eastAsia="zh-CN"/>
              </w:rPr>
              <w:t>）项目定位及推售计划：根据项目的产品定位，推导各类产品的销售价格和销售速度，推导过程符合逻辑】</w:t>
            </w:r>
          </w:p>
          <w:p>
            <w:pPr>
              <w:numPr>
                <w:ilvl w:val="0"/>
                <w:numId w:val="0"/>
              </w:numPr>
              <w:spacing w:line="360" w:lineRule="auto"/>
              <w:jc w:val="both"/>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项目营销策划方案透彻、全面、准确、合理的得</w:t>
            </w:r>
            <w:r>
              <w:rPr>
                <w:rFonts w:hint="eastAsia" w:ascii="Times New Roman" w:hAnsi="Times New Roman" w:cs="Times New Roman"/>
                <w:color w:val="auto"/>
                <w:highlight w:val="none"/>
                <w:lang w:val="en-US" w:eastAsia="zh-CN"/>
              </w:rPr>
              <w:t>2</w:t>
            </w:r>
            <w:r>
              <w:rPr>
                <w:rFonts w:hint="default" w:ascii="Times New Roman" w:hAnsi="Times New Roman" w:eastAsia="宋体" w:cs="Times New Roman"/>
                <w:color w:val="auto"/>
                <w:highlight w:val="none"/>
                <w:lang w:eastAsia="zh-CN"/>
              </w:rPr>
              <w:t>分；</w:t>
            </w:r>
          </w:p>
          <w:p>
            <w:pPr>
              <w:numPr>
                <w:ilvl w:val="0"/>
                <w:numId w:val="0"/>
              </w:numPr>
              <w:spacing w:line="360" w:lineRule="auto"/>
              <w:jc w:val="both"/>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项目营销策划方案案基本透彻、较全面、较准确、较合理的得</w:t>
            </w:r>
            <w:r>
              <w:rPr>
                <w:rFonts w:hint="eastAsia" w:ascii="Times New Roman" w:hAnsi="Times New Roman" w:cs="Times New Roman"/>
                <w:color w:val="auto"/>
                <w:highlight w:val="none"/>
                <w:lang w:val="en-US" w:eastAsia="zh-CN"/>
              </w:rPr>
              <w:t>1</w:t>
            </w:r>
            <w:r>
              <w:rPr>
                <w:rFonts w:hint="default" w:ascii="Times New Roman" w:hAnsi="Times New Roman" w:eastAsia="宋体" w:cs="Times New Roman"/>
                <w:color w:val="auto"/>
                <w:highlight w:val="none"/>
                <w:lang w:eastAsia="zh-CN"/>
              </w:rPr>
              <w:t>分；</w:t>
            </w:r>
          </w:p>
          <w:p>
            <w:pPr>
              <w:numPr>
                <w:ilvl w:val="0"/>
                <w:numId w:val="0"/>
              </w:numPr>
              <w:spacing w:line="360" w:lineRule="auto"/>
              <w:jc w:val="both"/>
              <w:rPr>
                <w:rFonts w:hint="default" w:ascii="Times New Roman" w:hAnsi="Times New Roman" w:cs="Times New Roman"/>
                <w:color w:val="auto"/>
                <w:highlight w:val="none"/>
                <w:lang w:val="en-US" w:eastAsia="zh-CN"/>
              </w:rPr>
            </w:pPr>
            <w:r>
              <w:rPr>
                <w:rFonts w:hint="default" w:ascii="Times New Roman" w:hAnsi="Times New Roman" w:eastAsia="宋体" w:cs="Times New Roman"/>
                <w:color w:val="auto"/>
                <w:highlight w:val="none"/>
                <w:lang w:eastAsia="zh-CN"/>
              </w:rPr>
              <w:t>项目营销策划方案不透彻、</w:t>
            </w:r>
            <w:r>
              <w:rPr>
                <w:rFonts w:hint="default" w:ascii="Times New Roman" w:hAnsi="Times New Roman" w:eastAsia="宋体" w:cs="Times New Roman"/>
                <w:color w:val="auto"/>
                <w:highlight w:val="none"/>
                <w:lang w:val="en-US" w:eastAsia="zh-CN"/>
              </w:rPr>
              <w:t>不</w:t>
            </w:r>
            <w:r>
              <w:rPr>
                <w:rFonts w:hint="default" w:ascii="Times New Roman" w:hAnsi="Times New Roman" w:eastAsia="宋体" w:cs="Times New Roman"/>
                <w:color w:val="auto"/>
                <w:highlight w:val="none"/>
                <w:lang w:eastAsia="zh-CN"/>
              </w:rPr>
              <w:t>全面、不准确</w:t>
            </w:r>
            <w:r>
              <w:rPr>
                <w:rFonts w:hint="default" w:ascii="Times New Roman" w:hAnsi="Times New Roman" w:eastAsia="宋体" w:cs="Times New Roman"/>
                <w:color w:val="auto"/>
                <w:highlight w:val="none"/>
                <w:lang w:val="en-US" w:eastAsia="zh-CN"/>
              </w:rPr>
              <w:t>的或不提供的不得分。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trPr>
        <w:tc>
          <w:tcPr>
            <w:tcW w:w="1133" w:type="dxa"/>
            <w:vMerge w:val="continue"/>
            <w:tcBorders>
              <w:left w:val="single" w:color="auto" w:sz="0" w:space="0"/>
              <w:right w:val="inset" w:color="auto" w:sz="6" w:space="0"/>
            </w:tcBorders>
            <w:vAlign w:val="center"/>
          </w:tcPr>
          <w:p>
            <w:pPr>
              <w:numPr>
                <w:ilvl w:val="0"/>
                <w:numId w:val="0"/>
              </w:numPr>
              <w:spacing w:line="360" w:lineRule="auto"/>
              <w:jc w:val="both"/>
              <w:rPr>
                <w:rFonts w:hint="default" w:ascii="Times New Roman" w:hAnsi="Times New Roman" w:eastAsia="宋体" w:cs="Times New Roman"/>
                <w:color w:val="auto"/>
                <w:highlight w:val="none"/>
                <w:lang w:eastAsia="zh-CN"/>
              </w:rPr>
            </w:pPr>
          </w:p>
        </w:tc>
        <w:tc>
          <w:tcPr>
            <w:tcW w:w="7731" w:type="dxa"/>
            <w:tcBorders>
              <w:top w:val="inset" w:color="auto" w:sz="6" w:space="0"/>
              <w:left w:val="single" w:color="auto" w:sz="0" w:space="0"/>
              <w:bottom w:val="inset" w:color="auto" w:sz="6" w:space="0"/>
              <w:right w:val="inset" w:color="auto" w:sz="6" w:space="0"/>
            </w:tcBorders>
            <w:vAlign w:val="center"/>
          </w:tcPr>
          <w:p>
            <w:pPr>
              <w:numPr>
                <w:ilvl w:val="0"/>
                <w:numId w:val="0"/>
              </w:numPr>
              <w:spacing w:line="360" w:lineRule="auto"/>
              <w:jc w:val="both"/>
              <w:rPr>
                <w:rFonts w:hint="default" w:ascii="Times New Roman" w:hAnsi="Times New Roman" w:eastAsia="宋体" w:cs="Times New Roman"/>
                <w:color w:val="auto"/>
                <w:highlight w:val="none"/>
                <w:lang w:eastAsia="zh-CN"/>
              </w:rPr>
            </w:pPr>
            <w:r>
              <w:rPr>
                <w:rFonts w:hint="eastAsia" w:ascii="Times New Roman" w:hAnsi="Times New Roman" w:cs="Times New Roman"/>
                <w:color w:val="auto"/>
                <w:highlight w:val="none"/>
                <w:lang w:val="en-US" w:eastAsia="zh-CN"/>
              </w:rPr>
              <w:t>4</w:t>
            </w:r>
            <w:r>
              <w:rPr>
                <w:rFonts w:hint="default" w:ascii="Times New Roman" w:hAnsi="Times New Roman" w:eastAsia="宋体" w:cs="Times New Roman"/>
                <w:color w:val="auto"/>
                <w:highlight w:val="none"/>
                <w:lang w:val="en-US" w:eastAsia="zh-CN"/>
              </w:rPr>
              <w:t>、</w:t>
            </w:r>
            <w:r>
              <w:rPr>
                <w:rFonts w:hint="default" w:ascii="Times New Roman" w:hAnsi="Times New Roman" w:eastAsia="宋体" w:cs="Times New Roman"/>
                <w:color w:val="auto"/>
                <w:highlight w:val="none"/>
                <w:lang w:eastAsia="zh-CN"/>
              </w:rPr>
              <w:t>项目质量控制方案</w:t>
            </w:r>
            <w:r>
              <w:rPr>
                <w:rFonts w:hint="default" w:ascii="Times New Roman" w:hAnsi="Times New Roman" w:eastAsia="宋体" w:cs="Times New Roman"/>
                <w:color w:val="auto"/>
                <w:highlight w:val="none"/>
                <w:lang w:val="en-US" w:eastAsia="zh-CN"/>
              </w:rPr>
              <w:t>【包括但不限于</w:t>
            </w:r>
            <w:r>
              <w:rPr>
                <w:rFonts w:hint="default" w:ascii="Times New Roman" w:hAnsi="Times New Roman" w:eastAsia="宋体" w:cs="Times New Roman"/>
                <w:color w:val="auto"/>
                <w:highlight w:val="none"/>
                <w:lang w:eastAsia="zh-CN"/>
              </w:rPr>
              <w:t>（</w:t>
            </w:r>
            <w:r>
              <w:rPr>
                <w:rFonts w:hint="eastAsia" w:ascii="Times New Roman" w:hAnsi="Times New Roman" w:cs="Times New Roman"/>
                <w:color w:val="auto"/>
                <w:highlight w:val="none"/>
                <w:lang w:eastAsia="zh-CN"/>
              </w:rPr>
              <w:t>1</w:t>
            </w:r>
            <w:r>
              <w:rPr>
                <w:rFonts w:hint="default" w:ascii="Times New Roman" w:hAnsi="Times New Roman" w:eastAsia="宋体" w:cs="Times New Roman"/>
                <w:color w:val="auto"/>
                <w:highlight w:val="none"/>
                <w:lang w:eastAsia="zh-CN"/>
              </w:rPr>
              <w:t>）总体质量管理目标；（</w:t>
            </w:r>
            <w:r>
              <w:rPr>
                <w:rFonts w:hint="eastAsia" w:ascii="Times New Roman" w:hAnsi="Times New Roman" w:cs="Times New Roman"/>
                <w:color w:val="auto"/>
                <w:highlight w:val="none"/>
                <w:lang w:eastAsia="zh-CN"/>
              </w:rPr>
              <w:t>2</w:t>
            </w:r>
            <w:r>
              <w:rPr>
                <w:rFonts w:hint="default" w:ascii="Times New Roman" w:hAnsi="Times New Roman" w:eastAsia="宋体" w:cs="Times New Roman"/>
                <w:color w:val="auto"/>
                <w:highlight w:val="none"/>
                <w:lang w:eastAsia="zh-CN"/>
              </w:rPr>
              <w:t>）质量目标控制的主要措施；（</w:t>
            </w:r>
            <w:r>
              <w:rPr>
                <w:rFonts w:hint="eastAsia" w:ascii="Times New Roman" w:hAnsi="Times New Roman" w:cs="Times New Roman"/>
                <w:color w:val="auto"/>
                <w:highlight w:val="none"/>
                <w:lang w:eastAsia="zh-CN"/>
              </w:rPr>
              <w:t>3</w:t>
            </w:r>
            <w:r>
              <w:rPr>
                <w:rFonts w:hint="default" w:ascii="Times New Roman" w:hAnsi="Times New Roman" w:eastAsia="宋体" w:cs="Times New Roman"/>
                <w:color w:val="auto"/>
                <w:highlight w:val="none"/>
                <w:lang w:eastAsia="zh-CN"/>
              </w:rPr>
              <w:t>）工程质量控制重点分析；（</w:t>
            </w:r>
            <w:r>
              <w:rPr>
                <w:rFonts w:hint="eastAsia" w:ascii="Times New Roman" w:hAnsi="Times New Roman" w:cs="Times New Roman"/>
                <w:color w:val="auto"/>
                <w:highlight w:val="none"/>
                <w:lang w:eastAsia="zh-CN"/>
              </w:rPr>
              <w:t>4</w:t>
            </w:r>
            <w:r>
              <w:rPr>
                <w:rFonts w:hint="default" w:ascii="Times New Roman" w:hAnsi="Times New Roman" w:eastAsia="宋体" w:cs="Times New Roman"/>
                <w:color w:val="auto"/>
                <w:highlight w:val="none"/>
                <w:lang w:eastAsia="zh-CN"/>
              </w:rPr>
              <w:t>）各单位工程、分部分项工程的质量控制、施工技术应用控制及各种材料的质量保证措施】</w:t>
            </w:r>
          </w:p>
          <w:p>
            <w:pPr>
              <w:numPr>
                <w:ilvl w:val="0"/>
                <w:numId w:val="0"/>
              </w:numPr>
              <w:spacing w:line="360" w:lineRule="auto"/>
              <w:jc w:val="both"/>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项目质量控制方案透彻、全面、准确、合理的得</w:t>
            </w:r>
            <w:r>
              <w:rPr>
                <w:rFonts w:hint="eastAsia" w:ascii="Times New Roman" w:hAnsi="Times New Roman" w:cs="Times New Roman"/>
                <w:color w:val="auto"/>
                <w:highlight w:val="none"/>
                <w:lang w:val="en-US" w:eastAsia="zh-CN"/>
              </w:rPr>
              <w:t>2</w:t>
            </w:r>
            <w:r>
              <w:rPr>
                <w:rFonts w:hint="default" w:ascii="Times New Roman" w:hAnsi="Times New Roman" w:eastAsia="宋体" w:cs="Times New Roman"/>
                <w:color w:val="auto"/>
                <w:highlight w:val="none"/>
                <w:lang w:eastAsia="zh-CN"/>
              </w:rPr>
              <w:t>分；</w:t>
            </w:r>
          </w:p>
          <w:p>
            <w:pPr>
              <w:numPr>
                <w:ilvl w:val="0"/>
                <w:numId w:val="0"/>
              </w:numPr>
              <w:spacing w:line="360" w:lineRule="auto"/>
              <w:jc w:val="both"/>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项目质量控制方案基本透彻、较全面、较准确、较合理的得</w:t>
            </w:r>
            <w:r>
              <w:rPr>
                <w:rFonts w:hint="eastAsia" w:ascii="Times New Roman" w:hAnsi="Times New Roman" w:cs="Times New Roman"/>
                <w:color w:val="auto"/>
                <w:highlight w:val="none"/>
                <w:lang w:val="en-US" w:eastAsia="zh-CN"/>
              </w:rPr>
              <w:t>1</w:t>
            </w:r>
            <w:r>
              <w:rPr>
                <w:rFonts w:hint="default" w:ascii="Times New Roman" w:hAnsi="Times New Roman" w:eastAsia="宋体" w:cs="Times New Roman"/>
                <w:color w:val="auto"/>
                <w:highlight w:val="none"/>
                <w:lang w:eastAsia="zh-CN"/>
              </w:rPr>
              <w:t>分；</w:t>
            </w:r>
          </w:p>
          <w:p>
            <w:pPr>
              <w:numPr>
                <w:ilvl w:val="0"/>
                <w:numId w:val="0"/>
              </w:numPr>
              <w:spacing w:line="360" w:lineRule="auto"/>
              <w:jc w:val="both"/>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项目质量控制方案不透彻、</w:t>
            </w:r>
            <w:r>
              <w:rPr>
                <w:rFonts w:hint="default" w:ascii="Times New Roman" w:hAnsi="Times New Roman" w:eastAsia="宋体" w:cs="Times New Roman"/>
                <w:color w:val="auto"/>
                <w:highlight w:val="none"/>
                <w:lang w:val="en-US" w:eastAsia="zh-CN"/>
              </w:rPr>
              <w:t>不</w:t>
            </w:r>
            <w:r>
              <w:rPr>
                <w:rFonts w:hint="default" w:ascii="Times New Roman" w:hAnsi="Times New Roman" w:eastAsia="宋体" w:cs="Times New Roman"/>
                <w:color w:val="auto"/>
                <w:highlight w:val="none"/>
                <w:lang w:eastAsia="zh-CN"/>
              </w:rPr>
              <w:t>全面、不准确</w:t>
            </w:r>
            <w:r>
              <w:rPr>
                <w:rFonts w:hint="default" w:ascii="Times New Roman" w:hAnsi="Times New Roman" w:eastAsia="宋体" w:cs="Times New Roman"/>
                <w:color w:val="auto"/>
                <w:highlight w:val="none"/>
                <w:lang w:val="en-US" w:eastAsia="zh-CN"/>
              </w:rPr>
              <w:t>的或不提供的不得分。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trPr>
        <w:tc>
          <w:tcPr>
            <w:tcW w:w="1133" w:type="dxa"/>
            <w:vMerge w:val="continue"/>
            <w:tcBorders>
              <w:left w:val="single" w:color="auto" w:sz="0" w:space="0"/>
              <w:right w:val="inset" w:color="auto" w:sz="6" w:space="0"/>
            </w:tcBorders>
            <w:vAlign w:val="center"/>
          </w:tcPr>
          <w:p>
            <w:pPr>
              <w:pStyle w:val="18"/>
              <w:rPr>
                <w:rFonts w:hint="default" w:ascii="Times New Roman" w:hAnsi="Times New Roman" w:cs="Times New Roman"/>
                <w:color w:val="auto"/>
                <w:highlight w:val="none"/>
              </w:rPr>
            </w:pPr>
          </w:p>
        </w:tc>
        <w:tc>
          <w:tcPr>
            <w:tcW w:w="7731" w:type="dxa"/>
            <w:tcBorders>
              <w:top w:val="inset" w:color="auto" w:sz="6" w:space="0"/>
              <w:left w:val="single" w:color="auto" w:sz="0" w:space="0"/>
              <w:bottom w:val="inset" w:color="auto" w:sz="6" w:space="0"/>
              <w:right w:val="inset" w:color="auto" w:sz="6" w:space="0"/>
            </w:tcBorders>
            <w:vAlign w:val="center"/>
          </w:tcPr>
          <w:p>
            <w:pPr>
              <w:numPr>
                <w:ilvl w:val="0"/>
                <w:numId w:val="0"/>
              </w:numPr>
              <w:spacing w:line="360" w:lineRule="auto"/>
              <w:jc w:val="both"/>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lang w:val="en-US" w:eastAsia="zh-CN"/>
              </w:rPr>
              <w:t>、</w:t>
            </w:r>
            <w:r>
              <w:rPr>
                <w:rFonts w:hint="default" w:ascii="Times New Roman" w:hAnsi="Times New Roman" w:cs="Times New Roman"/>
                <w:color w:val="auto"/>
                <w:highlight w:val="none"/>
              </w:rPr>
              <w:t>项目进度控制方案</w:t>
            </w:r>
            <w:r>
              <w:rPr>
                <w:rFonts w:hint="default" w:ascii="Times New Roman" w:hAnsi="Times New Roman" w:cs="Times New Roman"/>
                <w:color w:val="auto"/>
                <w:highlight w:val="none"/>
                <w:lang w:val="en-US" w:eastAsia="zh-CN"/>
              </w:rPr>
              <w:t>【包括但不限于</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eastAsia="zh-CN"/>
              </w:rPr>
              <w:t>1</w:t>
            </w:r>
            <w:r>
              <w:rPr>
                <w:rFonts w:hint="default" w:ascii="Times New Roman" w:hAnsi="Times New Roman" w:cs="Times New Roman"/>
                <w:color w:val="auto"/>
                <w:highlight w:val="none"/>
              </w:rPr>
              <w:t>）整体进度目标及阶段目标；（</w:t>
            </w:r>
            <w:r>
              <w:rPr>
                <w:rFonts w:hint="eastAsia" w:ascii="Times New Roman" w:hAnsi="Times New Roman" w:cs="Times New Roman"/>
                <w:color w:val="auto"/>
                <w:highlight w:val="none"/>
                <w:lang w:eastAsia="zh-CN"/>
              </w:rPr>
              <w:t>2</w:t>
            </w:r>
            <w:r>
              <w:rPr>
                <w:rFonts w:hint="default" w:ascii="Times New Roman" w:hAnsi="Times New Roman" w:cs="Times New Roman"/>
                <w:color w:val="auto"/>
                <w:highlight w:val="none"/>
              </w:rPr>
              <w:t>）前期实施阶段的管理；（</w:t>
            </w:r>
            <w:r>
              <w:rPr>
                <w:rFonts w:hint="eastAsia" w:ascii="Times New Roman" w:hAnsi="Times New Roman" w:cs="Times New Roman"/>
                <w:color w:val="auto"/>
                <w:highlight w:val="none"/>
                <w:lang w:eastAsia="zh-CN"/>
              </w:rPr>
              <w:t>3</w:t>
            </w:r>
            <w:r>
              <w:rPr>
                <w:rFonts w:hint="default" w:ascii="Times New Roman" w:hAnsi="Times New Roman" w:cs="Times New Roman"/>
                <w:color w:val="auto"/>
                <w:highlight w:val="none"/>
              </w:rPr>
              <w:t>）进度目标控制的主要措施；（</w:t>
            </w:r>
            <w:r>
              <w:rPr>
                <w:rFonts w:hint="eastAsia" w:ascii="Times New Roman" w:hAnsi="Times New Roman" w:cs="Times New Roman"/>
                <w:color w:val="auto"/>
                <w:highlight w:val="none"/>
                <w:lang w:eastAsia="zh-CN"/>
              </w:rPr>
              <w:t>4</w:t>
            </w:r>
            <w:r>
              <w:rPr>
                <w:rFonts w:hint="default" w:ascii="Times New Roman" w:hAnsi="Times New Roman" w:cs="Times New Roman"/>
                <w:color w:val="auto"/>
                <w:highlight w:val="none"/>
              </w:rPr>
              <w:t>）各阶段施工实施计划；（</w:t>
            </w:r>
            <w:r>
              <w:rPr>
                <w:rFonts w:hint="eastAsia" w:ascii="Times New Roman" w:hAnsi="Times New Roman" w:cs="Times New Roman"/>
                <w:color w:val="auto"/>
                <w:highlight w:val="none"/>
                <w:lang w:eastAsia="zh-CN"/>
              </w:rPr>
              <w:t>5</w:t>
            </w:r>
            <w:r>
              <w:rPr>
                <w:rFonts w:hint="default" w:ascii="Times New Roman" w:hAnsi="Times New Roman" w:cs="Times New Roman"/>
                <w:color w:val="auto"/>
                <w:highlight w:val="none"/>
              </w:rPr>
              <w:t>）进度控制的重点、难点分析及临时补救措施</w:t>
            </w:r>
            <w:r>
              <w:rPr>
                <w:rFonts w:hint="default" w:ascii="Times New Roman" w:hAnsi="Times New Roman" w:cs="Times New Roman"/>
                <w:color w:val="auto"/>
                <w:highlight w:val="none"/>
                <w:lang w:eastAsia="zh-CN"/>
              </w:rPr>
              <w:t>】</w:t>
            </w:r>
          </w:p>
          <w:p>
            <w:pPr>
              <w:numPr>
                <w:ilvl w:val="0"/>
                <w:numId w:val="0"/>
              </w:numPr>
              <w:spacing w:line="360" w:lineRule="auto"/>
              <w:jc w:val="both"/>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项目进度控制方案</w:t>
            </w:r>
            <w:r>
              <w:rPr>
                <w:rFonts w:hint="default" w:ascii="Times New Roman" w:hAnsi="Times New Roman" w:eastAsia="宋体" w:cs="Times New Roman"/>
                <w:color w:val="auto"/>
                <w:highlight w:val="none"/>
                <w:lang w:eastAsia="zh-CN"/>
              </w:rPr>
              <w:t>透彻、全面、准确、合理的得</w:t>
            </w:r>
            <w:r>
              <w:rPr>
                <w:rFonts w:hint="eastAsia" w:ascii="Times New Roman" w:hAnsi="Times New Roman" w:cs="Times New Roman"/>
                <w:color w:val="auto"/>
                <w:highlight w:val="none"/>
                <w:lang w:val="en-US" w:eastAsia="zh-CN"/>
              </w:rPr>
              <w:t>2</w:t>
            </w:r>
            <w:r>
              <w:rPr>
                <w:rFonts w:hint="default" w:ascii="Times New Roman" w:hAnsi="Times New Roman" w:eastAsia="宋体" w:cs="Times New Roman"/>
                <w:color w:val="auto"/>
                <w:highlight w:val="none"/>
                <w:lang w:eastAsia="zh-CN"/>
              </w:rPr>
              <w:t>分；</w:t>
            </w:r>
          </w:p>
          <w:p>
            <w:pPr>
              <w:numPr>
                <w:ilvl w:val="0"/>
                <w:numId w:val="0"/>
              </w:numPr>
              <w:spacing w:line="360" w:lineRule="auto"/>
              <w:jc w:val="both"/>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项目进度控制方案</w:t>
            </w:r>
            <w:r>
              <w:rPr>
                <w:rFonts w:hint="default" w:ascii="Times New Roman" w:hAnsi="Times New Roman" w:eastAsia="宋体" w:cs="Times New Roman"/>
                <w:color w:val="auto"/>
                <w:highlight w:val="none"/>
                <w:lang w:eastAsia="zh-CN"/>
              </w:rPr>
              <w:t>基本透彻、较全面、较准确、较合理的得</w:t>
            </w:r>
            <w:r>
              <w:rPr>
                <w:rFonts w:hint="eastAsia" w:ascii="Times New Roman" w:hAnsi="Times New Roman" w:cs="Times New Roman"/>
                <w:color w:val="auto"/>
                <w:highlight w:val="none"/>
                <w:lang w:val="en-US" w:eastAsia="zh-CN"/>
              </w:rPr>
              <w:t>1</w:t>
            </w:r>
            <w:r>
              <w:rPr>
                <w:rFonts w:hint="default" w:ascii="Times New Roman" w:hAnsi="Times New Roman" w:eastAsia="宋体" w:cs="Times New Roman"/>
                <w:color w:val="auto"/>
                <w:highlight w:val="none"/>
                <w:lang w:eastAsia="zh-CN"/>
              </w:rPr>
              <w:t>分；</w:t>
            </w:r>
          </w:p>
          <w:p>
            <w:pPr>
              <w:pStyle w:val="17"/>
              <w:numPr>
                <w:ilvl w:val="0"/>
                <w:numId w:val="0"/>
              </w:numPr>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rPr>
              <w:t>项目进度控制方案</w:t>
            </w:r>
            <w:r>
              <w:rPr>
                <w:rFonts w:hint="default" w:ascii="Times New Roman" w:hAnsi="Times New Roman" w:eastAsia="宋体" w:cs="Times New Roman"/>
                <w:color w:val="auto"/>
                <w:highlight w:val="none"/>
                <w:lang w:eastAsia="zh-CN"/>
              </w:rPr>
              <w:t>不透彻、</w:t>
            </w:r>
            <w:r>
              <w:rPr>
                <w:rFonts w:hint="default" w:ascii="Times New Roman" w:hAnsi="Times New Roman" w:eastAsia="宋体" w:cs="Times New Roman"/>
                <w:color w:val="auto"/>
                <w:highlight w:val="none"/>
                <w:lang w:val="en-US" w:eastAsia="zh-CN"/>
              </w:rPr>
              <w:t>不</w:t>
            </w:r>
            <w:r>
              <w:rPr>
                <w:rFonts w:hint="default" w:ascii="Times New Roman" w:hAnsi="Times New Roman" w:eastAsia="宋体" w:cs="Times New Roman"/>
                <w:color w:val="auto"/>
                <w:highlight w:val="none"/>
                <w:lang w:eastAsia="zh-CN"/>
              </w:rPr>
              <w:t>全面、不准确</w:t>
            </w:r>
            <w:r>
              <w:rPr>
                <w:rFonts w:hint="default" w:ascii="Times New Roman" w:hAnsi="Times New Roman" w:eastAsia="宋体" w:cs="Times New Roman"/>
                <w:color w:val="auto"/>
                <w:highlight w:val="none"/>
                <w:lang w:val="en-US" w:eastAsia="zh-CN"/>
              </w:rPr>
              <w:t>的或不提供的不得分。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trPr>
        <w:tc>
          <w:tcPr>
            <w:tcW w:w="1133" w:type="dxa"/>
            <w:vMerge w:val="continue"/>
            <w:tcBorders>
              <w:left w:val="single" w:color="auto" w:sz="0" w:space="0"/>
              <w:right w:val="inset" w:color="auto" w:sz="6" w:space="0"/>
            </w:tcBorders>
            <w:vAlign w:val="center"/>
          </w:tcPr>
          <w:p>
            <w:pPr>
              <w:pStyle w:val="18"/>
              <w:rPr>
                <w:rFonts w:hint="default" w:ascii="Times New Roman" w:hAnsi="Times New Roman" w:cs="Times New Roman"/>
                <w:color w:val="auto"/>
                <w:highlight w:val="none"/>
              </w:rPr>
            </w:pPr>
          </w:p>
        </w:tc>
        <w:tc>
          <w:tcPr>
            <w:tcW w:w="7731" w:type="dxa"/>
            <w:tcBorders>
              <w:top w:val="inset" w:color="auto" w:sz="6" w:space="0"/>
              <w:left w:val="single" w:color="auto" w:sz="0" w:space="0"/>
              <w:bottom w:val="inset" w:color="auto" w:sz="6" w:space="0"/>
              <w:right w:val="inset" w:color="auto" w:sz="6" w:space="0"/>
            </w:tcBorders>
            <w:vAlign w:val="center"/>
          </w:tcPr>
          <w:p>
            <w:pPr>
              <w:numPr>
                <w:ilvl w:val="0"/>
                <w:numId w:val="0"/>
              </w:numPr>
              <w:spacing w:line="360" w:lineRule="auto"/>
              <w:jc w:val="both"/>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val="en-US" w:eastAsia="zh-CN"/>
              </w:rPr>
              <w:t>、</w:t>
            </w:r>
            <w:r>
              <w:rPr>
                <w:rFonts w:hint="default" w:ascii="Times New Roman" w:hAnsi="Times New Roman" w:cs="Times New Roman"/>
                <w:color w:val="auto"/>
                <w:highlight w:val="none"/>
              </w:rPr>
              <w:t>项目成本控制方案</w:t>
            </w:r>
            <w:r>
              <w:rPr>
                <w:rFonts w:hint="default" w:ascii="Times New Roman" w:hAnsi="Times New Roman" w:cs="Times New Roman"/>
                <w:color w:val="auto"/>
                <w:highlight w:val="none"/>
                <w:lang w:val="en-US" w:eastAsia="zh-CN"/>
              </w:rPr>
              <w:t>【包括但不限于</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eastAsia="zh-CN"/>
              </w:rPr>
              <w:t>1</w:t>
            </w:r>
            <w:r>
              <w:rPr>
                <w:rFonts w:hint="default" w:ascii="Times New Roman" w:hAnsi="Times New Roman" w:cs="Times New Roman"/>
                <w:color w:val="auto"/>
                <w:highlight w:val="none"/>
              </w:rPr>
              <w:t>）成本控制目标及计划；（</w:t>
            </w:r>
            <w:r>
              <w:rPr>
                <w:rFonts w:hint="eastAsia" w:ascii="Times New Roman" w:hAnsi="Times New Roman" w:cs="Times New Roman"/>
                <w:color w:val="auto"/>
                <w:highlight w:val="none"/>
                <w:lang w:eastAsia="zh-CN"/>
              </w:rPr>
              <w:t>2</w:t>
            </w:r>
            <w:r>
              <w:rPr>
                <w:rFonts w:hint="default" w:ascii="Times New Roman" w:hAnsi="Times New Roman" w:cs="Times New Roman"/>
                <w:color w:val="auto"/>
                <w:highlight w:val="none"/>
              </w:rPr>
              <w:t>）施工现场的联系单控制；（</w:t>
            </w:r>
            <w:r>
              <w:rPr>
                <w:rFonts w:hint="eastAsia" w:ascii="Times New Roman" w:hAnsi="Times New Roman" w:cs="Times New Roman"/>
                <w:color w:val="auto"/>
                <w:highlight w:val="none"/>
                <w:lang w:eastAsia="zh-CN"/>
              </w:rPr>
              <w:t>3</w:t>
            </w:r>
            <w:r>
              <w:rPr>
                <w:rFonts w:hint="default" w:ascii="Times New Roman" w:hAnsi="Times New Roman" w:cs="Times New Roman"/>
                <w:color w:val="auto"/>
                <w:highlight w:val="none"/>
              </w:rPr>
              <w:t>）竣工决算的控制</w:t>
            </w:r>
            <w:r>
              <w:rPr>
                <w:rFonts w:hint="default" w:ascii="Times New Roman" w:hAnsi="Times New Roman" w:cs="Times New Roman"/>
                <w:color w:val="auto"/>
                <w:highlight w:val="none"/>
                <w:lang w:eastAsia="zh-CN"/>
              </w:rPr>
              <w:t>】</w:t>
            </w:r>
          </w:p>
          <w:p>
            <w:pPr>
              <w:numPr>
                <w:ilvl w:val="0"/>
                <w:numId w:val="0"/>
              </w:numPr>
              <w:spacing w:line="360" w:lineRule="auto"/>
              <w:jc w:val="both"/>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rPr>
              <w:t>项目成本控制方案</w:t>
            </w:r>
            <w:r>
              <w:rPr>
                <w:rFonts w:hint="default" w:ascii="Times New Roman" w:hAnsi="Times New Roman" w:cs="Times New Roman"/>
                <w:color w:val="auto"/>
                <w:highlight w:val="none"/>
                <w:lang w:eastAsia="zh-CN"/>
              </w:rPr>
              <w:t>透彻、全面、准确、合理的得</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lang w:eastAsia="zh-CN"/>
              </w:rPr>
              <w:t>分；</w:t>
            </w:r>
          </w:p>
          <w:p>
            <w:pPr>
              <w:numPr>
                <w:ilvl w:val="0"/>
                <w:numId w:val="0"/>
              </w:numPr>
              <w:spacing w:line="360" w:lineRule="auto"/>
              <w:jc w:val="both"/>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rPr>
              <w:t>项目成本控制方案</w:t>
            </w:r>
            <w:r>
              <w:rPr>
                <w:rFonts w:hint="default" w:ascii="Times New Roman" w:hAnsi="Times New Roman" w:cs="Times New Roman"/>
                <w:color w:val="auto"/>
                <w:highlight w:val="none"/>
                <w:lang w:eastAsia="zh-CN"/>
              </w:rPr>
              <w:t>基本透彻、较全面、较准确、较合理的得</w:t>
            </w: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eastAsia="zh-CN"/>
              </w:rPr>
              <w:t>分；</w:t>
            </w:r>
          </w:p>
          <w:p>
            <w:pPr>
              <w:numPr>
                <w:ilvl w:val="0"/>
                <w:numId w:val="0"/>
              </w:numPr>
              <w:spacing w:line="360" w:lineRule="auto"/>
              <w:jc w:val="both"/>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rPr>
              <w:t>项目成本控制方案</w:t>
            </w:r>
            <w:r>
              <w:rPr>
                <w:rFonts w:hint="default" w:ascii="Times New Roman" w:hAnsi="Times New Roman" w:cs="Times New Roman"/>
                <w:color w:val="auto"/>
                <w:highlight w:val="none"/>
                <w:lang w:eastAsia="zh-CN"/>
              </w:rPr>
              <w:t>不透彻、</w:t>
            </w:r>
            <w:r>
              <w:rPr>
                <w:rFonts w:hint="default" w:ascii="Times New Roman" w:hAnsi="Times New Roman" w:cs="Times New Roman"/>
                <w:color w:val="auto"/>
                <w:highlight w:val="none"/>
                <w:lang w:val="en-US" w:eastAsia="zh-CN"/>
              </w:rPr>
              <w:t>不</w:t>
            </w:r>
            <w:r>
              <w:rPr>
                <w:rFonts w:hint="default" w:ascii="Times New Roman" w:hAnsi="Times New Roman" w:cs="Times New Roman"/>
                <w:color w:val="auto"/>
                <w:highlight w:val="none"/>
                <w:lang w:eastAsia="zh-CN"/>
              </w:rPr>
              <w:t>全面、不准确</w:t>
            </w:r>
            <w:r>
              <w:rPr>
                <w:rFonts w:hint="default" w:ascii="Times New Roman" w:hAnsi="Times New Roman" w:cs="Times New Roman"/>
                <w:color w:val="auto"/>
                <w:highlight w:val="none"/>
                <w:lang w:val="en-US" w:eastAsia="zh-CN"/>
              </w:rPr>
              <w:t>的或不提供的不得分。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trPr>
        <w:tc>
          <w:tcPr>
            <w:tcW w:w="1133" w:type="dxa"/>
            <w:vMerge w:val="continue"/>
            <w:tcBorders>
              <w:left w:val="single" w:color="auto" w:sz="0" w:space="0"/>
              <w:right w:val="inset" w:color="auto" w:sz="6" w:space="0"/>
            </w:tcBorders>
            <w:vAlign w:val="center"/>
          </w:tcPr>
          <w:p>
            <w:pPr>
              <w:pStyle w:val="18"/>
              <w:rPr>
                <w:rFonts w:hint="default" w:ascii="Times New Roman" w:hAnsi="Times New Roman" w:cs="Times New Roman"/>
                <w:color w:val="auto"/>
                <w:highlight w:val="none"/>
              </w:rPr>
            </w:pPr>
          </w:p>
        </w:tc>
        <w:tc>
          <w:tcPr>
            <w:tcW w:w="7731" w:type="dxa"/>
            <w:tcBorders>
              <w:top w:val="inset" w:color="auto" w:sz="6" w:space="0"/>
              <w:left w:val="single" w:color="auto" w:sz="0" w:space="0"/>
              <w:bottom w:val="inset" w:color="auto" w:sz="6" w:space="0"/>
              <w:right w:val="inset" w:color="auto" w:sz="6" w:space="0"/>
            </w:tcBorders>
            <w:vAlign w:val="center"/>
          </w:tcPr>
          <w:p>
            <w:pPr>
              <w:numPr>
                <w:ilvl w:val="0"/>
                <w:numId w:val="0"/>
              </w:numPr>
              <w:spacing w:line="360" w:lineRule="auto"/>
              <w:jc w:val="both"/>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val="en-US" w:eastAsia="zh-CN"/>
              </w:rPr>
              <w:t>7</w:t>
            </w:r>
            <w:r>
              <w:rPr>
                <w:rFonts w:hint="default" w:ascii="Times New Roman" w:hAnsi="Times New Roman" w:cs="Times New Roman"/>
                <w:color w:val="auto"/>
                <w:highlight w:val="none"/>
                <w:lang w:val="en-US" w:eastAsia="zh-CN"/>
              </w:rPr>
              <w:t>、</w:t>
            </w:r>
            <w:r>
              <w:rPr>
                <w:rFonts w:hint="default" w:ascii="Times New Roman" w:hAnsi="Times New Roman" w:cs="Times New Roman"/>
                <w:color w:val="auto"/>
                <w:highlight w:val="none"/>
              </w:rPr>
              <w:t>项目安全、文明及环境保护控制方案</w:t>
            </w:r>
            <w:r>
              <w:rPr>
                <w:rFonts w:hint="default" w:ascii="Times New Roman" w:hAnsi="Times New Roman" w:cs="Times New Roman"/>
                <w:color w:val="auto"/>
                <w:highlight w:val="none"/>
                <w:lang w:val="en-US" w:eastAsia="zh-CN"/>
              </w:rPr>
              <w:t>【包括但不限于</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eastAsia="zh-CN"/>
              </w:rPr>
              <w:t>1</w:t>
            </w:r>
            <w:r>
              <w:rPr>
                <w:rFonts w:hint="default" w:ascii="Times New Roman" w:hAnsi="Times New Roman" w:cs="Times New Roman"/>
                <w:color w:val="auto"/>
                <w:highlight w:val="none"/>
              </w:rPr>
              <w:t>）安全、文明保证计划及控制手段；（</w:t>
            </w:r>
            <w:r>
              <w:rPr>
                <w:rFonts w:hint="eastAsia" w:ascii="Times New Roman" w:hAnsi="Times New Roman" w:cs="Times New Roman"/>
                <w:color w:val="auto"/>
                <w:highlight w:val="none"/>
                <w:lang w:eastAsia="zh-CN"/>
              </w:rPr>
              <w:t>2</w:t>
            </w:r>
            <w:r>
              <w:rPr>
                <w:rFonts w:hint="default" w:ascii="Times New Roman" w:hAnsi="Times New Roman" w:cs="Times New Roman"/>
                <w:color w:val="auto"/>
                <w:highlight w:val="none"/>
              </w:rPr>
              <w:t>）重点部位安全措施；（</w:t>
            </w:r>
            <w:r>
              <w:rPr>
                <w:rFonts w:hint="eastAsia" w:ascii="Times New Roman" w:hAnsi="Times New Roman" w:cs="Times New Roman"/>
                <w:color w:val="auto"/>
                <w:highlight w:val="none"/>
                <w:lang w:eastAsia="zh-CN"/>
              </w:rPr>
              <w:t>3</w:t>
            </w:r>
            <w:r>
              <w:rPr>
                <w:rFonts w:hint="default" w:ascii="Times New Roman" w:hAnsi="Times New Roman" w:cs="Times New Roman"/>
                <w:color w:val="auto"/>
                <w:highlight w:val="none"/>
              </w:rPr>
              <w:t>）安全管理落实措施、环境保护控制措施</w:t>
            </w:r>
            <w:r>
              <w:rPr>
                <w:rFonts w:hint="default" w:ascii="Times New Roman" w:hAnsi="Times New Roman" w:cs="Times New Roman"/>
                <w:color w:val="auto"/>
                <w:highlight w:val="none"/>
                <w:lang w:eastAsia="zh-CN"/>
              </w:rPr>
              <w:t>】</w:t>
            </w:r>
          </w:p>
          <w:p>
            <w:pPr>
              <w:numPr>
                <w:ilvl w:val="0"/>
                <w:numId w:val="0"/>
              </w:numPr>
              <w:spacing w:line="360" w:lineRule="auto"/>
              <w:jc w:val="both"/>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rPr>
              <w:t>项目安全、文明及环境保护控制方案</w:t>
            </w:r>
            <w:r>
              <w:rPr>
                <w:rFonts w:hint="default" w:ascii="Times New Roman" w:hAnsi="Times New Roman" w:cs="Times New Roman"/>
                <w:color w:val="auto"/>
                <w:highlight w:val="none"/>
                <w:lang w:eastAsia="zh-CN"/>
              </w:rPr>
              <w:t>透彻、全面、准确、合理的得</w:t>
            </w: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eastAsia="zh-CN"/>
              </w:rPr>
              <w:t>分；</w:t>
            </w:r>
          </w:p>
          <w:p>
            <w:pPr>
              <w:numPr>
                <w:ilvl w:val="0"/>
                <w:numId w:val="0"/>
              </w:numPr>
              <w:spacing w:line="360" w:lineRule="auto"/>
              <w:jc w:val="both"/>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rPr>
              <w:t>项目安全、文明及环境保护控制方案</w:t>
            </w:r>
            <w:r>
              <w:rPr>
                <w:rFonts w:hint="default" w:ascii="Times New Roman" w:hAnsi="Times New Roman" w:cs="Times New Roman"/>
                <w:color w:val="auto"/>
                <w:highlight w:val="none"/>
                <w:lang w:eastAsia="zh-CN"/>
              </w:rPr>
              <w:t>不透彻、</w:t>
            </w:r>
            <w:r>
              <w:rPr>
                <w:rFonts w:hint="default" w:ascii="Times New Roman" w:hAnsi="Times New Roman" w:cs="Times New Roman"/>
                <w:color w:val="auto"/>
                <w:highlight w:val="none"/>
                <w:lang w:val="en-US" w:eastAsia="zh-CN"/>
              </w:rPr>
              <w:t>不</w:t>
            </w:r>
            <w:r>
              <w:rPr>
                <w:rFonts w:hint="default" w:ascii="Times New Roman" w:hAnsi="Times New Roman" w:cs="Times New Roman"/>
                <w:color w:val="auto"/>
                <w:highlight w:val="none"/>
                <w:lang w:eastAsia="zh-CN"/>
              </w:rPr>
              <w:t>全面、不准确</w:t>
            </w:r>
            <w:r>
              <w:rPr>
                <w:rFonts w:hint="default" w:ascii="Times New Roman" w:hAnsi="Times New Roman" w:cs="Times New Roman"/>
                <w:color w:val="auto"/>
                <w:highlight w:val="none"/>
                <w:lang w:val="en-US" w:eastAsia="zh-CN"/>
              </w:rPr>
              <w:t>的或不提供的不得分。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trPr>
        <w:tc>
          <w:tcPr>
            <w:tcW w:w="1133" w:type="dxa"/>
            <w:vMerge w:val="continue"/>
            <w:tcBorders>
              <w:left w:val="single" w:color="auto" w:sz="0" w:space="0"/>
              <w:bottom w:val="inset" w:color="auto" w:sz="6" w:space="0"/>
              <w:right w:val="inset" w:color="auto" w:sz="6" w:space="0"/>
            </w:tcBorders>
            <w:vAlign w:val="center"/>
          </w:tcPr>
          <w:p>
            <w:pPr>
              <w:pStyle w:val="18"/>
              <w:rPr>
                <w:rFonts w:hint="default" w:ascii="Times New Roman" w:hAnsi="Times New Roman" w:cs="Times New Roman"/>
                <w:color w:val="auto"/>
                <w:highlight w:val="none"/>
              </w:rPr>
            </w:pPr>
          </w:p>
        </w:tc>
        <w:tc>
          <w:tcPr>
            <w:tcW w:w="7731" w:type="dxa"/>
            <w:tcBorders>
              <w:top w:val="inset" w:color="auto" w:sz="6" w:space="0"/>
              <w:left w:val="single" w:color="auto" w:sz="0" w:space="0"/>
              <w:bottom w:val="inset" w:color="auto" w:sz="6" w:space="0"/>
              <w:right w:val="inset" w:color="auto" w:sz="6" w:space="0"/>
            </w:tcBorders>
            <w:vAlign w:val="center"/>
          </w:tcPr>
          <w:p>
            <w:pPr>
              <w:numPr>
                <w:ilvl w:val="0"/>
                <w:numId w:val="0"/>
              </w:numPr>
              <w:spacing w:line="360" w:lineRule="auto"/>
              <w:jc w:val="both"/>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lang w:val="en-US" w:eastAsia="zh-CN"/>
              </w:rPr>
              <w:t>、</w:t>
            </w:r>
            <w:r>
              <w:rPr>
                <w:rFonts w:hint="default" w:ascii="Times New Roman" w:hAnsi="Times New Roman" w:cs="Times New Roman"/>
                <w:color w:val="auto"/>
                <w:highlight w:val="none"/>
              </w:rPr>
              <w:t>项目初步规划方案</w:t>
            </w:r>
            <w:r>
              <w:rPr>
                <w:rFonts w:hint="default" w:ascii="Times New Roman" w:hAnsi="Times New Roman" w:cs="Times New Roman"/>
                <w:color w:val="auto"/>
                <w:highlight w:val="none"/>
                <w:lang w:val="en-US" w:eastAsia="zh-CN"/>
              </w:rPr>
              <w:t>【包括但不限于</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eastAsia="zh-CN"/>
              </w:rPr>
              <w:t>1</w:t>
            </w:r>
            <w:r>
              <w:rPr>
                <w:rFonts w:hint="default" w:ascii="Times New Roman" w:hAnsi="Times New Roman" w:cs="Times New Roman"/>
                <w:color w:val="auto"/>
                <w:highlight w:val="none"/>
              </w:rPr>
              <w:t>）土地出让条件及规划条件分析；（</w:t>
            </w:r>
            <w:r>
              <w:rPr>
                <w:rFonts w:hint="eastAsia" w:ascii="Times New Roman" w:hAnsi="Times New Roman" w:cs="Times New Roman"/>
                <w:color w:val="auto"/>
                <w:highlight w:val="none"/>
                <w:lang w:eastAsia="zh-CN"/>
              </w:rPr>
              <w:t>2</w:t>
            </w:r>
            <w:r>
              <w:rPr>
                <w:rFonts w:hint="default" w:ascii="Times New Roman" w:hAnsi="Times New Roman" w:cs="Times New Roman"/>
                <w:color w:val="auto"/>
                <w:highlight w:val="none"/>
              </w:rPr>
              <w:t>）场地现状及业态用地价值分析；（</w:t>
            </w:r>
            <w:r>
              <w:rPr>
                <w:rFonts w:hint="eastAsia" w:ascii="Times New Roman" w:hAnsi="Times New Roman" w:cs="Times New Roman"/>
                <w:color w:val="auto"/>
                <w:highlight w:val="none"/>
                <w:lang w:eastAsia="zh-CN"/>
              </w:rPr>
              <w:t>3</w:t>
            </w:r>
            <w:r>
              <w:rPr>
                <w:rFonts w:hint="default" w:ascii="Times New Roman" w:hAnsi="Times New Roman" w:cs="Times New Roman"/>
                <w:color w:val="auto"/>
                <w:highlight w:val="none"/>
              </w:rPr>
              <w:t>）结合市场定位形成的概念方案；（</w:t>
            </w:r>
            <w:r>
              <w:rPr>
                <w:rFonts w:hint="eastAsia" w:ascii="Times New Roman" w:hAnsi="Times New Roman" w:cs="Times New Roman"/>
                <w:color w:val="auto"/>
                <w:highlight w:val="none"/>
                <w:lang w:eastAsia="zh-CN"/>
              </w:rPr>
              <w:t>4</w:t>
            </w:r>
            <w:r>
              <w:rPr>
                <w:rFonts w:hint="default" w:ascii="Times New Roman" w:hAnsi="Times New Roman" w:cs="Times New Roman"/>
                <w:color w:val="auto"/>
                <w:highlight w:val="none"/>
              </w:rPr>
              <w:t>）项目强排方案要求：包含</w:t>
            </w:r>
            <w:r>
              <w:rPr>
                <w:rFonts w:hint="eastAsia" w:ascii="Times New Roman" w:hAnsi="Times New Roman" w:cs="Times New Roman"/>
                <w:color w:val="auto"/>
                <w:highlight w:val="none"/>
                <w:lang w:eastAsia="zh-CN"/>
              </w:rPr>
              <w:t>CAD</w:t>
            </w:r>
            <w:r>
              <w:rPr>
                <w:rFonts w:hint="default" w:ascii="Times New Roman" w:hAnsi="Times New Roman" w:cs="Times New Roman"/>
                <w:color w:val="auto"/>
                <w:highlight w:val="none"/>
              </w:rPr>
              <w:t>总图、经济技术指标、意向方案户型、日照分析；外立面选型、项目精装意向、景观意向（如有）</w:t>
            </w:r>
            <w:r>
              <w:rPr>
                <w:rFonts w:hint="default" w:ascii="Times New Roman" w:hAnsi="Times New Roman" w:cs="Times New Roman"/>
                <w:color w:val="auto"/>
                <w:highlight w:val="none"/>
                <w:lang w:eastAsia="zh-CN"/>
              </w:rPr>
              <w:t>】</w:t>
            </w:r>
          </w:p>
          <w:p>
            <w:pPr>
              <w:numPr>
                <w:ilvl w:val="0"/>
                <w:numId w:val="0"/>
              </w:numPr>
              <w:spacing w:line="360" w:lineRule="auto"/>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项目初步规划方案内容全面、理念先进</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覆盖全部要点、</w:t>
            </w:r>
            <w:r>
              <w:rPr>
                <w:rFonts w:hint="default" w:ascii="Times New Roman" w:hAnsi="Times New Roman" w:cs="Times New Roman"/>
                <w:color w:val="auto"/>
                <w:highlight w:val="none"/>
                <w:lang w:eastAsia="zh-CN"/>
              </w:rPr>
              <w:t>与</w:t>
            </w:r>
            <w:r>
              <w:rPr>
                <w:rFonts w:hint="default" w:ascii="Times New Roman" w:hAnsi="Times New Roman" w:cs="Times New Roman"/>
                <w:color w:val="auto"/>
                <w:highlight w:val="none"/>
              </w:rPr>
              <w:t>产品定位</w:t>
            </w:r>
            <w:r>
              <w:rPr>
                <w:rFonts w:hint="default" w:ascii="Times New Roman" w:hAnsi="Times New Roman" w:cs="Times New Roman"/>
                <w:color w:val="auto"/>
                <w:highlight w:val="none"/>
                <w:lang w:eastAsia="zh-CN"/>
              </w:rPr>
              <w:t>契合度高</w:t>
            </w:r>
            <w:r>
              <w:rPr>
                <w:rFonts w:hint="default" w:ascii="Times New Roman" w:hAnsi="Times New Roman" w:cs="Times New Roman"/>
                <w:color w:val="auto"/>
                <w:highlight w:val="none"/>
              </w:rPr>
              <w:t>的得</w:t>
            </w:r>
            <w:r>
              <w:rPr>
                <w:rFonts w:hint="eastAsia" w:ascii="Times New Roman" w:hAnsi="Times New Roman" w:cs="Times New Roman"/>
                <w:color w:val="auto"/>
                <w:highlight w:val="none"/>
                <w:lang w:val="en-US" w:eastAsia="zh-CN"/>
              </w:rPr>
              <w:t>25</w:t>
            </w:r>
            <w:r>
              <w:rPr>
                <w:rFonts w:hint="default" w:ascii="Times New Roman" w:hAnsi="Times New Roman" w:cs="Times New Roman"/>
                <w:color w:val="auto"/>
                <w:highlight w:val="none"/>
                <w:lang w:val="en-US" w:eastAsia="zh-CN"/>
              </w:rPr>
              <w:t>分</w:t>
            </w:r>
            <w:r>
              <w:rPr>
                <w:rFonts w:hint="default" w:ascii="Times New Roman" w:hAnsi="Times New Roman" w:cs="Times New Roman"/>
                <w:color w:val="auto"/>
                <w:highlight w:val="none"/>
              </w:rPr>
              <w:t>；</w:t>
            </w:r>
          </w:p>
          <w:p>
            <w:pPr>
              <w:numPr>
                <w:ilvl w:val="0"/>
                <w:numId w:val="0"/>
              </w:numPr>
              <w:spacing w:line="360" w:lineRule="auto"/>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项目初步规划方案内容较全面、理念较先进的，符合产品定位的得</w:t>
            </w:r>
            <w:r>
              <w:rPr>
                <w:rFonts w:hint="eastAsia" w:ascii="Times New Roman" w:hAnsi="Times New Roman" w:cs="Times New Roman"/>
                <w:color w:val="auto"/>
                <w:highlight w:val="none"/>
                <w:lang w:val="en-US" w:eastAsia="zh-CN"/>
              </w:rPr>
              <w:t>20</w:t>
            </w:r>
            <w:r>
              <w:rPr>
                <w:rFonts w:hint="default" w:ascii="Times New Roman" w:hAnsi="Times New Roman" w:cs="Times New Roman"/>
                <w:color w:val="auto"/>
                <w:highlight w:val="none"/>
              </w:rPr>
              <w:t>分；</w:t>
            </w:r>
          </w:p>
          <w:p>
            <w:pPr>
              <w:numPr>
                <w:ilvl w:val="0"/>
                <w:numId w:val="0"/>
              </w:numPr>
              <w:spacing w:line="360" w:lineRule="auto"/>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项目初步规划方案内容</w:t>
            </w:r>
            <w:r>
              <w:rPr>
                <w:rFonts w:hint="default" w:ascii="Times New Roman" w:hAnsi="Times New Roman" w:cs="Times New Roman"/>
                <w:color w:val="auto"/>
                <w:highlight w:val="none"/>
                <w:lang w:eastAsia="zh-CN"/>
              </w:rPr>
              <w:t>一般</w:t>
            </w:r>
            <w:r>
              <w:rPr>
                <w:rFonts w:hint="default" w:ascii="Times New Roman" w:hAnsi="Times New Roman" w:cs="Times New Roman"/>
                <w:color w:val="auto"/>
                <w:highlight w:val="none"/>
              </w:rPr>
              <w:t>、理念</w:t>
            </w:r>
            <w:r>
              <w:rPr>
                <w:rFonts w:hint="default" w:ascii="Times New Roman" w:hAnsi="Times New Roman" w:cs="Times New Roman"/>
                <w:color w:val="auto"/>
                <w:highlight w:val="none"/>
                <w:lang w:eastAsia="zh-CN"/>
              </w:rPr>
              <w:t>一般</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基本</w:t>
            </w:r>
            <w:r>
              <w:rPr>
                <w:rFonts w:hint="default" w:ascii="Times New Roman" w:hAnsi="Times New Roman" w:cs="Times New Roman"/>
                <w:color w:val="auto"/>
                <w:highlight w:val="none"/>
              </w:rPr>
              <w:t>符合产品定位的得</w:t>
            </w:r>
            <w:r>
              <w:rPr>
                <w:rFonts w:hint="eastAsia" w:ascii="Times New Roman" w:hAnsi="Times New Roman" w:cs="Times New Roman"/>
                <w:color w:val="auto"/>
                <w:highlight w:val="none"/>
                <w:lang w:val="en-US" w:eastAsia="zh-CN"/>
              </w:rPr>
              <w:t>15</w:t>
            </w:r>
            <w:r>
              <w:rPr>
                <w:rFonts w:hint="default" w:ascii="Times New Roman" w:hAnsi="Times New Roman" w:cs="Times New Roman"/>
                <w:color w:val="auto"/>
                <w:highlight w:val="none"/>
              </w:rPr>
              <w:t>分；</w:t>
            </w:r>
          </w:p>
          <w:p>
            <w:pPr>
              <w:numPr>
                <w:ilvl w:val="0"/>
                <w:numId w:val="0"/>
              </w:numPr>
              <w:spacing w:line="360" w:lineRule="auto"/>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项目初步规划方案内容不全面、理念较落后的，与产品定位有偏离的得</w:t>
            </w:r>
            <w:r>
              <w:rPr>
                <w:rFonts w:hint="eastAsia" w:ascii="Times New Roman" w:hAnsi="Times New Roman" w:cs="Times New Roman"/>
                <w:color w:val="auto"/>
                <w:highlight w:val="none"/>
                <w:lang w:val="en-US" w:eastAsia="zh-CN"/>
              </w:rPr>
              <w:t>10</w:t>
            </w:r>
            <w:r>
              <w:rPr>
                <w:rFonts w:hint="default" w:ascii="Times New Roman" w:hAnsi="Times New Roman" w:cs="Times New Roman"/>
                <w:color w:val="auto"/>
                <w:highlight w:val="none"/>
              </w:rPr>
              <w:t>分；</w:t>
            </w:r>
          </w:p>
          <w:p>
            <w:pPr>
              <w:numPr>
                <w:ilvl w:val="0"/>
                <w:numId w:val="0"/>
              </w:numPr>
              <w:spacing w:line="360" w:lineRule="auto"/>
              <w:jc w:val="both"/>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rPr>
              <w:t>未提供的不得分。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trPr>
        <w:tc>
          <w:tcPr>
            <w:tcW w:w="1133" w:type="dxa"/>
            <w:tcBorders>
              <w:top w:val="inset" w:color="auto" w:sz="6" w:space="0"/>
              <w:left w:val="single" w:color="auto" w:sz="0" w:space="0"/>
              <w:bottom w:val="inset" w:color="auto" w:sz="6" w:space="0"/>
              <w:right w:val="inset" w:color="auto" w:sz="6" w:space="0"/>
            </w:tcBorders>
            <w:vAlign w:val="center"/>
          </w:tcPr>
          <w:p>
            <w:pPr>
              <w:pStyle w:val="18"/>
              <w:rPr>
                <w:rFonts w:hint="default" w:ascii="Times New Roman" w:hAnsi="Times New Roman" w:cs="Times New Roman"/>
                <w:color w:val="auto"/>
                <w:highlight w:val="none"/>
              </w:rPr>
            </w:pPr>
          </w:p>
          <w:p>
            <w:pPr>
              <w:pStyle w:val="18"/>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eastAsia="zh-CN"/>
              </w:rPr>
              <w:t>企业资信</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实力、业绩</w:t>
            </w: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20</w:t>
            </w:r>
            <w:r>
              <w:rPr>
                <w:rFonts w:hint="default" w:ascii="Times New Roman" w:hAnsi="Times New Roman" w:cs="Times New Roman"/>
                <w:color w:val="auto"/>
                <w:highlight w:val="none"/>
                <w:lang w:val="en-US" w:eastAsia="zh-CN"/>
              </w:rPr>
              <w:t>分）</w:t>
            </w:r>
          </w:p>
          <w:p>
            <w:pPr>
              <w:pStyle w:val="18"/>
              <w:rPr>
                <w:rFonts w:hint="default" w:ascii="Times New Roman" w:hAnsi="Times New Roman" w:cs="Times New Roman"/>
                <w:color w:val="auto"/>
                <w:highlight w:val="none"/>
              </w:rPr>
            </w:pPr>
          </w:p>
        </w:tc>
        <w:tc>
          <w:tcPr>
            <w:tcW w:w="7731" w:type="dxa"/>
            <w:tcBorders>
              <w:top w:val="inset" w:color="auto" w:sz="6" w:space="0"/>
              <w:left w:val="single" w:color="auto" w:sz="0" w:space="0"/>
              <w:bottom w:val="inset" w:color="auto" w:sz="6" w:space="0"/>
              <w:right w:val="inset" w:color="auto" w:sz="6" w:space="0"/>
            </w:tcBorders>
            <w:vAlign w:val="center"/>
          </w:tcPr>
          <w:p>
            <w:pPr>
              <w:numPr>
                <w:ilvl w:val="0"/>
                <w:numId w:val="0"/>
              </w:numPr>
              <w:spacing w:line="360" w:lineRule="auto"/>
              <w:jc w:val="both"/>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val="en-US" w:eastAsia="zh-CN"/>
              </w:rPr>
              <w:t>、</w:t>
            </w:r>
            <w:r>
              <w:rPr>
                <w:rFonts w:hint="default" w:ascii="Times New Roman" w:hAnsi="Times New Roman" w:cs="Times New Roman"/>
                <w:color w:val="auto"/>
                <w:highlight w:val="none"/>
              </w:rPr>
              <w:t>投标人（或联合体牵头人）为上市公司或上市公司全资子公司</w:t>
            </w:r>
            <w:r>
              <w:rPr>
                <w:rFonts w:hint="default" w:ascii="Times New Roman" w:hAnsi="Times New Roman" w:cs="Times New Roman"/>
                <w:color w:val="auto"/>
                <w:highlight w:val="none"/>
                <w:lang w:eastAsia="zh-CN"/>
              </w:rPr>
              <w:t>得</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lang w:val="en-US" w:eastAsia="zh-CN"/>
              </w:rPr>
              <w:t>分</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(投标人</w:t>
            </w:r>
            <w:r>
              <w:rPr>
                <w:rFonts w:hint="default" w:ascii="Times New Roman" w:hAnsi="Times New Roman" w:cs="Times New Roman"/>
                <w:color w:val="auto"/>
                <w:highlight w:val="none"/>
              </w:rPr>
              <w:t>需提供股票代码查询截图</w:t>
            </w:r>
            <w:r>
              <w:rPr>
                <w:rFonts w:hint="default" w:ascii="Times New Roman" w:hAnsi="Times New Roman" w:cs="Times New Roman"/>
                <w:color w:val="auto"/>
                <w:highlight w:val="none"/>
                <w:lang w:eastAsia="zh-CN"/>
              </w:rPr>
              <w:t>复印件加盖公章）</w:t>
            </w:r>
          </w:p>
          <w:p>
            <w:pPr>
              <w:numPr>
                <w:ilvl w:val="0"/>
                <w:numId w:val="0"/>
              </w:numPr>
              <w:spacing w:line="360" w:lineRule="auto"/>
              <w:jc w:val="both"/>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eastAsia="zh-CN"/>
              </w:rPr>
              <w:t>2017</w:t>
            </w:r>
            <w:r>
              <w:rPr>
                <w:rFonts w:hint="default" w:ascii="Times New Roman" w:hAnsi="Times New Roman" w:cs="Times New Roman"/>
                <w:color w:val="auto"/>
                <w:highlight w:val="none"/>
              </w:rPr>
              <w:t>年-</w:t>
            </w:r>
            <w:r>
              <w:rPr>
                <w:rFonts w:hint="eastAsia" w:ascii="Times New Roman" w:hAnsi="Times New Roman" w:cs="Times New Roman"/>
                <w:color w:val="auto"/>
                <w:highlight w:val="none"/>
                <w:lang w:eastAsia="zh-CN"/>
              </w:rPr>
              <w:t>2022</w:t>
            </w:r>
            <w:r>
              <w:rPr>
                <w:rFonts w:hint="default" w:ascii="Times New Roman" w:hAnsi="Times New Roman" w:cs="Times New Roman"/>
                <w:color w:val="auto"/>
                <w:highlight w:val="none"/>
              </w:rPr>
              <w:t>年，投标人（或联合体牵头人）获得房地产</w:t>
            </w:r>
            <w:r>
              <w:rPr>
                <w:rFonts w:hint="eastAsia" w:ascii="Times New Roman" w:hAnsi="Times New Roman" w:cs="Times New Roman"/>
                <w:color w:val="auto"/>
                <w:highlight w:val="none"/>
                <w:lang w:eastAsia="zh-CN"/>
              </w:rPr>
              <w:t>TOP10</w:t>
            </w:r>
            <w:r>
              <w:rPr>
                <w:rFonts w:hint="default" w:ascii="Times New Roman" w:hAnsi="Times New Roman" w:cs="Times New Roman"/>
                <w:color w:val="auto"/>
                <w:highlight w:val="none"/>
              </w:rPr>
              <w:t>研究组颁发的“中国房地产代建运营引领企业”，每获得一个年度的得</w:t>
            </w:r>
            <w:r>
              <w:rPr>
                <w:rFonts w:hint="eastAsia" w:ascii="Times New Roman" w:hAnsi="Times New Roman" w:cs="Times New Roman"/>
                <w:color w:val="auto"/>
                <w:highlight w:val="none"/>
                <w:lang w:eastAsia="zh-CN"/>
              </w:rPr>
              <w:t>2</w:t>
            </w:r>
            <w:r>
              <w:rPr>
                <w:rFonts w:hint="default" w:ascii="Times New Roman" w:hAnsi="Times New Roman" w:cs="Times New Roman"/>
                <w:color w:val="auto"/>
                <w:highlight w:val="none"/>
              </w:rPr>
              <w:t>分，</w:t>
            </w:r>
            <w:r>
              <w:rPr>
                <w:rFonts w:hint="default" w:ascii="Times New Roman" w:hAnsi="Times New Roman" w:cs="Times New Roman"/>
                <w:color w:val="auto"/>
                <w:highlight w:val="none"/>
                <w:lang w:eastAsia="zh-CN"/>
              </w:rPr>
              <w:t>满分</w:t>
            </w:r>
            <w:r>
              <w:rPr>
                <w:rFonts w:hint="eastAsia" w:ascii="Times New Roman" w:hAnsi="Times New Roman" w:cs="Times New Roman"/>
                <w:color w:val="auto"/>
                <w:highlight w:val="none"/>
                <w:lang w:eastAsia="zh-CN"/>
              </w:rPr>
              <w:t>10</w:t>
            </w:r>
            <w:r>
              <w:rPr>
                <w:rFonts w:hint="default" w:ascii="Times New Roman" w:hAnsi="Times New Roman" w:cs="Times New Roman"/>
                <w:color w:val="auto"/>
                <w:highlight w:val="none"/>
              </w:rPr>
              <w:t>分</w:t>
            </w:r>
            <w:r>
              <w:rPr>
                <w:rFonts w:hint="default" w:ascii="Times New Roman" w:hAnsi="Times New Roman" w:cs="Times New Roman"/>
                <w:color w:val="auto"/>
                <w:highlight w:val="none"/>
                <w:lang w:eastAsia="zh-CN"/>
              </w:rPr>
              <w:t>。（投标人需提供相关证明文件复印件加盖公章）</w:t>
            </w:r>
          </w:p>
          <w:p>
            <w:pPr>
              <w:numPr>
                <w:ilvl w:val="0"/>
                <w:numId w:val="0"/>
              </w:numPr>
              <w:spacing w:line="360" w:lineRule="auto"/>
              <w:jc w:val="both"/>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lang w:val="en-US" w:eastAsia="zh-CN"/>
              </w:rPr>
              <w:t>、</w:t>
            </w:r>
            <w:r>
              <w:rPr>
                <w:rFonts w:hint="default" w:ascii="Times New Roman" w:hAnsi="Times New Roman" w:cs="Times New Roman"/>
                <w:color w:val="auto"/>
                <w:highlight w:val="none"/>
              </w:rPr>
              <w:t>投标人或其控股母公司获得中国房地产</w:t>
            </w:r>
            <w:r>
              <w:rPr>
                <w:rFonts w:hint="eastAsia" w:ascii="Times New Roman" w:hAnsi="Times New Roman" w:cs="Times New Roman"/>
                <w:color w:val="auto"/>
                <w:highlight w:val="none"/>
                <w:lang w:eastAsia="zh-CN"/>
              </w:rPr>
              <w:t>TOP10</w:t>
            </w:r>
            <w:r>
              <w:rPr>
                <w:rFonts w:hint="default" w:ascii="Times New Roman" w:hAnsi="Times New Roman" w:cs="Times New Roman"/>
                <w:color w:val="auto"/>
                <w:highlight w:val="none"/>
              </w:rPr>
              <w:t>研究组颁发的“</w:t>
            </w:r>
            <w:r>
              <w:rPr>
                <w:rFonts w:hint="eastAsia" w:ascii="Times New Roman" w:hAnsi="Times New Roman" w:cs="Times New Roman"/>
                <w:color w:val="auto"/>
                <w:highlight w:val="none"/>
                <w:lang w:eastAsia="zh-CN"/>
              </w:rPr>
              <w:t>2022</w:t>
            </w:r>
            <w:r>
              <w:rPr>
                <w:rFonts w:hint="default" w:ascii="Times New Roman" w:hAnsi="Times New Roman" w:cs="Times New Roman"/>
                <w:color w:val="auto"/>
                <w:highlight w:val="none"/>
              </w:rPr>
              <w:t>中国房地产行业领导公司品牌”，品牌价值≥</w:t>
            </w:r>
            <w:r>
              <w:rPr>
                <w:rFonts w:hint="eastAsia" w:ascii="Times New Roman" w:hAnsi="Times New Roman" w:cs="Times New Roman"/>
                <w:color w:val="auto"/>
                <w:highlight w:val="none"/>
                <w:lang w:eastAsia="zh-CN"/>
              </w:rPr>
              <w:t>1000</w:t>
            </w:r>
            <w:r>
              <w:rPr>
                <w:rFonts w:hint="default" w:ascii="Times New Roman" w:hAnsi="Times New Roman" w:cs="Times New Roman"/>
                <w:color w:val="auto"/>
                <w:highlight w:val="none"/>
              </w:rPr>
              <w:t xml:space="preserve"> 亿元人民币得 </w:t>
            </w:r>
            <w:r>
              <w:rPr>
                <w:rFonts w:hint="eastAsia" w:ascii="Times New Roman" w:hAnsi="Times New Roman" w:cs="Times New Roman"/>
                <w:color w:val="auto"/>
                <w:highlight w:val="none"/>
                <w:lang w:eastAsia="zh-CN"/>
              </w:rPr>
              <w:t>10</w:t>
            </w:r>
            <w:r>
              <w:rPr>
                <w:rFonts w:hint="default" w:ascii="Times New Roman" w:hAnsi="Times New Roman" w:cs="Times New Roman"/>
                <w:color w:val="auto"/>
                <w:highlight w:val="none"/>
              </w:rPr>
              <w:t>分，</w:t>
            </w:r>
            <w:r>
              <w:rPr>
                <w:rFonts w:hint="eastAsia" w:ascii="Times New Roman" w:hAnsi="Times New Roman" w:cs="Times New Roman"/>
                <w:color w:val="auto"/>
                <w:highlight w:val="none"/>
                <w:lang w:eastAsia="zh-CN"/>
              </w:rPr>
              <w:t>800</w:t>
            </w:r>
            <w:r>
              <w:rPr>
                <w:rFonts w:hint="default" w:ascii="Times New Roman" w:hAnsi="Times New Roman" w:cs="Times New Roman"/>
                <w:color w:val="auto"/>
                <w:highlight w:val="none"/>
              </w:rPr>
              <w:t>亿元人民币≤品牌价值＜</w:t>
            </w:r>
            <w:r>
              <w:rPr>
                <w:rFonts w:hint="eastAsia" w:ascii="Times New Roman" w:hAnsi="Times New Roman" w:cs="Times New Roman"/>
                <w:color w:val="auto"/>
                <w:highlight w:val="none"/>
                <w:lang w:eastAsia="zh-CN"/>
              </w:rPr>
              <w:t>1000</w:t>
            </w:r>
            <w:r>
              <w:rPr>
                <w:rFonts w:hint="default" w:ascii="Times New Roman" w:hAnsi="Times New Roman" w:cs="Times New Roman"/>
                <w:color w:val="auto"/>
                <w:highlight w:val="none"/>
              </w:rPr>
              <w:t xml:space="preserve"> 亿元人民币得 </w:t>
            </w:r>
            <w:r>
              <w:rPr>
                <w:rFonts w:hint="eastAsia" w:ascii="Times New Roman" w:hAnsi="Times New Roman" w:cs="Times New Roman"/>
                <w:color w:val="auto"/>
                <w:highlight w:val="none"/>
                <w:lang w:eastAsia="zh-CN"/>
              </w:rPr>
              <w:t>7</w:t>
            </w:r>
            <w:r>
              <w:rPr>
                <w:rFonts w:hint="default" w:ascii="Times New Roman" w:hAnsi="Times New Roman" w:cs="Times New Roman"/>
                <w:color w:val="auto"/>
                <w:highlight w:val="none"/>
              </w:rPr>
              <w:t>分，</w:t>
            </w:r>
            <w:r>
              <w:rPr>
                <w:rFonts w:hint="eastAsia" w:ascii="Times New Roman" w:hAnsi="Times New Roman" w:cs="Times New Roman"/>
                <w:color w:val="auto"/>
                <w:highlight w:val="none"/>
                <w:lang w:eastAsia="zh-CN"/>
              </w:rPr>
              <w:t>600</w:t>
            </w:r>
            <w:r>
              <w:rPr>
                <w:rFonts w:hint="default" w:ascii="Times New Roman" w:hAnsi="Times New Roman" w:cs="Times New Roman"/>
                <w:color w:val="auto"/>
                <w:highlight w:val="none"/>
              </w:rPr>
              <w:t>亿元人民币≤品牌价值＜</w:t>
            </w:r>
            <w:r>
              <w:rPr>
                <w:rFonts w:hint="eastAsia" w:ascii="Times New Roman" w:hAnsi="Times New Roman" w:cs="Times New Roman"/>
                <w:color w:val="auto"/>
                <w:highlight w:val="none"/>
                <w:lang w:eastAsia="zh-CN"/>
              </w:rPr>
              <w:t>800</w:t>
            </w:r>
            <w:r>
              <w:rPr>
                <w:rFonts w:hint="default" w:ascii="Times New Roman" w:hAnsi="Times New Roman" w:cs="Times New Roman"/>
                <w:color w:val="auto"/>
                <w:highlight w:val="none"/>
              </w:rPr>
              <w:t xml:space="preserve"> 亿元人民币得 </w:t>
            </w:r>
            <w:r>
              <w:rPr>
                <w:rFonts w:hint="eastAsia" w:ascii="Times New Roman" w:hAnsi="Times New Roman" w:cs="Times New Roman"/>
                <w:color w:val="auto"/>
                <w:highlight w:val="none"/>
                <w:lang w:eastAsia="zh-CN"/>
              </w:rPr>
              <w:t>4</w:t>
            </w:r>
            <w:r>
              <w:rPr>
                <w:rFonts w:hint="default" w:ascii="Times New Roman" w:hAnsi="Times New Roman" w:cs="Times New Roman"/>
                <w:color w:val="auto"/>
                <w:highlight w:val="none"/>
              </w:rPr>
              <w:t xml:space="preserve"> 分，</w:t>
            </w:r>
            <w:r>
              <w:rPr>
                <w:rFonts w:hint="eastAsia" w:ascii="Times New Roman" w:hAnsi="Times New Roman" w:cs="Times New Roman"/>
                <w:color w:val="auto"/>
                <w:highlight w:val="none"/>
                <w:lang w:eastAsia="zh-CN"/>
              </w:rPr>
              <w:t>400</w:t>
            </w:r>
            <w:r>
              <w:rPr>
                <w:rFonts w:hint="default" w:ascii="Times New Roman" w:hAnsi="Times New Roman" w:cs="Times New Roman"/>
                <w:color w:val="auto"/>
                <w:highlight w:val="none"/>
              </w:rPr>
              <w:t>亿元人民币≤品牌价值＜</w:t>
            </w:r>
            <w:r>
              <w:rPr>
                <w:rFonts w:hint="eastAsia" w:ascii="Times New Roman" w:hAnsi="Times New Roman" w:cs="Times New Roman"/>
                <w:color w:val="auto"/>
                <w:highlight w:val="none"/>
                <w:lang w:eastAsia="zh-CN"/>
              </w:rPr>
              <w:t>600</w:t>
            </w:r>
            <w:r>
              <w:rPr>
                <w:rFonts w:hint="default" w:ascii="Times New Roman" w:hAnsi="Times New Roman" w:cs="Times New Roman"/>
                <w:color w:val="auto"/>
                <w:highlight w:val="none"/>
              </w:rPr>
              <w:t xml:space="preserve"> 亿元人民币得</w:t>
            </w:r>
            <w:r>
              <w:rPr>
                <w:rFonts w:hint="eastAsia" w:ascii="Times New Roman" w:hAnsi="Times New Roman" w:cs="Times New Roman"/>
                <w:color w:val="auto"/>
                <w:highlight w:val="none"/>
                <w:lang w:eastAsia="zh-CN"/>
              </w:rPr>
              <w:t>1</w:t>
            </w:r>
            <w:r>
              <w:rPr>
                <w:rFonts w:hint="default" w:ascii="Times New Roman" w:hAnsi="Times New Roman" w:cs="Times New Roman"/>
                <w:color w:val="auto"/>
                <w:highlight w:val="none"/>
              </w:rPr>
              <w:t>分，品牌价值＜</w:t>
            </w:r>
            <w:r>
              <w:rPr>
                <w:rFonts w:hint="eastAsia" w:ascii="Times New Roman" w:hAnsi="Times New Roman" w:cs="Times New Roman"/>
                <w:color w:val="auto"/>
                <w:highlight w:val="none"/>
                <w:lang w:eastAsia="zh-CN"/>
              </w:rPr>
              <w:t>400</w:t>
            </w:r>
            <w:r>
              <w:rPr>
                <w:rFonts w:hint="default" w:ascii="Times New Roman" w:hAnsi="Times New Roman" w:cs="Times New Roman"/>
                <w:color w:val="auto"/>
                <w:highlight w:val="none"/>
              </w:rPr>
              <w:t xml:space="preserve"> 亿元不得分。</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提供</w:t>
            </w:r>
            <w:r>
              <w:rPr>
                <w:rFonts w:hint="eastAsia" w:ascii="Times New Roman" w:hAnsi="Times New Roman" w:cs="Times New Roman"/>
                <w:color w:val="auto"/>
                <w:highlight w:val="none"/>
                <w:lang w:eastAsia="zh-CN"/>
              </w:rPr>
              <w:t>2022</w:t>
            </w:r>
            <w:r>
              <w:rPr>
                <w:rFonts w:hint="default" w:ascii="Times New Roman" w:hAnsi="Times New Roman" w:cs="Times New Roman"/>
                <w:color w:val="auto"/>
                <w:highlight w:val="none"/>
              </w:rPr>
              <w:t xml:space="preserve"> 年中国房地产品牌价值研究成果鉴定证书复印件并加盖公章（获奖主体为投标人或投标人的控股母公司，如为投标人的控股母公司须同时提供能证明子母公司关系的证明材料，否则不得分）</w:t>
            </w:r>
          </w:p>
          <w:p>
            <w:pPr>
              <w:numPr>
                <w:ilvl w:val="0"/>
                <w:numId w:val="0"/>
              </w:numPr>
              <w:spacing w:line="360" w:lineRule="auto"/>
              <w:jc w:val="both"/>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lang w:val="en-US" w:eastAsia="zh-CN"/>
              </w:rPr>
              <w:t>、</w:t>
            </w:r>
            <w:r>
              <w:rPr>
                <w:rFonts w:hint="default" w:ascii="Times New Roman" w:hAnsi="Times New Roman" w:cs="Times New Roman"/>
                <w:color w:val="auto"/>
                <w:highlight w:val="none"/>
              </w:rPr>
              <w:t>投标人（或联合体牵头人）</w:t>
            </w:r>
            <w:r>
              <w:rPr>
                <w:rFonts w:hint="eastAsia" w:ascii="Times New Roman" w:hAnsi="Times New Roman" w:cs="Times New Roman"/>
                <w:color w:val="auto"/>
                <w:highlight w:val="none"/>
                <w:lang w:eastAsia="zh-CN"/>
              </w:rPr>
              <w:t>2018</w:t>
            </w:r>
            <w:r>
              <w:rPr>
                <w:rFonts w:hint="default" w:ascii="Times New Roman" w:hAnsi="Times New Roman" w:cs="Times New Roman"/>
                <w:color w:val="auto"/>
                <w:highlight w:val="none"/>
              </w:rPr>
              <w:t>年</w:t>
            </w:r>
            <w:r>
              <w:rPr>
                <w:rFonts w:hint="eastAsia" w:ascii="Times New Roman" w:hAnsi="Times New Roman" w:cs="Times New Roman"/>
                <w:color w:val="auto"/>
                <w:highlight w:val="none"/>
                <w:lang w:eastAsia="zh-CN"/>
              </w:rPr>
              <w:t>1</w:t>
            </w:r>
            <w:r>
              <w:rPr>
                <w:rFonts w:hint="default" w:ascii="Times New Roman" w:hAnsi="Times New Roman" w:cs="Times New Roman"/>
                <w:color w:val="auto"/>
                <w:highlight w:val="none"/>
              </w:rPr>
              <w:t>月</w:t>
            </w:r>
            <w:r>
              <w:rPr>
                <w:rFonts w:hint="eastAsia" w:ascii="Times New Roman" w:hAnsi="Times New Roman" w:cs="Times New Roman"/>
                <w:color w:val="auto"/>
                <w:highlight w:val="none"/>
                <w:lang w:eastAsia="zh-CN"/>
              </w:rPr>
              <w:t>1</w:t>
            </w:r>
            <w:r>
              <w:rPr>
                <w:rFonts w:hint="default" w:ascii="Times New Roman" w:hAnsi="Times New Roman" w:cs="Times New Roman"/>
                <w:color w:val="auto"/>
                <w:highlight w:val="none"/>
              </w:rPr>
              <w:t>日至投标截止日累计承担政府部门或国央企委托代建管理项目累计总建筑面积：</w:t>
            </w:r>
          </w:p>
          <w:p>
            <w:pPr>
              <w:numPr>
                <w:ilvl w:val="0"/>
                <w:numId w:val="0"/>
              </w:numPr>
              <w:spacing w:line="360" w:lineRule="auto"/>
              <w:jc w:val="both"/>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100</w:t>
            </w:r>
            <w:r>
              <w:rPr>
                <w:rFonts w:hint="default" w:ascii="Times New Roman" w:hAnsi="Times New Roman" w:cs="Times New Roman"/>
                <w:color w:val="auto"/>
                <w:highlight w:val="none"/>
              </w:rPr>
              <w:t>万平方米≤总建筑面积＜</w:t>
            </w:r>
            <w:r>
              <w:rPr>
                <w:rFonts w:hint="eastAsia" w:ascii="Times New Roman" w:hAnsi="Times New Roman" w:cs="Times New Roman"/>
                <w:color w:val="auto"/>
                <w:highlight w:val="none"/>
                <w:lang w:eastAsia="zh-CN"/>
              </w:rPr>
              <w:t>200</w:t>
            </w:r>
            <w:r>
              <w:rPr>
                <w:rFonts w:hint="default" w:ascii="Times New Roman" w:hAnsi="Times New Roman" w:cs="Times New Roman"/>
                <w:color w:val="auto"/>
                <w:highlight w:val="none"/>
              </w:rPr>
              <w:t>万平方米，得</w:t>
            </w:r>
            <w:r>
              <w:rPr>
                <w:rFonts w:hint="eastAsia" w:ascii="Times New Roman" w:hAnsi="Times New Roman" w:cs="Times New Roman"/>
                <w:color w:val="auto"/>
                <w:highlight w:val="none"/>
                <w:lang w:eastAsia="zh-CN"/>
              </w:rPr>
              <w:t>2</w:t>
            </w:r>
            <w:r>
              <w:rPr>
                <w:rFonts w:hint="default" w:ascii="Times New Roman" w:hAnsi="Times New Roman" w:cs="Times New Roman"/>
                <w:color w:val="auto"/>
                <w:highlight w:val="none"/>
              </w:rPr>
              <w:t>分；</w:t>
            </w:r>
          </w:p>
          <w:p>
            <w:pPr>
              <w:numPr>
                <w:ilvl w:val="0"/>
                <w:numId w:val="0"/>
              </w:numPr>
              <w:spacing w:line="360" w:lineRule="auto"/>
              <w:jc w:val="both"/>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200</w:t>
            </w:r>
            <w:r>
              <w:rPr>
                <w:rFonts w:hint="default" w:ascii="Times New Roman" w:hAnsi="Times New Roman" w:cs="Times New Roman"/>
                <w:color w:val="auto"/>
                <w:highlight w:val="none"/>
              </w:rPr>
              <w:t>万平方米≤总建筑面积＜</w:t>
            </w:r>
            <w:r>
              <w:rPr>
                <w:rFonts w:hint="eastAsia" w:ascii="Times New Roman" w:hAnsi="Times New Roman" w:cs="Times New Roman"/>
                <w:color w:val="auto"/>
                <w:highlight w:val="none"/>
                <w:lang w:eastAsia="zh-CN"/>
              </w:rPr>
              <w:t>400</w:t>
            </w:r>
            <w:r>
              <w:rPr>
                <w:rFonts w:hint="default" w:ascii="Times New Roman" w:hAnsi="Times New Roman" w:cs="Times New Roman"/>
                <w:color w:val="auto"/>
                <w:highlight w:val="none"/>
              </w:rPr>
              <w:t>万平方米，得</w:t>
            </w:r>
            <w:r>
              <w:rPr>
                <w:rFonts w:hint="eastAsia" w:ascii="Times New Roman" w:hAnsi="Times New Roman" w:cs="Times New Roman"/>
                <w:color w:val="auto"/>
                <w:highlight w:val="none"/>
                <w:lang w:eastAsia="zh-CN"/>
              </w:rPr>
              <w:t>4</w:t>
            </w:r>
            <w:r>
              <w:rPr>
                <w:rFonts w:hint="default" w:ascii="Times New Roman" w:hAnsi="Times New Roman" w:cs="Times New Roman"/>
                <w:color w:val="auto"/>
                <w:highlight w:val="none"/>
              </w:rPr>
              <w:t>分；</w:t>
            </w:r>
          </w:p>
          <w:p>
            <w:pPr>
              <w:numPr>
                <w:ilvl w:val="0"/>
                <w:numId w:val="0"/>
              </w:numPr>
              <w:spacing w:line="360" w:lineRule="auto"/>
              <w:jc w:val="both"/>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400</w:t>
            </w:r>
            <w:r>
              <w:rPr>
                <w:rFonts w:hint="default" w:ascii="Times New Roman" w:hAnsi="Times New Roman" w:cs="Times New Roman"/>
                <w:color w:val="auto"/>
                <w:highlight w:val="none"/>
              </w:rPr>
              <w:t>万平方米≤总建筑面积＜</w:t>
            </w:r>
            <w:r>
              <w:rPr>
                <w:rFonts w:hint="eastAsia" w:ascii="Times New Roman" w:hAnsi="Times New Roman" w:cs="Times New Roman"/>
                <w:color w:val="auto"/>
                <w:highlight w:val="none"/>
                <w:lang w:eastAsia="zh-CN"/>
              </w:rPr>
              <w:t>600</w:t>
            </w:r>
            <w:r>
              <w:rPr>
                <w:rFonts w:hint="default" w:ascii="Times New Roman" w:hAnsi="Times New Roman" w:cs="Times New Roman"/>
                <w:color w:val="auto"/>
                <w:highlight w:val="none"/>
              </w:rPr>
              <w:t>万平方米，得</w:t>
            </w:r>
            <w:r>
              <w:rPr>
                <w:rFonts w:hint="eastAsia" w:ascii="Times New Roman" w:hAnsi="Times New Roman" w:cs="Times New Roman"/>
                <w:color w:val="auto"/>
                <w:highlight w:val="none"/>
                <w:lang w:eastAsia="zh-CN"/>
              </w:rPr>
              <w:t>6</w:t>
            </w:r>
            <w:r>
              <w:rPr>
                <w:rFonts w:hint="default" w:ascii="Times New Roman" w:hAnsi="Times New Roman" w:cs="Times New Roman"/>
                <w:color w:val="auto"/>
                <w:highlight w:val="none"/>
              </w:rPr>
              <w:t>分；</w:t>
            </w:r>
          </w:p>
          <w:p>
            <w:pPr>
              <w:numPr>
                <w:ilvl w:val="0"/>
                <w:numId w:val="0"/>
              </w:numPr>
              <w:spacing w:line="360" w:lineRule="auto"/>
              <w:jc w:val="both"/>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600</w:t>
            </w:r>
            <w:r>
              <w:rPr>
                <w:rFonts w:hint="default" w:ascii="Times New Roman" w:hAnsi="Times New Roman" w:cs="Times New Roman"/>
                <w:color w:val="auto"/>
                <w:highlight w:val="none"/>
              </w:rPr>
              <w:t>万平方米≤总建筑面积＜</w:t>
            </w:r>
            <w:r>
              <w:rPr>
                <w:rFonts w:hint="eastAsia" w:ascii="Times New Roman" w:hAnsi="Times New Roman" w:cs="Times New Roman"/>
                <w:color w:val="auto"/>
                <w:highlight w:val="none"/>
                <w:lang w:eastAsia="zh-CN"/>
              </w:rPr>
              <w:t>800</w:t>
            </w:r>
            <w:r>
              <w:rPr>
                <w:rFonts w:hint="default" w:ascii="Times New Roman" w:hAnsi="Times New Roman" w:cs="Times New Roman"/>
                <w:color w:val="auto"/>
                <w:highlight w:val="none"/>
              </w:rPr>
              <w:t>万平方米，得</w:t>
            </w:r>
            <w:r>
              <w:rPr>
                <w:rFonts w:hint="eastAsia" w:ascii="Times New Roman" w:hAnsi="Times New Roman" w:cs="Times New Roman"/>
                <w:color w:val="auto"/>
                <w:highlight w:val="none"/>
                <w:lang w:eastAsia="zh-CN"/>
              </w:rPr>
              <w:t>8</w:t>
            </w:r>
            <w:r>
              <w:rPr>
                <w:rFonts w:hint="default" w:ascii="Times New Roman" w:hAnsi="Times New Roman" w:cs="Times New Roman"/>
                <w:color w:val="auto"/>
                <w:highlight w:val="none"/>
              </w:rPr>
              <w:t>分；</w:t>
            </w:r>
          </w:p>
          <w:p>
            <w:pPr>
              <w:numPr>
                <w:ilvl w:val="0"/>
                <w:numId w:val="0"/>
              </w:numPr>
              <w:spacing w:line="360" w:lineRule="auto"/>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总建筑面积≥</w:t>
            </w:r>
            <w:r>
              <w:rPr>
                <w:rFonts w:hint="eastAsia" w:ascii="Times New Roman" w:hAnsi="Times New Roman" w:cs="Times New Roman"/>
                <w:color w:val="auto"/>
                <w:highlight w:val="none"/>
                <w:lang w:eastAsia="zh-CN"/>
              </w:rPr>
              <w:t>800</w:t>
            </w:r>
            <w:r>
              <w:rPr>
                <w:rFonts w:hint="default" w:ascii="Times New Roman" w:hAnsi="Times New Roman" w:cs="Times New Roman"/>
                <w:color w:val="auto"/>
                <w:highlight w:val="none"/>
              </w:rPr>
              <w:t>万平方米，得</w:t>
            </w:r>
            <w:r>
              <w:rPr>
                <w:rFonts w:hint="eastAsia" w:ascii="Times New Roman" w:hAnsi="Times New Roman" w:cs="Times New Roman"/>
                <w:color w:val="auto"/>
                <w:highlight w:val="none"/>
                <w:lang w:eastAsia="zh-CN"/>
              </w:rPr>
              <w:t>10</w:t>
            </w:r>
            <w:r>
              <w:rPr>
                <w:rFonts w:hint="default" w:ascii="Times New Roman" w:hAnsi="Times New Roman" w:cs="Times New Roman"/>
                <w:color w:val="auto"/>
                <w:highlight w:val="none"/>
              </w:rPr>
              <w:t>分。</w:t>
            </w:r>
          </w:p>
          <w:p>
            <w:pPr>
              <w:numPr>
                <w:ilvl w:val="0"/>
                <w:numId w:val="0"/>
              </w:numPr>
              <w:spacing w:line="360" w:lineRule="auto"/>
              <w:jc w:val="both"/>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eastAsia="zh-CN"/>
              </w:rPr>
              <w:t>（投标人需要提供</w:t>
            </w:r>
            <w:r>
              <w:rPr>
                <w:rFonts w:hint="default" w:ascii="Times New Roman" w:hAnsi="Times New Roman" w:cs="Times New Roman"/>
                <w:color w:val="auto"/>
                <w:highlight w:val="none"/>
              </w:rPr>
              <w:t>代建管理的中标通知书及代建合同复印件。项目业绩规模以提供的中标通知书或代建合同数据为准，业绩时间以合同签订日期为准，同一项目不得累计</w:t>
            </w:r>
            <w:r>
              <w:rPr>
                <w:rFonts w:hint="default" w:ascii="Times New Roman" w:hAnsi="Times New Roman" w:cs="Times New Roman"/>
                <w:color w:val="auto"/>
                <w:highlight w:val="none"/>
                <w:lang w:eastAsia="zh-CN"/>
              </w:rPr>
              <w:t>）</w:t>
            </w:r>
          </w:p>
          <w:p>
            <w:pPr>
              <w:numPr>
                <w:ilvl w:val="0"/>
                <w:numId w:val="49"/>
              </w:numPr>
              <w:spacing w:line="360" w:lineRule="auto"/>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投标人（或联合体牵头人）自 </w:t>
            </w:r>
            <w:r>
              <w:rPr>
                <w:rFonts w:hint="eastAsia" w:ascii="Times New Roman" w:hAnsi="Times New Roman" w:cs="Times New Roman"/>
                <w:color w:val="auto"/>
                <w:highlight w:val="none"/>
                <w:lang w:eastAsia="zh-CN"/>
              </w:rPr>
              <w:t>2018</w:t>
            </w:r>
            <w:r>
              <w:rPr>
                <w:rFonts w:hint="default" w:ascii="Times New Roman" w:hAnsi="Times New Roman" w:cs="Times New Roman"/>
                <w:color w:val="auto"/>
                <w:highlight w:val="none"/>
              </w:rPr>
              <w:t xml:space="preserve">年 </w:t>
            </w:r>
            <w:r>
              <w:rPr>
                <w:rFonts w:hint="eastAsia" w:ascii="Times New Roman" w:hAnsi="Times New Roman" w:cs="Times New Roman"/>
                <w:color w:val="auto"/>
                <w:highlight w:val="none"/>
                <w:lang w:eastAsia="zh-CN"/>
              </w:rPr>
              <w:t>1</w:t>
            </w:r>
            <w:r>
              <w:rPr>
                <w:rFonts w:hint="default" w:ascii="Times New Roman" w:hAnsi="Times New Roman" w:cs="Times New Roman"/>
                <w:color w:val="auto"/>
                <w:highlight w:val="none"/>
              </w:rPr>
              <w:t>月</w:t>
            </w:r>
            <w:r>
              <w:rPr>
                <w:rFonts w:hint="eastAsia" w:ascii="Times New Roman" w:hAnsi="Times New Roman" w:cs="Times New Roman"/>
                <w:color w:val="auto"/>
                <w:highlight w:val="none"/>
                <w:lang w:eastAsia="zh-CN"/>
              </w:rPr>
              <w:t>1</w:t>
            </w:r>
            <w:r>
              <w:rPr>
                <w:rFonts w:hint="default" w:ascii="Times New Roman" w:hAnsi="Times New Roman" w:cs="Times New Roman"/>
                <w:color w:val="auto"/>
                <w:highlight w:val="none"/>
              </w:rPr>
              <w:t>日以来，完成过单项合同建筑面积≥</w:t>
            </w:r>
            <w:r>
              <w:rPr>
                <w:rFonts w:hint="eastAsia" w:ascii="Times New Roman" w:hAnsi="Times New Roman" w:cs="Times New Roman"/>
                <w:color w:val="auto"/>
                <w:highlight w:val="none"/>
                <w:lang w:eastAsia="zh-CN"/>
              </w:rPr>
              <w:t>10</w:t>
            </w:r>
            <w:r>
              <w:rPr>
                <w:rFonts w:hint="default" w:ascii="Times New Roman" w:hAnsi="Times New Roman" w:cs="Times New Roman"/>
                <w:color w:val="auto"/>
                <w:highlight w:val="none"/>
              </w:rPr>
              <w:t xml:space="preserve"> 万平方米的房地产项目开发委托管理服务的有一项得</w:t>
            </w: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rPr>
              <w:t>分，满分</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lang w:val="en-US" w:eastAsia="zh-CN"/>
              </w:rPr>
              <w:t>分</w:t>
            </w:r>
            <w:r>
              <w:rPr>
                <w:rFonts w:hint="default" w:ascii="Times New Roman" w:hAnsi="Times New Roman" w:cs="Times New Roman"/>
                <w:color w:val="auto"/>
                <w:highlight w:val="none"/>
              </w:rPr>
              <w:t>。（不和上述累计的总建筑面积项目重复</w:t>
            </w:r>
            <w:r>
              <w:rPr>
                <w:rFonts w:hint="default" w:ascii="Times New Roman" w:hAnsi="Times New Roman" w:cs="Times New Roman"/>
                <w:color w:val="auto"/>
                <w:highlight w:val="none"/>
                <w:lang w:eastAsia="zh-CN"/>
              </w:rPr>
              <w:t>，投标人需要提供</w:t>
            </w:r>
            <w:r>
              <w:rPr>
                <w:rFonts w:hint="default" w:ascii="Times New Roman" w:hAnsi="Times New Roman" w:cs="Times New Roman"/>
                <w:color w:val="auto"/>
                <w:highlight w:val="none"/>
              </w:rPr>
              <w:t>代建管理的中标通知书及代建合同复印件。项目业绩规模以提供的中标通知书或代建合同数据为准，业绩时间以合同签订日期为准，同一项目不得累计）</w:t>
            </w:r>
          </w:p>
          <w:p>
            <w:pPr>
              <w:numPr>
                <w:ilvl w:val="0"/>
                <w:numId w:val="0"/>
              </w:numPr>
              <w:spacing w:line="360" w:lineRule="auto"/>
              <w:jc w:val="both"/>
              <w:rPr>
                <w:rFonts w:hint="default" w:ascii="Times New Roman" w:hAnsi="Times New Roman" w:eastAsia="宋体" w:cs="Times New Roman"/>
                <w:color w:val="auto"/>
                <w:kern w:val="0"/>
                <w:sz w:val="24"/>
                <w:szCs w:val="24"/>
                <w:highlight w:val="none"/>
                <w:lang w:val="en-US" w:eastAsia="zh-CN" w:bidi="ar-SA"/>
              </w:rPr>
            </w:pP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val="en-US" w:eastAsia="zh-CN"/>
              </w:rPr>
              <w:t>、</w:t>
            </w:r>
            <w:r>
              <w:rPr>
                <w:rFonts w:hint="default" w:ascii="Times New Roman" w:hAnsi="Times New Roman" w:cs="Times New Roman"/>
                <w:color w:val="auto"/>
                <w:highlight w:val="none"/>
              </w:rPr>
              <w:t xml:space="preserve">投标人（或联合体牵头人）自 </w:t>
            </w:r>
            <w:r>
              <w:rPr>
                <w:rFonts w:hint="eastAsia" w:ascii="Times New Roman" w:hAnsi="Times New Roman" w:cs="Times New Roman"/>
                <w:color w:val="auto"/>
                <w:highlight w:val="none"/>
                <w:lang w:eastAsia="zh-CN"/>
              </w:rPr>
              <w:t>2021</w:t>
            </w:r>
            <w:r>
              <w:rPr>
                <w:rFonts w:hint="default" w:ascii="Times New Roman" w:hAnsi="Times New Roman" w:cs="Times New Roman"/>
                <w:color w:val="auto"/>
                <w:highlight w:val="none"/>
              </w:rPr>
              <w:t>年</w:t>
            </w:r>
            <w:r>
              <w:rPr>
                <w:rFonts w:hint="eastAsia" w:ascii="Times New Roman" w:hAnsi="Times New Roman" w:cs="Times New Roman"/>
                <w:color w:val="auto"/>
                <w:highlight w:val="none"/>
                <w:lang w:eastAsia="zh-CN"/>
              </w:rPr>
              <w:t>1</w:t>
            </w:r>
            <w:r>
              <w:rPr>
                <w:rFonts w:hint="default" w:ascii="Times New Roman" w:hAnsi="Times New Roman" w:cs="Times New Roman"/>
                <w:color w:val="auto"/>
                <w:highlight w:val="none"/>
              </w:rPr>
              <w:t>月</w:t>
            </w:r>
            <w:r>
              <w:rPr>
                <w:rFonts w:hint="eastAsia" w:ascii="Times New Roman" w:hAnsi="Times New Roman" w:cs="Times New Roman"/>
                <w:color w:val="auto"/>
                <w:highlight w:val="none"/>
                <w:lang w:eastAsia="zh-CN"/>
              </w:rPr>
              <w:t>1</w:t>
            </w:r>
            <w:r>
              <w:rPr>
                <w:rFonts w:hint="default" w:ascii="Times New Roman" w:hAnsi="Times New Roman" w:cs="Times New Roman"/>
                <w:color w:val="auto"/>
                <w:highlight w:val="none"/>
              </w:rPr>
              <w:t xml:space="preserve"> 日至投标截止日止（以获奖文件日期为准）完成过的代建项目，获得中国施工企业协会颁发的“国家级优质工程奖项”的得 </w:t>
            </w:r>
            <w:r>
              <w:rPr>
                <w:rFonts w:hint="eastAsia" w:ascii="Times New Roman" w:hAnsi="Times New Roman" w:cs="Times New Roman"/>
                <w:color w:val="auto"/>
                <w:highlight w:val="none"/>
                <w:lang w:eastAsia="zh-CN"/>
              </w:rPr>
              <w:t>3</w:t>
            </w:r>
            <w:r>
              <w:rPr>
                <w:rFonts w:hint="default" w:ascii="Times New Roman" w:hAnsi="Times New Roman" w:cs="Times New Roman"/>
                <w:color w:val="auto"/>
                <w:highlight w:val="none"/>
              </w:rPr>
              <w:t>分，其余不得分；</w:t>
            </w:r>
            <w:r>
              <w:rPr>
                <w:rFonts w:hint="default" w:ascii="Times New Roman" w:hAnsi="Times New Roman" w:cs="Times New Roman"/>
                <w:color w:val="auto"/>
                <w:highlight w:val="none"/>
                <w:lang w:eastAsia="zh-CN"/>
              </w:rPr>
              <w:t>（投标人需要</w:t>
            </w:r>
            <w:r>
              <w:rPr>
                <w:rFonts w:hint="default" w:ascii="Times New Roman" w:hAnsi="Times New Roman" w:cs="Times New Roman"/>
                <w:color w:val="auto"/>
                <w:highlight w:val="none"/>
              </w:rPr>
              <w:t>同时提供①行政主管部门或行业协会颁发的获奖证书或官网公布的获奖文件复印件加盖公章；②代建合同复印件加盖公章；③中标通知书复印件加盖公章。注：限评一个项目，同一项目只计最高分</w:t>
            </w:r>
            <w:r>
              <w:rPr>
                <w:rFonts w:hint="default" w:ascii="Times New Roman" w:hAnsi="Times New Roman" w:cs="Times New Roman"/>
                <w:color w:val="auto"/>
                <w:highlight w:val="none"/>
                <w:lang w:eastAsia="zh-CN"/>
              </w:rPr>
              <w:t>）</w:t>
            </w:r>
          </w:p>
        </w:tc>
      </w:tr>
    </w:tbl>
    <w:p>
      <w:pPr>
        <w:pStyle w:val="21"/>
        <w:numPr>
          <w:ilvl w:val="0"/>
          <w:numId w:val="0"/>
        </w:numPr>
        <w:spacing w:line="360" w:lineRule="auto"/>
        <w:rPr>
          <w:rFonts w:hint="default" w:ascii="宋体" w:hAnsi="宋体" w:eastAsia="宋体" w:cs="宋体"/>
          <w:color w:val="auto"/>
          <w:sz w:val="36"/>
          <w:highlight w:val="none"/>
          <w:lang w:val="en-US" w:eastAsia="zh-CN"/>
        </w:rPr>
      </w:pPr>
    </w:p>
    <w:p>
      <w:pPr>
        <w:pStyle w:val="21"/>
        <w:numPr>
          <w:ilvl w:val="0"/>
          <w:numId w:val="0"/>
        </w:numPr>
        <w:spacing w:line="360" w:lineRule="auto"/>
        <w:rPr>
          <w:rFonts w:ascii="宋体" w:hAnsi="宋体" w:cs="宋体"/>
          <w:color w:val="auto"/>
          <w:sz w:val="36"/>
          <w:highlight w:val="none"/>
        </w:rPr>
      </w:pPr>
    </w:p>
    <w:p>
      <w:pPr>
        <w:pStyle w:val="7"/>
        <w:spacing w:line="360" w:lineRule="auto"/>
        <w:jc w:val="both"/>
        <w:rPr>
          <w:rFonts w:hint="eastAsia" w:ascii="宋体" w:hAnsi="宋体" w:cs="宋体"/>
          <w:color w:val="auto"/>
          <w:sz w:val="36"/>
          <w:highlight w:val="none"/>
        </w:rPr>
      </w:pPr>
    </w:p>
    <w:p>
      <w:pPr>
        <w:rPr>
          <w:rFonts w:hint="eastAsia" w:ascii="宋体" w:hAnsi="宋体" w:cs="宋体"/>
          <w:color w:val="auto"/>
          <w:sz w:val="36"/>
          <w:highlight w:val="none"/>
        </w:rPr>
      </w:pPr>
      <w:r>
        <w:rPr>
          <w:rFonts w:hint="eastAsia" w:ascii="宋体" w:hAnsi="宋体" w:cs="宋体"/>
          <w:color w:val="auto"/>
          <w:sz w:val="36"/>
          <w:highlight w:val="none"/>
        </w:rPr>
        <w:br w:type="page"/>
      </w:r>
    </w:p>
    <w:p>
      <w:pPr>
        <w:pStyle w:val="7"/>
        <w:spacing w:line="360" w:lineRule="auto"/>
        <w:rPr>
          <w:rFonts w:ascii="宋体" w:hAnsi="宋体" w:cs="宋体"/>
          <w:color w:val="auto"/>
          <w:sz w:val="36"/>
          <w:highlight w:val="none"/>
        </w:rPr>
      </w:pPr>
      <w:bookmarkStart w:id="178" w:name="_Toc16196"/>
      <w:r>
        <w:rPr>
          <w:rFonts w:hint="eastAsia" w:ascii="宋体" w:hAnsi="宋体" w:cs="宋体"/>
          <w:color w:val="auto"/>
          <w:sz w:val="36"/>
          <w:highlight w:val="none"/>
        </w:rPr>
        <w:t>第六章、投标文件格式</w:t>
      </w:r>
      <w:bookmarkEnd w:id="176"/>
      <w:bookmarkEnd w:id="177"/>
      <w:bookmarkEnd w:id="178"/>
    </w:p>
    <w:p>
      <w:pPr>
        <w:pageBreakBefore w:val="0"/>
        <w:kinsoku/>
        <w:wordWrap/>
        <w:overflowPunct/>
        <w:topLinePunct w:val="0"/>
        <w:bidi w:val="0"/>
        <w:spacing w:line="360" w:lineRule="auto"/>
        <w:jc w:val="center"/>
        <w:outlineLvl w:val="9"/>
        <w:rPr>
          <w:rFonts w:ascii="宋体" w:hAnsi="宋体" w:cs="宋体"/>
          <w:b/>
          <w:color w:val="auto"/>
          <w:sz w:val="36"/>
          <w:highlight w:val="none"/>
        </w:rPr>
      </w:pPr>
    </w:p>
    <w:p>
      <w:pPr>
        <w:pageBreakBefore w:val="0"/>
        <w:kinsoku/>
        <w:wordWrap/>
        <w:overflowPunct/>
        <w:topLinePunct w:val="0"/>
        <w:bidi w:val="0"/>
        <w:spacing w:line="360" w:lineRule="auto"/>
        <w:jc w:val="center"/>
        <w:outlineLvl w:val="9"/>
        <w:rPr>
          <w:rFonts w:ascii="宋体" w:hAnsi="宋体" w:cs="宋体"/>
          <w:b/>
          <w:color w:val="auto"/>
          <w:sz w:val="36"/>
          <w:highlight w:val="none"/>
        </w:rPr>
      </w:pPr>
    </w:p>
    <w:p>
      <w:pPr>
        <w:pageBreakBefore w:val="0"/>
        <w:kinsoku/>
        <w:wordWrap/>
        <w:overflowPunct/>
        <w:topLinePunct w:val="0"/>
        <w:bidi w:val="0"/>
        <w:spacing w:line="360" w:lineRule="auto"/>
        <w:jc w:val="center"/>
        <w:outlineLvl w:val="9"/>
        <w:rPr>
          <w:rFonts w:ascii="宋体" w:hAnsi="宋体" w:cs="宋体"/>
          <w:b/>
          <w:color w:val="auto"/>
          <w:sz w:val="72"/>
          <w:highlight w:val="none"/>
        </w:rPr>
      </w:pPr>
      <w:bookmarkStart w:id="179" w:name="_Toc5899"/>
      <w:bookmarkStart w:id="180" w:name="_Toc9964"/>
      <w:r>
        <w:rPr>
          <w:rFonts w:hint="eastAsia" w:ascii="宋体" w:hAnsi="宋体" w:cs="宋体"/>
          <w:b/>
          <w:color w:val="auto"/>
          <w:sz w:val="72"/>
          <w:highlight w:val="none"/>
        </w:rPr>
        <w:t>投  标  文  件</w:t>
      </w:r>
      <w:bookmarkEnd w:id="179"/>
      <w:bookmarkEnd w:id="180"/>
    </w:p>
    <w:p>
      <w:pPr>
        <w:pageBreakBefore w:val="0"/>
        <w:kinsoku/>
        <w:wordWrap/>
        <w:overflowPunct/>
        <w:topLinePunct w:val="0"/>
        <w:bidi w:val="0"/>
        <w:spacing w:line="360" w:lineRule="auto"/>
        <w:jc w:val="center"/>
        <w:outlineLvl w:val="9"/>
        <w:rPr>
          <w:rFonts w:ascii="宋体" w:hAnsi="宋体" w:cs="宋体"/>
          <w:b/>
          <w:color w:val="auto"/>
          <w:sz w:val="36"/>
          <w:highlight w:val="none"/>
        </w:rPr>
      </w:pPr>
    </w:p>
    <w:p>
      <w:pPr>
        <w:pageBreakBefore w:val="0"/>
        <w:kinsoku/>
        <w:wordWrap/>
        <w:overflowPunct/>
        <w:topLinePunct w:val="0"/>
        <w:bidi w:val="0"/>
        <w:spacing w:line="360" w:lineRule="auto"/>
        <w:jc w:val="center"/>
        <w:outlineLvl w:val="9"/>
        <w:rPr>
          <w:rFonts w:ascii="宋体" w:hAnsi="宋体" w:cs="宋体"/>
          <w:b/>
          <w:color w:val="auto"/>
          <w:sz w:val="36"/>
          <w:highlight w:val="none"/>
        </w:rPr>
      </w:pPr>
    </w:p>
    <w:p>
      <w:pPr>
        <w:pageBreakBefore w:val="0"/>
        <w:kinsoku/>
        <w:wordWrap/>
        <w:overflowPunct/>
        <w:topLinePunct w:val="0"/>
        <w:bidi w:val="0"/>
        <w:spacing w:line="360" w:lineRule="auto"/>
        <w:jc w:val="center"/>
        <w:outlineLvl w:val="9"/>
        <w:rPr>
          <w:rFonts w:ascii="宋体" w:hAnsi="宋体" w:cs="宋体"/>
          <w:b/>
          <w:color w:val="auto"/>
          <w:sz w:val="36"/>
          <w:highlight w:val="none"/>
        </w:rPr>
      </w:pPr>
    </w:p>
    <w:p>
      <w:pPr>
        <w:pStyle w:val="21"/>
        <w:pageBreakBefore w:val="0"/>
        <w:numPr>
          <w:ilvl w:val="0"/>
          <w:numId w:val="0"/>
        </w:numPr>
        <w:kinsoku/>
        <w:wordWrap/>
        <w:overflowPunct/>
        <w:topLinePunct w:val="0"/>
        <w:bidi w:val="0"/>
        <w:spacing w:line="360" w:lineRule="auto"/>
        <w:ind w:left="780" w:hanging="360"/>
        <w:outlineLvl w:val="9"/>
        <w:rPr>
          <w:rFonts w:ascii="宋体" w:hAnsi="宋体" w:cs="宋体"/>
          <w:color w:val="auto"/>
          <w:highlight w:val="none"/>
        </w:rPr>
      </w:pPr>
    </w:p>
    <w:p>
      <w:pPr>
        <w:pStyle w:val="21"/>
        <w:pageBreakBefore w:val="0"/>
        <w:numPr>
          <w:ilvl w:val="0"/>
          <w:numId w:val="0"/>
        </w:numPr>
        <w:kinsoku/>
        <w:wordWrap/>
        <w:overflowPunct/>
        <w:topLinePunct w:val="0"/>
        <w:bidi w:val="0"/>
        <w:spacing w:line="360" w:lineRule="auto"/>
        <w:ind w:left="780" w:hanging="360"/>
        <w:outlineLvl w:val="9"/>
        <w:rPr>
          <w:rFonts w:ascii="宋体" w:hAnsi="宋体" w:cs="宋体"/>
          <w:color w:val="auto"/>
          <w:highlight w:val="none"/>
        </w:rPr>
      </w:pPr>
    </w:p>
    <w:p>
      <w:pPr>
        <w:pStyle w:val="21"/>
        <w:pageBreakBefore w:val="0"/>
        <w:numPr>
          <w:ilvl w:val="0"/>
          <w:numId w:val="0"/>
        </w:numPr>
        <w:kinsoku/>
        <w:wordWrap/>
        <w:overflowPunct/>
        <w:topLinePunct w:val="0"/>
        <w:bidi w:val="0"/>
        <w:spacing w:line="360" w:lineRule="auto"/>
        <w:ind w:left="780" w:hanging="360"/>
        <w:outlineLvl w:val="9"/>
        <w:rPr>
          <w:rFonts w:ascii="宋体" w:hAnsi="宋体" w:cs="宋体"/>
          <w:color w:val="auto"/>
          <w:highlight w:val="none"/>
        </w:rPr>
      </w:pPr>
    </w:p>
    <w:p>
      <w:pPr>
        <w:pStyle w:val="21"/>
        <w:pageBreakBefore w:val="0"/>
        <w:numPr>
          <w:ilvl w:val="0"/>
          <w:numId w:val="0"/>
        </w:numPr>
        <w:kinsoku/>
        <w:wordWrap/>
        <w:overflowPunct/>
        <w:topLinePunct w:val="0"/>
        <w:bidi w:val="0"/>
        <w:spacing w:line="360" w:lineRule="auto"/>
        <w:ind w:left="780" w:hanging="360"/>
        <w:outlineLvl w:val="9"/>
        <w:rPr>
          <w:rFonts w:ascii="宋体" w:hAnsi="宋体" w:cs="宋体"/>
          <w:color w:val="auto"/>
          <w:highlight w:val="none"/>
        </w:rPr>
      </w:pPr>
    </w:p>
    <w:p>
      <w:pPr>
        <w:pageBreakBefore w:val="0"/>
        <w:kinsoku/>
        <w:wordWrap/>
        <w:overflowPunct/>
        <w:topLinePunct w:val="0"/>
        <w:bidi w:val="0"/>
        <w:spacing w:line="360" w:lineRule="auto"/>
        <w:ind w:firstLine="1084" w:firstLineChars="300"/>
        <w:outlineLvl w:val="9"/>
        <w:rPr>
          <w:rFonts w:ascii="宋体" w:hAnsi="宋体" w:cs="宋体"/>
          <w:b/>
          <w:color w:val="auto"/>
          <w:sz w:val="36"/>
          <w:highlight w:val="none"/>
          <w:u w:val="single"/>
        </w:rPr>
      </w:pPr>
      <w:bookmarkStart w:id="181" w:name="_Toc24327"/>
      <w:bookmarkStart w:id="182" w:name="_Toc23328"/>
      <w:r>
        <w:rPr>
          <w:rFonts w:hint="eastAsia" w:ascii="宋体" w:hAnsi="宋体" w:cs="宋体"/>
          <w:b/>
          <w:color w:val="auto"/>
          <w:sz w:val="36"/>
          <w:highlight w:val="none"/>
        </w:rPr>
        <w:t>项 目 名 称：</w:t>
      </w:r>
      <w:bookmarkEnd w:id="181"/>
      <w:bookmarkEnd w:id="182"/>
    </w:p>
    <w:p>
      <w:pPr>
        <w:pageBreakBefore w:val="0"/>
        <w:kinsoku/>
        <w:wordWrap/>
        <w:overflowPunct/>
        <w:topLinePunct w:val="0"/>
        <w:bidi w:val="0"/>
        <w:spacing w:line="360" w:lineRule="auto"/>
        <w:ind w:firstLine="1084" w:firstLineChars="300"/>
        <w:outlineLvl w:val="9"/>
        <w:rPr>
          <w:rFonts w:ascii="宋体" w:hAnsi="宋体" w:cs="宋体"/>
          <w:b/>
          <w:color w:val="auto"/>
          <w:sz w:val="36"/>
          <w:highlight w:val="none"/>
          <w:u w:val="single"/>
        </w:rPr>
      </w:pPr>
      <w:bookmarkStart w:id="183" w:name="_Toc4482"/>
      <w:bookmarkStart w:id="184" w:name="_Toc9413"/>
      <w:r>
        <w:rPr>
          <w:rFonts w:hint="eastAsia" w:ascii="宋体" w:hAnsi="宋体" w:cs="宋体"/>
          <w:b/>
          <w:color w:val="auto"/>
          <w:sz w:val="36"/>
          <w:highlight w:val="none"/>
        </w:rPr>
        <w:t>编       号：</w:t>
      </w:r>
      <w:bookmarkEnd w:id="183"/>
      <w:bookmarkEnd w:id="184"/>
    </w:p>
    <w:p>
      <w:pPr>
        <w:pageBreakBefore w:val="0"/>
        <w:kinsoku/>
        <w:wordWrap/>
        <w:overflowPunct/>
        <w:topLinePunct w:val="0"/>
        <w:bidi w:val="0"/>
        <w:spacing w:line="360" w:lineRule="auto"/>
        <w:outlineLvl w:val="9"/>
        <w:rPr>
          <w:rFonts w:ascii="宋体" w:hAnsi="宋体" w:cs="宋体"/>
          <w:b/>
          <w:color w:val="auto"/>
          <w:sz w:val="36"/>
          <w:highlight w:val="none"/>
          <w:u w:val="single"/>
        </w:rPr>
      </w:pPr>
      <w:r>
        <w:rPr>
          <w:rFonts w:hint="eastAsia" w:ascii="宋体" w:hAnsi="宋体" w:cs="宋体"/>
          <w:b/>
          <w:color w:val="auto"/>
          <w:sz w:val="36"/>
          <w:highlight w:val="none"/>
        </w:rPr>
        <w:t xml:space="preserve">      </w:t>
      </w:r>
      <w:bookmarkStart w:id="185" w:name="_Toc4315"/>
      <w:bookmarkStart w:id="186" w:name="_Toc26650"/>
      <w:r>
        <w:rPr>
          <w:rFonts w:hint="eastAsia" w:ascii="宋体" w:hAnsi="宋体" w:cs="宋体"/>
          <w:b/>
          <w:color w:val="auto"/>
          <w:sz w:val="36"/>
          <w:highlight w:val="none"/>
        </w:rPr>
        <w:t>投标人名称 ：</w:t>
      </w:r>
      <w:bookmarkEnd w:id="185"/>
      <w:bookmarkEnd w:id="186"/>
    </w:p>
    <w:p>
      <w:pPr>
        <w:pageBreakBefore w:val="0"/>
        <w:kinsoku/>
        <w:wordWrap/>
        <w:overflowPunct/>
        <w:topLinePunct w:val="0"/>
        <w:bidi w:val="0"/>
        <w:spacing w:line="360" w:lineRule="auto"/>
        <w:outlineLvl w:val="9"/>
        <w:rPr>
          <w:rFonts w:ascii="宋体" w:hAnsi="宋体" w:cs="宋体"/>
          <w:b/>
          <w:color w:val="auto"/>
          <w:sz w:val="36"/>
          <w:highlight w:val="none"/>
        </w:rPr>
      </w:pPr>
      <w:r>
        <w:rPr>
          <w:rFonts w:hint="eastAsia" w:ascii="宋体" w:hAnsi="宋体" w:cs="宋体"/>
          <w:b/>
          <w:color w:val="auto"/>
          <w:sz w:val="36"/>
          <w:highlight w:val="none"/>
        </w:rPr>
        <w:t xml:space="preserve">      </w:t>
      </w:r>
      <w:bookmarkStart w:id="187" w:name="_Toc4468"/>
      <w:bookmarkStart w:id="188" w:name="_Toc24295"/>
      <w:r>
        <w:rPr>
          <w:rFonts w:hint="eastAsia" w:ascii="宋体" w:hAnsi="宋体" w:cs="宋体"/>
          <w:b/>
          <w:color w:val="auto"/>
          <w:sz w:val="36"/>
          <w:highlight w:val="none"/>
        </w:rPr>
        <w:t>日      期 ：</w:t>
      </w:r>
      <w:bookmarkEnd w:id="187"/>
      <w:bookmarkEnd w:id="188"/>
    </w:p>
    <w:p>
      <w:pPr>
        <w:pStyle w:val="17"/>
        <w:pageBreakBefore w:val="0"/>
        <w:kinsoku/>
        <w:wordWrap/>
        <w:overflowPunct/>
        <w:topLinePunct w:val="0"/>
        <w:bidi w:val="0"/>
        <w:spacing w:line="360" w:lineRule="auto"/>
        <w:outlineLvl w:val="9"/>
        <w:rPr>
          <w:color w:val="auto"/>
          <w:highlight w:val="none"/>
        </w:rPr>
      </w:pPr>
    </w:p>
    <w:p>
      <w:pPr>
        <w:pageBreakBefore w:val="0"/>
        <w:kinsoku/>
        <w:wordWrap/>
        <w:overflowPunct/>
        <w:topLinePunct w:val="0"/>
        <w:autoSpaceDE w:val="0"/>
        <w:autoSpaceDN w:val="0"/>
        <w:bidi w:val="0"/>
        <w:adjustRightInd w:val="0"/>
        <w:spacing w:line="360" w:lineRule="auto"/>
        <w:outlineLvl w:val="9"/>
        <w:rPr>
          <w:rFonts w:ascii="宋体" w:hAnsi="宋体"/>
          <w:b/>
          <w:bCs/>
          <w:color w:val="auto"/>
          <w:sz w:val="28"/>
          <w:szCs w:val="28"/>
          <w:highlight w:val="none"/>
        </w:rPr>
      </w:pPr>
      <w:r>
        <w:rPr>
          <w:rFonts w:hint="eastAsia" w:ascii="宋体" w:hAnsi="宋体" w:cs="宋体"/>
          <w:b/>
          <w:bCs/>
          <w:color w:val="auto"/>
          <w:sz w:val="28"/>
          <w:szCs w:val="28"/>
          <w:highlight w:val="none"/>
          <w:lang w:val="zh-CN"/>
        </w:rPr>
        <w:t>说明：</w:t>
      </w:r>
    </w:p>
    <w:p>
      <w:pPr>
        <w:pageBreakBefore w:val="0"/>
        <w:kinsoku/>
        <w:wordWrap/>
        <w:overflowPunct/>
        <w:topLinePunct w:val="0"/>
        <w:bidi w:val="0"/>
        <w:spacing w:line="360" w:lineRule="auto"/>
        <w:ind w:firstLine="562" w:firstLineChars="200"/>
        <w:outlineLvl w:val="9"/>
        <w:rPr>
          <w:color w:val="auto"/>
          <w:highlight w:val="none"/>
        </w:rPr>
      </w:pPr>
      <w:r>
        <w:rPr>
          <w:rFonts w:hint="eastAsia" w:ascii="宋体" w:hAnsi="宋体" w:cs="宋体"/>
          <w:b/>
          <w:bCs/>
          <w:color w:val="auto"/>
          <w:sz w:val="28"/>
          <w:szCs w:val="28"/>
          <w:highlight w:val="none"/>
          <w:lang w:val="zh-CN"/>
        </w:rPr>
        <w:t>对本章所有的投标文件格式 ，投标人可根据自身情况进行补充和修改，但补充和修改不得造成与本格式内容有实质性的违背。</w:t>
      </w:r>
    </w:p>
    <w:p>
      <w:pPr>
        <w:pStyle w:val="26"/>
        <w:pageBreakBefore w:val="0"/>
        <w:kinsoku/>
        <w:wordWrap/>
        <w:overflowPunct/>
        <w:topLinePunct w:val="0"/>
        <w:bidi w:val="0"/>
        <w:spacing w:line="360" w:lineRule="auto"/>
        <w:outlineLvl w:val="9"/>
        <w:rPr>
          <w:color w:val="auto"/>
          <w:highlight w:val="none"/>
        </w:rPr>
      </w:pPr>
    </w:p>
    <w:p>
      <w:pPr>
        <w:pageBreakBefore w:val="0"/>
        <w:kinsoku/>
        <w:wordWrap/>
        <w:overflowPunct/>
        <w:topLinePunct w:val="0"/>
        <w:bidi w:val="0"/>
        <w:outlineLvl w:val="9"/>
        <w:rPr>
          <w:rFonts w:hint="eastAsia" w:ascii="宋体" w:hAnsi="宋体" w:cs="宋体"/>
          <w:b/>
          <w:color w:val="auto"/>
          <w:szCs w:val="21"/>
          <w:highlight w:val="none"/>
        </w:rPr>
      </w:pPr>
      <w:bookmarkStart w:id="189" w:name="_Toc8524"/>
      <w:r>
        <w:rPr>
          <w:rFonts w:hint="eastAsia" w:ascii="宋体" w:hAnsi="宋体" w:cs="宋体"/>
          <w:b/>
          <w:color w:val="auto"/>
          <w:szCs w:val="21"/>
          <w:highlight w:val="none"/>
        </w:rPr>
        <w:br w:type="page"/>
      </w:r>
    </w:p>
    <w:p>
      <w:pPr>
        <w:pageBreakBefore w:val="0"/>
        <w:kinsoku/>
        <w:wordWrap/>
        <w:overflowPunct/>
        <w:topLinePunct w:val="0"/>
        <w:bidi w:val="0"/>
        <w:spacing w:beforeLines="100" w:afterLines="100" w:line="360" w:lineRule="auto"/>
        <w:jc w:val="center"/>
        <w:outlineLvl w:val="9"/>
        <w:rPr>
          <w:rFonts w:ascii="宋体" w:hAnsi="宋体" w:cs="宋体"/>
          <w:b/>
          <w:color w:val="auto"/>
          <w:szCs w:val="21"/>
          <w:highlight w:val="none"/>
        </w:rPr>
      </w:pPr>
      <w:bookmarkStart w:id="190" w:name="_Toc31926"/>
      <w:r>
        <w:rPr>
          <w:rFonts w:hint="eastAsia" w:ascii="宋体" w:hAnsi="宋体" w:cs="宋体"/>
          <w:b/>
          <w:color w:val="auto"/>
          <w:szCs w:val="21"/>
          <w:highlight w:val="none"/>
        </w:rPr>
        <w:t>评分索引表</w:t>
      </w:r>
      <w:bookmarkEnd w:id="189"/>
      <w:bookmarkEnd w:id="190"/>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70" w:type="dxa"/>
            <w:tcBorders>
              <w:top w:val="single" w:color="auto" w:sz="4" w:space="0"/>
              <w:left w:val="single" w:color="auto" w:sz="4" w:space="0"/>
              <w:bottom w:val="single" w:color="auto" w:sz="4" w:space="0"/>
              <w:right w:val="single" w:color="auto" w:sz="4" w:space="0"/>
            </w:tcBorders>
            <w:vAlign w:val="center"/>
          </w:tcPr>
          <w:p>
            <w:pPr>
              <w:pStyle w:val="66"/>
              <w:pageBreakBefore w:val="0"/>
              <w:shd w:val="clear" w:color="auto" w:fill="FFFFFF"/>
              <w:kinsoku/>
              <w:wordWrap/>
              <w:overflowPunct/>
              <w:topLinePunct w:val="0"/>
              <w:bidi w:val="0"/>
              <w:spacing w:line="360" w:lineRule="auto"/>
              <w:ind w:left="420"/>
              <w:jc w:val="center"/>
              <w:outlineLvl w:val="9"/>
              <w:rPr>
                <w:rFonts w:ascii="宋体" w:hAnsi="宋体" w:cs="宋体"/>
                <w:b/>
                <w:bCs/>
                <w:color w:val="auto"/>
                <w:kern w:val="2"/>
                <w:sz w:val="21"/>
                <w:szCs w:val="21"/>
                <w:highlight w:val="none"/>
                <w:lang w:eastAsia="zh-CN"/>
              </w:rPr>
            </w:pPr>
            <w:r>
              <w:rPr>
                <w:rFonts w:hint="eastAsia" w:ascii="宋体" w:hAnsi="宋体" w:cs="宋体"/>
                <w:b/>
                <w:color w:val="auto"/>
                <w:kern w:val="2"/>
                <w:sz w:val="21"/>
                <w:szCs w:val="21"/>
                <w:highlight w:val="none"/>
              </w:rPr>
              <w:t>评分项目</w:t>
            </w:r>
          </w:p>
        </w:tc>
        <w:tc>
          <w:tcPr>
            <w:tcW w:w="357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after="200" w:line="360" w:lineRule="auto"/>
              <w:jc w:val="center"/>
              <w:outlineLvl w:val="9"/>
              <w:rPr>
                <w:rFonts w:ascii="宋体" w:hAnsi="宋体" w:cs="宋体"/>
                <w:b/>
                <w:color w:val="auto"/>
                <w:szCs w:val="21"/>
                <w:highlight w:val="none"/>
              </w:rPr>
            </w:pPr>
            <w:r>
              <w:rPr>
                <w:rFonts w:hint="eastAsia" w:ascii="宋体" w:hAnsi="宋体" w:cs="宋体"/>
                <w:b/>
                <w:color w:val="auto"/>
                <w:szCs w:val="21"/>
                <w:highlight w:val="none"/>
                <w:lang w:bidi="en-US"/>
              </w:rPr>
              <w:t>在投标文件中的页码位置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70" w:type="dxa"/>
            <w:tcBorders>
              <w:top w:val="single" w:color="auto" w:sz="4" w:space="0"/>
              <w:left w:val="single" w:color="auto" w:sz="4" w:space="0"/>
              <w:bottom w:val="single" w:color="auto" w:sz="4" w:space="0"/>
              <w:right w:val="single" w:color="auto" w:sz="4" w:space="0"/>
            </w:tcBorders>
            <w:vAlign w:val="center"/>
          </w:tcPr>
          <w:p>
            <w:pPr>
              <w:pStyle w:val="66"/>
              <w:pageBreakBefore w:val="0"/>
              <w:shd w:val="clear" w:color="auto" w:fill="FFFFFF"/>
              <w:kinsoku/>
              <w:wordWrap/>
              <w:overflowPunct/>
              <w:topLinePunct w:val="0"/>
              <w:bidi w:val="0"/>
              <w:spacing w:line="360" w:lineRule="auto"/>
              <w:ind w:left="420"/>
              <w:jc w:val="center"/>
              <w:outlineLvl w:val="9"/>
              <w:rPr>
                <w:rFonts w:ascii="宋体" w:hAnsi="宋体" w:cs="宋体"/>
                <w:b/>
                <w:color w:val="auto"/>
                <w:kern w:val="2"/>
                <w:highlight w:val="none"/>
                <w:lang w:eastAsia="zh-CN"/>
              </w:rPr>
            </w:pPr>
          </w:p>
        </w:tc>
        <w:tc>
          <w:tcPr>
            <w:tcW w:w="357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after="200" w:line="360" w:lineRule="auto"/>
              <w:jc w:val="center"/>
              <w:outlineLvl w:val="9"/>
              <w:rPr>
                <w:rFonts w:ascii="宋体" w:hAnsi="宋体" w:cs="宋体"/>
                <w:b/>
                <w:color w:val="auto"/>
                <w:sz w:val="24"/>
                <w:highlight w:val="none"/>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240" w:type="dxa"/>
            <w:gridSpan w:val="2"/>
            <w:tcBorders>
              <w:top w:val="single" w:color="auto" w:sz="4" w:space="0"/>
              <w:left w:val="single" w:color="auto" w:sz="4" w:space="0"/>
              <w:bottom w:val="single" w:color="auto" w:sz="4" w:space="0"/>
              <w:right w:val="single" w:color="auto" w:sz="4" w:space="0"/>
            </w:tcBorders>
            <w:vAlign w:val="center"/>
          </w:tcPr>
          <w:p>
            <w:pPr>
              <w:pStyle w:val="66"/>
              <w:pageBreakBefore w:val="0"/>
              <w:shd w:val="clear" w:color="auto" w:fill="FFFFFF"/>
              <w:kinsoku/>
              <w:wordWrap/>
              <w:overflowPunct/>
              <w:topLinePunct w:val="0"/>
              <w:bidi w:val="0"/>
              <w:spacing w:line="360" w:lineRule="auto"/>
              <w:ind w:left="420"/>
              <w:jc w:val="center"/>
              <w:outlineLvl w:val="9"/>
              <w:rPr>
                <w:rFonts w:ascii="宋体" w:hAnsi="宋体" w:cs="宋体"/>
                <w:color w:val="auto"/>
                <w:kern w:val="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70" w:type="dxa"/>
            <w:tcBorders>
              <w:top w:val="single" w:color="auto" w:sz="4" w:space="0"/>
              <w:left w:val="single" w:color="auto" w:sz="4" w:space="0"/>
              <w:bottom w:val="single" w:color="auto" w:sz="4" w:space="0"/>
              <w:right w:val="single" w:color="auto" w:sz="4" w:space="0"/>
            </w:tcBorders>
            <w:vAlign w:val="center"/>
          </w:tcPr>
          <w:p>
            <w:pPr>
              <w:pStyle w:val="66"/>
              <w:pageBreakBefore w:val="0"/>
              <w:shd w:val="clear" w:color="auto" w:fill="FFFFFF"/>
              <w:kinsoku/>
              <w:wordWrap/>
              <w:overflowPunct/>
              <w:topLinePunct w:val="0"/>
              <w:bidi w:val="0"/>
              <w:spacing w:line="360" w:lineRule="auto"/>
              <w:ind w:left="420"/>
              <w:jc w:val="center"/>
              <w:outlineLvl w:val="9"/>
              <w:rPr>
                <w:rFonts w:ascii="宋体" w:hAnsi="宋体" w:cs="宋体"/>
                <w:color w:val="auto"/>
                <w:kern w:val="2"/>
                <w:highlight w:val="none"/>
                <w:lang w:eastAsia="zh-CN"/>
              </w:rPr>
            </w:pPr>
          </w:p>
        </w:tc>
        <w:tc>
          <w:tcPr>
            <w:tcW w:w="357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after="200" w:line="360" w:lineRule="auto"/>
              <w:jc w:val="center"/>
              <w:outlineLvl w:val="9"/>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70" w:type="dxa"/>
            <w:tcBorders>
              <w:top w:val="single" w:color="auto" w:sz="4" w:space="0"/>
              <w:left w:val="single" w:color="auto" w:sz="4" w:space="0"/>
              <w:bottom w:val="single" w:color="auto" w:sz="4" w:space="0"/>
              <w:right w:val="single" w:color="auto" w:sz="4" w:space="0"/>
            </w:tcBorders>
            <w:vAlign w:val="center"/>
          </w:tcPr>
          <w:p>
            <w:pPr>
              <w:pStyle w:val="66"/>
              <w:pageBreakBefore w:val="0"/>
              <w:shd w:val="clear" w:color="auto" w:fill="FFFFFF"/>
              <w:kinsoku/>
              <w:wordWrap/>
              <w:overflowPunct/>
              <w:topLinePunct w:val="0"/>
              <w:bidi w:val="0"/>
              <w:spacing w:line="360" w:lineRule="auto"/>
              <w:ind w:left="420"/>
              <w:jc w:val="center"/>
              <w:outlineLvl w:val="9"/>
              <w:rPr>
                <w:rFonts w:ascii="宋体" w:hAnsi="宋体" w:cs="宋体"/>
                <w:color w:val="auto"/>
                <w:kern w:val="2"/>
                <w:highlight w:val="none"/>
                <w:lang w:eastAsia="zh-CN"/>
              </w:rPr>
            </w:pPr>
          </w:p>
        </w:tc>
        <w:tc>
          <w:tcPr>
            <w:tcW w:w="357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after="200" w:line="360" w:lineRule="auto"/>
              <w:jc w:val="center"/>
              <w:outlineLvl w:val="9"/>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70" w:type="dxa"/>
            <w:tcBorders>
              <w:top w:val="single" w:color="auto" w:sz="4" w:space="0"/>
              <w:left w:val="single" w:color="auto" w:sz="4" w:space="0"/>
              <w:bottom w:val="single" w:color="auto" w:sz="4" w:space="0"/>
              <w:right w:val="single" w:color="auto" w:sz="4" w:space="0"/>
            </w:tcBorders>
            <w:vAlign w:val="center"/>
          </w:tcPr>
          <w:p>
            <w:pPr>
              <w:pStyle w:val="66"/>
              <w:pageBreakBefore w:val="0"/>
              <w:shd w:val="clear" w:color="auto" w:fill="FFFFFF"/>
              <w:kinsoku/>
              <w:wordWrap/>
              <w:overflowPunct/>
              <w:topLinePunct w:val="0"/>
              <w:bidi w:val="0"/>
              <w:spacing w:line="360" w:lineRule="auto"/>
              <w:ind w:left="420"/>
              <w:jc w:val="center"/>
              <w:outlineLvl w:val="9"/>
              <w:rPr>
                <w:rFonts w:ascii="宋体" w:hAnsi="宋体" w:cs="宋体"/>
                <w:color w:val="auto"/>
                <w:kern w:val="2"/>
                <w:highlight w:val="none"/>
                <w:lang w:eastAsia="zh-CN"/>
              </w:rPr>
            </w:pPr>
          </w:p>
        </w:tc>
        <w:tc>
          <w:tcPr>
            <w:tcW w:w="357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after="200" w:line="360" w:lineRule="auto"/>
              <w:jc w:val="center"/>
              <w:outlineLvl w:val="9"/>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70" w:type="dxa"/>
            <w:tcBorders>
              <w:top w:val="single" w:color="auto" w:sz="4" w:space="0"/>
              <w:left w:val="single" w:color="auto" w:sz="4" w:space="0"/>
              <w:bottom w:val="single" w:color="auto" w:sz="4" w:space="0"/>
              <w:right w:val="single" w:color="auto" w:sz="4" w:space="0"/>
            </w:tcBorders>
            <w:vAlign w:val="center"/>
          </w:tcPr>
          <w:p>
            <w:pPr>
              <w:pStyle w:val="66"/>
              <w:pageBreakBefore w:val="0"/>
              <w:shd w:val="clear" w:color="auto" w:fill="FFFFFF"/>
              <w:kinsoku/>
              <w:wordWrap/>
              <w:overflowPunct/>
              <w:topLinePunct w:val="0"/>
              <w:bidi w:val="0"/>
              <w:spacing w:line="360" w:lineRule="auto"/>
              <w:ind w:left="420"/>
              <w:jc w:val="center"/>
              <w:outlineLvl w:val="9"/>
              <w:rPr>
                <w:rFonts w:ascii="宋体" w:hAnsi="宋体" w:cs="宋体"/>
                <w:color w:val="auto"/>
                <w:kern w:val="2"/>
                <w:highlight w:val="none"/>
                <w:lang w:eastAsia="zh-CN"/>
              </w:rPr>
            </w:pPr>
          </w:p>
        </w:tc>
        <w:tc>
          <w:tcPr>
            <w:tcW w:w="357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after="200" w:line="360" w:lineRule="auto"/>
              <w:jc w:val="center"/>
              <w:outlineLvl w:val="9"/>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70" w:type="dxa"/>
            <w:tcBorders>
              <w:top w:val="single" w:color="auto" w:sz="4" w:space="0"/>
              <w:left w:val="single" w:color="auto" w:sz="4" w:space="0"/>
              <w:bottom w:val="single" w:color="auto" w:sz="4" w:space="0"/>
              <w:right w:val="single" w:color="auto" w:sz="4" w:space="0"/>
            </w:tcBorders>
            <w:vAlign w:val="center"/>
          </w:tcPr>
          <w:p>
            <w:pPr>
              <w:pStyle w:val="66"/>
              <w:pageBreakBefore w:val="0"/>
              <w:shd w:val="clear" w:color="auto" w:fill="FFFFFF"/>
              <w:kinsoku/>
              <w:wordWrap/>
              <w:overflowPunct/>
              <w:topLinePunct w:val="0"/>
              <w:bidi w:val="0"/>
              <w:spacing w:line="360" w:lineRule="auto"/>
              <w:ind w:left="420"/>
              <w:jc w:val="center"/>
              <w:outlineLvl w:val="9"/>
              <w:rPr>
                <w:rFonts w:ascii="宋体" w:hAnsi="宋体" w:cs="宋体"/>
                <w:color w:val="auto"/>
                <w:kern w:val="2"/>
                <w:highlight w:val="none"/>
                <w:lang w:eastAsia="zh-CN"/>
              </w:rPr>
            </w:pPr>
          </w:p>
        </w:tc>
        <w:tc>
          <w:tcPr>
            <w:tcW w:w="357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after="200" w:line="360" w:lineRule="auto"/>
              <w:jc w:val="center"/>
              <w:outlineLvl w:val="9"/>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240" w:type="dxa"/>
            <w:gridSpan w:val="2"/>
            <w:tcBorders>
              <w:top w:val="single" w:color="auto" w:sz="4" w:space="0"/>
              <w:left w:val="single" w:color="auto" w:sz="4" w:space="0"/>
              <w:bottom w:val="single" w:color="auto" w:sz="4" w:space="0"/>
              <w:right w:val="single" w:color="auto" w:sz="4" w:space="0"/>
            </w:tcBorders>
            <w:vAlign w:val="center"/>
          </w:tcPr>
          <w:p>
            <w:pPr>
              <w:pStyle w:val="66"/>
              <w:pageBreakBefore w:val="0"/>
              <w:shd w:val="clear" w:color="auto" w:fill="FFFFFF"/>
              <w:kinsoku/>
              <w:wordWrap/>
              <w:overflowPunct/>
              <w:topLinePunct w:val="0"/>
              <w:bidi w:val="0"/>
              <w:spacing w:line="360" w:lineRule="auto"/>
              <w:ind w:left="420"/>
              <w:jc w:val="center"/>
              <w:outlineLvl w:val="9"/>
              <w:rPr>
                <w:rFonts w:ascii="宋体" w:hAnsi="宋体" w:cs="宋体"/>
                <w:color w:val="auto"/>
                <w:kern w:val="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70" w:type="dxa"/>
            <w:tcBorders>
              <w:top w:val="single" w:color="auto" w:sz="4" w:space="0"/>
              <w:left w:val="single" w:color="auto" w:sz="4" w:space="0"/>
              <w:bottom w:val="single" w:color="auto" w:sz="4" w:space="0"/>
              <w:right w:val="single" w:color="auto" w:sz="4" w:space="0"/>
            </w:tcBorders>
            <w:vAlign w:val="center"/>
          </w:tcPr>
          <w:p>
            <w:pPr>
              <w:pStyle w:val="66"/>
              <w:pageBreakBefore w:val="0"/>
              <w:shd w:val="clear" w:color="auto" w:fill="FFFFFF"/>
              <w:kinsoku/>
              <w:wordWrap/>
              <w:overflowPunct/>
              <w:topLinePunct w:val="0"/>
              <w:bidi w:val="0"/>
              <w:spacing w:line="360" w:lineRule="auto"/>
              <w:ind w:left="420"/>
              <w:jc w:val="center"/>
              <w:outlineLvl w:val="9"/>
              <w:rPr>
                <w:rFonts w:ascii="宋体" w:hAnsi="宋体" w:cs="宋体"/>
                <w:color w:val="auto"/>
                <w:kern w:val="2"/>
                <w:highlight w:val="none"/>
                <w:lang w:eastAsia="zh-CN"/>
              </w:rPr>
            </w:pPr>
          </w:p>
        </w:tc>
        <w:tc>
          <w:tcPr>
            <w:tcW w:w="357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after="200" w:line="360" w:lineRule="auto"/>
              <w:jc w:val="center"/>
              <w:outlineLvl w:val="9"/>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70" w:type="dxa"/>
            <w:tcBorders>
              <w:top w:val="single" w:color="auto" w:sz="4" w:space="0"/>
              <w:left w:val="single" w:color="auto" w:sz="4" w:space="0"/>
              <w:bottom w:val="single" w:color="auto" w:sz="4" w:space="0"/>
              <w:right w:val="single" w:color="auto" w:sz="4" w:space="0"/>
            </w:tcBorders>
            <w:vAlign w:val="center"/>
          </w:tcPr>
          <w:p>
            <w:pPr>
              <w:pStyle w:val="66"/>
              <w:pageBreakBefore w:val="0"/>
              <w:shd w:val="clear" w:color="auto" w:fill="FFFFFF"/>
              <w:kinsoku/>
              <w:wordWrap/>
              <w:overflowPunct/>
              <w:topLinePunct w:val="0"/>
              <w:bidi w:val="0"/>
              <w:spacing w:line="360" w:lineRule="auto"/>
              <w:ind w:left="420"/>
              <w:jc w:val="center"/>
              <w:outlineLvl w:val="9"/>
              <w:rPr>
                <w:rFonts w:ascii="宋体" w:hAnsi="宋体" w:cs="宋体"/>
                <w:color w:val="auto"/>
                <w:kern w:val="2"/>
                <w:highlight w:val="none"/>
                <w:lang w:eastAsia="zh-CN"/>
              </w:rPr>
            </w:pPr>
          </w:p>
        </w:tc>
        <w:tc>
          <w:tcPr>
            <w:tcW w:w="357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after="200" w:line="360" w:lineRule="auto"/>
              <w:jc w:val="center"/>
              <w:outlineLvl w:val="9"/>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70" w:type="dxa"/>
            <w:tcBorders>
              <w:top w:val="single" w:color="auto" w:sz="4" w:space="0"/>
              <w:left w:val="single" w:color="auto" w:sz="4" w:space="0"/>
              <w:bottom w:val="single" w:color="auto" w:sz="4" w:space="0"/>
              <w:right w:val="single" w:color="auto" w:sz="4" w:space="0"/>
            </w:tcBorders>
            <w:vAlign w:val="center"/>
          </w:tcPr>
          <w:p>
            <w:pPr>
              <w:pStyle w:val="66"/>
              <w:pageBreakBefore w:val="0"/>
              <w:shd w:val="clear" w:color="auto" w:fill="FFFFFF"/>
              <w:kinsoku/>
              <w:wordWrap/>
              <w:overflowPunct/>
              <w:topLinePunct w:val="0"/>
              <w:bidi w:val="0"/>
              <w:spacing w:line="360" w:lineRule="auto"/>
              <w:ind w:left="420"/>
              <w:jc w:val="center"/>
              <w:outlineLvl w:val="9"/>
              <w:rPr>
                <w:rFonts w:ascii="宋体" w:hAnsi="宋体" w:cs="宋体"/>
                <w:color w:val="auto"/>
                <w:kern w:val="2"/>
                <w:highlight w:val="none"/>
                <w:lang w:eastAsia="zh-CN"/>
              </w:rPr>
            </w:pPr>
          </w:p>
        </w:tc>
        <w:tc>
          <w:tcPr>
            <w:tcW w:w="357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after="200" w:line="360" w:lineRule="auto"/>
              <w:jc w:val="center"/>
              <w:outlineLvl w:val="9"/>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70" w:type="dxa"/>
            <w:tcBorders>
              <w:top w:val="single" w:color="auto" w:sz="4" w:space="0"/>
              <w:left w:val="single" w:color="auto" w:sz="4" w:space="0"/>
              <w:bottom w:val="single" w:color="auto" w:sz="4" w:space="0"/>
              <w:right w:val="single" w:color="auto" w:sz="4" w:space="0"/>
            </w:tcBorders>
            <w:vAlign w:val="center"/>
          </w:tcPr>
          <w:p>
            <w:pPr>
              <w:pStyle w:val="66"/>
              <w:pageBreakBefore w:val="0"/>
              <w:shd w:val="clear" w:color="auto" w:fill="FFFFFF"/>
              <w:kinsoku/>
              <w:wordWrap/>
              <w:overflowPunct/>
              <w:topLinePunct w:val="0"/>
              <w:bidi w:val="0"/>
              <w:spacing w:line="360" w:lineRule="auto"/>
              <w:ind w:left="420"/>
              <w:jc w:val="center"/>
              <w:outlineLvl w:val="9"/>
              <w:rPr>
                <w:rFonts w:ascii="宋体" w:hAnsi="宋体" w:cs="宋体"/>
                <w:color w:val="auto"/>
                <w:kern w:val="2"/>
                <w:highlight w:val="none"/>
                <w:lang w:eastAsia="zh-CN"/>
              </w:rPr>
            </w:pPr>
          </w:p>
        </w:tc>
        <w:tc>
          <w:tcPr>
            <w:tcW w:w="357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after="200" w:line="360" w:lineRule="auto"/>
              <w:jc w:val="center"/>
              <w:outlineLvl w:val="9"/>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70" w:type="dxa"/>
            <w:tcBorders>
              <w:top w:val="single" w:color="auto" w:sz="4" w:space="0"/>
              <w:left w:val="single" w:color="auto" w:sz="4" w:space="0"/>
              <w:bottom w:val="single" w:color="auto" w:sz="4" w:space="0"/>
              <w:right w:val="single" w:color="auto" w:sz="4" w:space="0"/>
            </w:tcBorders>
            <w:vAlign w:val="center"/>
          </w:tcPr>
          <w:p>
            <w:pPr>
              <w:pStyle w:val="66"/>
              <w:pageBreakBefore w:val="0"/>
              <w:shd w:val="clear" w:color="auto" w:fill="FFFFFF"/>
              <w:kinsoku/>
              <w:wordWrap/>
              <w:overflowPunct/>
              <w:topLinePunct w:val="0"/>
              <w:bidi w:val="0"/>
              <w:spacing w:line="360" w:lineRule="auto"/>
              <w:ind w:left="420"/>
              <w:jc w:val="center"/>
              <w:outlineLvl w:val="9"/>
              <w:rPr>
                <w:rFonts w:ascii="宋体" w:hAnsi="宋体" w:cs="宋体"/>
                <w:color w:val="auto"/>
                <w:kern w:val="2"/>
                <w:highlight w:val="none"/>
                <w:lang w:eastAsia="zh-CN"/>
              </w:rPr>
            </w:pPr>
          </w:p>
        </w:tc>
        <w:tc>
          <w:tcPr>
            <w:tcW w:w="357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after="200" w:line="360" w:lineRule="auto"/>
              <w:jc w:val="center"/>
              <w:outlineLvl w:val="9"/>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240" w:type="dxa"/>
            <w:gridSpan w:val="2"/>
            <w:tcBorders>
              <w:top w:val="single" w:color="auto" w:sz="4" w:space="0"/>
              <w:left w:val="single" w:color="auto" w:sz="4" w:space="0"/>
              <w:bottom w:val="single" w:color="auto" w:sz="4" w:space="0"/>
              <w:right w:val="single" w:color="auto" w:sz="4" w:space="0"/>
            </w:tcBorders>
            <w:vAlign w:val="center"/>
          </w:tcPr>
          <w:p>
            <w:pPr>
              <w:pStyle w:val="66"/>
              <w:pageBreakBefore w:val="0"/>
              <w:shd w:val="clear" w:color="auto" w:fill="FFFFFF"/>
              <w:kinsoku/>
              <w:wordWrap/>
              <w:overflowPunct/>
              <w:topLinePunct w:val="0"/>
              <w:bidi w:val="0"/>
              <w:spacing w:line="360" w:lineRule="auto"/>
              <w:ind w:left="420"/>
              <w:jc w:val="center"/>
              <w:outlineLvl w:val="9"/>
              <w:rPr>
                <w:rFonts w:ascii="宋体" w:hAnsi="宋体" w:cs="宋体"/>
                <w:b/>
                <w:color w:val="auto"/>
                <w:kern w:val="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70" w:type="dxa"/>
            <w:tcBorders>
              <w:top w:val="single" w:color="auto" w:sz="4" w:space="0"/>
              <w:left w:val="single" w:color="auto" w:sz="4" w:space="0"/>
              <w:bottom w:val="single" w:color="auto" w:sz="4" w:space="0"/>
              <w:right w:val="single" w:color="auto" w:sz="4" w:space="0"/>
            </w:tcBorders>
            <w:vAlign w:val="center"/>
          </w:tcPr>
          <w:p>
            <w:pPr>
              <w:pStyle w:val="66"/>
              <w:pageBreakBefore w:val="0"/>
              <w:shd w:val="clear" w:color="auto" w:fill="FFFFFF"/>
              <w:kinsoku/>
              <w:wordWrap/>
              <w:overflowPunct/>
              <w:topLinePunct w:val="0"/>
              <w:bidi w:val="0"/>
              <w:spacing w:line="360" w:lineRule="auto"/>
              <w:ind w:left="420"/>
              <w:jc w:val="center"/>
              <w:outlineLvl w:val="9"/>
              <w:rPr>
                <w:rFonts w:ascii="宋体" w:hAnsi="宋体" w:cs="宋体"/>
                <w:b/>
                <w:bCs/>
                <w:color w:val="auto"/>
                <w:kern w:val="2"/>
                <w:highlight w:val="none"/>
                <w:lang w:eastAsia="zh-CN"/>
              </w:rPr>
            </w:pPr>
          </w:p>
        </w:tc>
        <w:tc>
          <w:tcPr>
            <w:tcW w:w="357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after="200" w:line="360" w:lineRule="auto"/>
              <w:jc w:val="center"/>
              <w:outlineLvl w:val="9"/>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70" w:type="dxa"/>
            <w:tcBorders>
              <w:top w:val="single" w:color="auto" w:sz="4" w:space="0"/>
              <w:left w:val="single" w:color="auto" w:sz="4" w:space="0"/>
              <w:bottom w:val="single" w:color="auto" w:sz="4" w:space="0"/>
              <w:right w:val="single" w:color="auto" w:sz="4" w:space="0"/>
            </w:tcBorders>
            <w:vAlign w:val="center"/>
          </w:tcPr>
          <w:p>
            <w:pPr>
              <w:pStyle w:val="66"/>
              <w:pageBreakBefore w:val="0"/>
              <w:shd w:val="clear" w:color="auto" w:fill="FFFFFF"/>
              <w:kinsoku/>
              <w:wordWrap/>
              <w:overflowPunct/>
              <w:topLinePunct w:val="0"/>
              <w:bidi w:val="0"/>
              <w:spacing w:line="360" w:lineRule="auto"/>
              <w:ind w:left="420"/>
              <w:jc w:val="center"/>
              <w:outlineLvl w:val="9"/>
              <w:rPr>
                <w:rFonts w:ascii="宋体" w:hAnsi="宋体" w:cs="宋体"/>
                <w:color w:val="auto"/>
                <w:kern w:val="2"/>
                <w:highlight w:val="none"/>
                <w:lang w:eastAsia="zh-CN"/>
              </w:rPr>
            </w:pPr>
          </w:p>
        </w:tc>
        <w:tc>
          <w:tcPr>
            <w:tcW w:w="357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after="200" w:line="360" w:lineRule="auto"/>
              <w:jc w:val="center"/>
              <w:outlineLvl w:val="9"/>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70" w:type="dxa"/>
            <w:tcBorders>
              <w:top w:val="single" w:color="auto" w:sz="4" w:space="0"/>
              <w:left w:val="single" w:color="auto" w:sz="4" w:space="0"/>
              <w:bottom w:val="single" w:color="auto" w:sz="4" w:space="0"/>
              <w:right w:val="single" w:color="auto" w:sz="4" w:space="0"/>
            </w:tcBorders>
            <w:vAlign w:val="center"/>
          </w:tcPr>
          <w:p>
            <w:pPr>
              <w:pStyle w:val="66"/>
              <w:pageBreakBefore w:val="0"/>
              <w:shd w:val="clear" w:color="auto" w:fill="FFFFFF"/>
              <w:kinsoku/>
              <w:wordWrap/>
              <w:overflowPunct/>
              <w:topLinePunct w:val="0"/>
              <w:bidi w:val="0"/>
              <w:spacing w:line="360" w:lineRule="auto"/>
              <w:ind w:left="420"/>
              <w:jc w:val="center"/>
              <w:outlineLvl w:val="9"/>
              <w:rPr>
                <w:rFonts w:ascii="宋体" w:hAnsi="宋体" w:cs="宋体"/>
                <w:b/>
                <w:bCs/>
                <w:color w:val="auto"/>
                <w:kern w:val="2"/>
                <w:highlight w:val="none"/>
                <w:lang w:eastAsia="zh-CN"/>
              </w:rPr>
            </w:pPr>
          </w:p>
        </w:tc>
        <w:tc>
          <w:tcPr>
            <w:tcW w:w="357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after="200" w:line="360" w:lineRule="auto"/>
              <w:jc w:val="center"/>
              <w:outlineLvl w:val="9"/>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240" w:type="dxa"/>
            <w:gridSpan w:val="2"/>
            <w:tcBorders>
              <w:top w:val="single" w:color="auto" w:sz="4" w:space="0"/>
              <w:left w:val="single" w:color="auto" w:sz="4" w:space="0"/>
              <w:bottom w:val="single" w:color="auto" w:sz="4" w:space="0"/>
              <w:right w:val="single" w:color="auto" w:sz="4" w:space="0"/>
            </w:tcBorders>
            <w:vAlign w:val="center"/>
          </w:tcPr>
          <w:p>
            <w:pPr>
              <w:pStyle w:val="66"/>
              <w:pageBreakBefore w:val="0"/>
              <w:shd w:val="clear" w:color="auto" w:fill="FFFFFF"/>
              <w:kinsoku/>
              <w:wordWrap/>
              <w:overflowPunct/>
              <w:topLinePunct w:val="0"/>
              <w:bidi w:val="0"/>
              <w:spacing w:line="360" w:lineRule="auto"/>
              <w:ind w:left="420"/>
              <w:jc w:val="center"/>
              <w:outlineLvl w:val="9"/>
              <w:rPr>
                <w:rFonts w:ascii="宋体" w:hAnsi="宋体" w:cs="宋体"/>
                <w:b/>
                <w:color w:val="auto"/>
                <w:kern w:val="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70" w:type="dxa"/>
            <w:tcBorders>
              <w:top w:val="single" w:color="auto" w:sz="4" w:space="0"/>
              <w:left w:val="single" w:color="auto" w:sz="4" w:space="0"/>
              <w:bottom w:val="single" w:color="auto" w:sz="4" w:space="0"/>
              <w:right w:val="single" w:color="auto" w:sz="4" w:space="0"/>
            </w:tcBorders>
          </w:tcPr>
          <w:p>
            <w:pPr>
              <w:pStyle w:val="66"/>
              <w:pageBreakBefore w:val="0"/>
              <w:shd w:val="clear" w:color="auto" w:fill="FFFFFF"/>
              <w:kinsoku/>
              <w:wordWrap/>
              <w:overflowPunct/>
              <w:topLinePunct w:val="0"/>
              <w:bidi w:val="0"/>
              <w:spacing w:line="360" w:lineRule="auto"/>
              <w:ind w:left="0" w:firstLine="480" w:firstLineChars="200"/>
              <w:outlineLvl w:val="9"/>
              <w:rPr>
                <w:rFonts w:ascii="宋体" w:hAnsi="宋体" w:cs="宋体"/>
                <w:color w:val="auto"/>
                <w:kern w:val="2"/>
                <w:szCs w:val="21"/>
                <w:highlight w:val="none"/>
                <w:lang w:eastAsia="zh-CN"/>
              </w:rPr>
            </w:pPr>
          </w:p>
        </w:tc>
        <w:tc>
          <w:tcPr>
            <w:tcW w:w="3570"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adjustRightInd w:val="0"/>
              <w:snapToGrid w:val="0"/>
              <w:spacing w:after="200" w:line="360" w:lineRule="auto"/>
              <w:outlineLvl w:val="9"/>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70" w:type="dxa"/>
            <w:tcBorders>
              <w:top w:val="single" w:color="auto" w:sz="4" w:space="0"/>
              <w:left w:val="single" w:color="auto" w:sz="4" w:space="0"/>
              <w:bottom w:val="single" w:color="auto" w:sz="4" w:space="0"/>
              <w:right w:val="single" w:color="auto" w:sz="4" w:space="0"/>
            </w:tcBorders>
          </w:tcPr>
          <w:p>
            <w:pPr>
              <w:pStyle w:val="66"/>
              <w:pageBreakBefore w:val="0"/>
              <w:shd w:val="clear" w:color="auto" w:fill="FFFFFF"/>
              <w:kinsoku/>
              <w:wordWrap/>
              <w:overflowPunct/>
              <w:topLinePunct w:val="0"/>
              <w:bidi w:val="0"/>
              <w:spacing w:line="360" w:lineRule="auto"/>
              <w:ind w:left="0" w:firstLine="480" w:firstLineChars="200"/>
              <w:outlineLvl w:val="9"/>
              <w:rPr>
                <w:rFonts w:ascii="宋体" w:hAnsi="宋体" w:cs="宋体"/>
                <w:color w:val="auto"/>
                <w:kern w:val="2"/>
                <w:highlight w:val="none"/>
                <w:lang w:eastAsia="zh-CN"/>
              </w:rPr>
            </w:pPr>
          </w:p>
        </w:tc>
        <w:tc>
          <w:tcPr>
            <w:tcW w:w="3570"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adjustRightInd w:val="0"/>
              <w:snapToGrid w:val="0"/>
              <w:spacing w:after="200" w:line="360" w:lineRule="auto"/>
              <w:outlineLvl w:val="9"/>
              <w:rPr>
                <w:rFonts w:ascii="宋体" w:hAnsi="宋体" w:cs="宋体"/>
                <w:color w:val="auto"/>
                <w:highlight w:val="none"/>
              </w:rPr>
            </w:pPr>
          </w:p>
        </w:tc>
      </w:tr>
    </w:tbl>
    <w:p>
      <w:pPr>
        <w:pageBreakBefore w:val="0"/>
        <w:kinsoku/>
        <w:wordWrap/>
        <w:overflowPunct/>
        <w:topLinePunct w:val="0"/>
        <w:bidi w:val="0"/>
        <w:spacing w:line="360" w:lineRule="auto"/>
        <w:outlineLvl w:val="9"/>
        <w:rPr>
          <w:rFonts w:ascii="宋体" w:hAnsi="宋体" w:cs="宋体"/>
          <w:color w:val="auto"/>
          <w:highlight w:val="none"/>
        </w:rPr>
      </w:pPr>
    </w:p>
    <w:p>
      <w:pPr>
        <w:pStyle w:val="27"/>
        <w:pageBreakBefore w:val="0"/>
        <w:kinsoku/>
        <w:wordWrap/>
        <w:overflowPunct/>
        <w:topLinePunct w:val="0"/>
        <w:bidi w:val="0"/>
        <w:spacing w:line="360" w:lineRule="auto"/>
        <w:outlineLvl w:val="9"/>
        <w:rPr>
          <w:color w:val="auto"/>
          <w:highlight w:val="none"/>
        </w:rPr>
      </w:pPr>
    </w:p>
    <w:p>
      <w:pPr>
        <w:pageBreakBefore w:val="0"/>
        <w:kinsoku/>
        <w:wordWrap/>
        <w:overflowPunct/>
        <w:topLinePunct w:val="0"/>
        <w:bidi w:val="0"/>
        <w:spacing w:line="360" w:lineRule="auto"/>
        <w:jc w:val="center"/>
        <w:outlineLvl w:val="9"/>
        <w:rPr>
          <w:rFonts w:ascii="宋体" w:hAnsi="宋体" w:cs="宋体"/>
          <w:b/>
          <w:bCs/>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投标主要文件目录</w:t>
      </w:r>
    </w:p>
    <w:p>
      <w:pPr>
        <w:pageBreakBefore w:val="0"/>
        <w:kinsoku/>
        <w:wordWrap/>
        <w:overflowPunct/>
        <w:topLinePunct w:val="0"/>
        <w:bidi w:val="0"/>
        <w:spacing w:line="360" w:lineRule="auto"/>
        <w:jc w:val="center"/>
        <w:outlineLvl w:val="9"/>
        <w:rPr>
          <w:rFonts w:ascii="宋体" w:hAnsi="宋体" w:cs="宋体"/>
          <w:b/>
          <w:bCs/>
          <w:color w:val="auto"/>
          <w:sz w:val="32"/>
          <w:szCs w:val="32"/>
          <w:highlight w:val="none"/>
        </w:rPr>
      </w:pPr>
    </w:p>
    <w:p>
      <w:pPr>
        <w:pageBreakBefore w:val="0"/>
        <w:kinsoku/>
        <w:wordWrap/>
        <w:overflowPunct/>
        <w:topLinePunct w:val="0"/>
        <w:bidi w:val="0"/>
        <w:spacing w:line="360" w:lineRule="auto"/>
        <w:ind w:firstLine="480" w:firstLineChars="200"/>
        <w:outlineLvl w:val="9"/>
        <w:rPr>
          <w:rFonts w:ascii="宋体" w:hAnsi="宋体" w:cs="宋体"/>
          <w:color w:val="auto"/>
          <w:sz w:val="24"/>
          <w:szCs w:val="24"/>
          <w:highlight w:val="none"/>
        </w:rPr>
      </w:pPr>
      <w:bookmarkStart w:id="191" w:name="_Toc13791"/>
      <w:r>
        <w:rPr>
          <w:rFonts w:hint="eastAsia" w:ascii="宋体" w:hAnsi="宋体" w:cs="宋体"/>
          <w:color w:val="auto"/>
          <w:sz w:val="24"/>
          <w:szCs w:val="24"/>
          <w:highlight w:val="none"/>
        </w:rPr>
        <w:t>一、资格性和符合性检查响应对照表</w:t>
      </w:r>
    </w:p>
    <w:p>
      <w:pPr>
        <w:pageBreakBefore w:val="0"/>
        <w:kinsoku/>
        <w:wordWrap/>
        <w:overflowPunct/>
        <w:topLinePunct w:val="0"/>
        <w:bidi w:val="0"/>
        <w:spacing w:line="360" w:lineRule="auto"/>
        <w:ind w:firstLine="482" w:firstLineChars="200"/>
        <w:outlineLvl w:val="9"/>
        <w:rPr>
          <w:rFonts w:ascii="宋体" w:hAnsi="宋体" w:cs="宋体"/>
          <w:bCs/>
          <w:color w:val="auto"/>
          <w:sz w:val="24"/>
          <w:szCs w:val="24"/>
          <w:highlight w:val="none"/>
        </w:rPr>
      </w:pPr>
      <w:r>
        <w:rPr>
          <w:rFonts w:hint="eastAsia" w:ascii="宋体" w:hAnsi="宋体" w:cs="宋体"/>
          <w:b/>
          <w:bCs/>
          <w:color w:val="auto"/>
          <w:sz w:val="24"/>
          <w:szCs w:val="24"/>
          <w:highlight w:val="none"/>
        </w:rPr>
        <w:t>二</w:t>
      </w:r>
      <w:r>
        <w:rPr>
          <w:rFonts w:hint="eastAsia" w:ascii="宋体" w:hAnsi="宋体" w:cs="宋体"/>
          <w:color w:val="auto"/>
          <w:sz w:val="24"/>
          <w:szCs w:val="24"/>
          <w:highlight w:val="none"/>
        </w:rPr>
        <w:t>、</w:t>
      </w:r>
      <w:r>
        <w:rPr>
          <w:rFonts w:hint="eastAsia" w:ascii="宋体" w:hAnsi="宋体" w:cs="宋体"/>
          <w:bCs/>
          <w:color w:val="auto"/>
          <w:sz w:val="24"/>
          <w:szCs w:val="24"/>
          <w:highlight w:val="none"/>
        </w:rPr>
        <w:t>资信证明文件</w:t>
      </w:r>
    </w:p>
    <w:p>
      <w:pPr>
        <w:pageBreakBefore w:val="0"/>
        <w:kinsoku/>
        <w:wordWrap/>
        <w:overflowPunct/>
        <w:topLinePunct w:val="0"/>
        <w:bidi w:val="0"/>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三、开标一览表</w:t>
      </w:r>
    </w:p>
    <w:p>
      <w:pPr>
        <w:pageBreakBefore w:val="0"/>
        <w:numPr>
          <w:ilvl w:val="0"/>
          <w:numId w:val="50"/>
        </w:numPr>
        <w:kinsoku/>
        <w:wordWrap/>
        <w:overflowPunct/>
        <w:topLinePunct w:val="0"/>
        <w:bidi w:val="0"/>
        <w:spacing w:line="360" w:lineRule="auto"/>
        <w:ind w:firstLine="480" w:firstLineChars="200"/>
        <w:outlineLvl w:val="9"/>
        <w:rPr>
          <w:rFonts w:ascii="宋体" w:hAnsi="宋体" w:cs="宋体"/>
          <w:color w:val="auto"/>
          <w:sz w:val="24"/>
          <w:szCs w:val="24"/>
          <w:highlight w:val="none"/>
        </w:rPr>
      </w:pPr>
      <w:bookmarkStart w:id="192" w:name="_Toc1754"/>
      <w:bookmarkStart w:id="193" w:name="_Toc12074"/>
      <w:r>
        <w:rPr>
          <w:rFonts w:hint="eastAsia" w:ascii="宋体" w:hAnsi="宋体" w:cs="宋体"/>
          <w:color w:val="auto"/>
          <w:sz w:val="24"/>
          <w:szCs w:val="24"/>
          <w:highlight w:val="none"/>
        </w:rPr>
        <w:t>技术参数响应及偏离表</w:t>
      </w:r>
      <w:bookmarkEnd w:id="192"/>
      <w:bookmarkEnd w:id="193"/>
    </w:p>
    <w:p>
      <w:pPr>
        <w:pageBreakBefore w:val="0"/>
        <w:kinsoku/>
        <w:wordWrap/>
        <w:overflowPunct/>
        <w:topLinePunct w:val="0"/>
        <w:bidi w:val="0"/>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四</w:t>
      </w:r>
      <w:r>
        <w:rPr>
          <w:rFonts w:hint="eastAsia" w:ascii="宋体" w:hAnsi="宋体" w:cs="宋体"/>
          <w:color w:val="auto"/>
          <w:sz w:val="24"/>
          <w:szCs w:val="24"/>
          <w:highlight w:val="none"/>
        </w:rPr>
        <w:t>、商务条款响应及偏离表</w:t>
      </w:r>
    </w:p>
    <w:p>
      <w:pPr>
        <w:pageBreakBefore w:val="0"/>
        <w:kinsoku/>
        <w:wordWrap/>
        <w:overflowPunct/>
        <w:topLinePunct w:val="0"/>
        <w:bidi w:val="0"/>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五</w:t>
      </w:r>
      <w:r>
        <w:rPr>
          <w:rFonts w:hint="eastAsia" w:ascii="宋体" w:hAnsi="宋体" w:cs="宋体"/>
          <w:color w:val="auto"/>
          <w:sz w:val="24"/>
          <w:szCs w:val="24"/>
          <w:highlight w:val="none"/>
        </w:rPr>
        <w:t>、……</w:t>
      </w:r>
    </w:p>
    <w:p>
      <w:pPr>
        <w:pStyle w:val="17"/>
        <w:pageBreakBefore w:val="0"/>
        <w:kinsoku/>
        <w:wordWrap/>
        <w:overflowPunct/>
        <w:topLinePunct w:val="0"/>
        <w:bidi w:val="0"/>
        <w:spacing w:line="360" w:lineRule="auto"/>
        <w:outlineLvl w:val="9"/>
        <w:rPr>
          <w:color w:val="auto"/>
          <w:highlight w:val="none"/>
        </w:rPr>
      </w:pPr>
    </w:p>
    <w:p>
      <w:pPr>
        <w:pStyle w:val="17"/>
        <w:pageBreakBefore w:val="0"/>
        <w:kinsoku/>
        <w:wordWrap/>
        <w:overflowPunct/>
        <w:topLinePunct w:val="0"/>
        <w:bidi w:val="0"/>
        <w:spacing w:line="360" w:lineRule="auto"/>
        <w:outlineLvl w:val="9"/>
        <w:rPr>
          <w:color w:val="auto"/>
          <w:highlight w:val="none"/>
        </w:rPr>
      </w:pPr>
    </w:p>
    <w:p>
      <w:pPr>
        <w:pStyle w:val="36"/>
        <w:pageBreakBefore w:val="0"/>
        <w:kinsoku/>
        <w:wordWrap/>
        <w:overflowPunct/>
        <w:topLinePunct w:val="0"/>
        <w:bidi w:val="0"/>
        <w:spacing w:line="360" w:lineRule="auto"/>
        <w:outlineLvl w:val="9"/>
        <w:rPr>
          <w:color w:val="auto"/>
          <w:highlight w:val="none"/>
        </w:rPr>
      </w:pPr>
    </w:p>
    <w:p>
      <w:pPr>
        <w:pStyle w:val="26"/>
        <w:pageBreakBefore w:val="0"/>
        <w:kinsoku/>
        <w:wordWrap/>
        <w:overflowPunct/>
        <w:topLinePunct w:val="0"/>
        <w:bidi w:val="0"/>
        <w:spacing w:line="360" w:lineRule="auto"/>
        <w:outlineLvl w:val="9"/>
        <w:rPr>
          <w:color w:val="auto"/>
          <w:highlight w:val="none"/>
        </w:rPr>
      </w:pPr>
    </w:p>
    <w:p>
      <w:pPr>
        <w:pStyle w:val="27"/>
        <w:pageBreakBefore w:val="0"/>
        <w:kinsoku/>
        <w:wordWrap/>
        <w:overflowPunct/>
        <w:topLinePunct w:val="0"/>
        <w:bidi w:val="0"/>
        <w:spacing w:line="360" w:lineRule="auto"/>
        <w:outlineLvl w:val="9"/>
        <w:rPr>
          <w:color w:val="auto"/>
          <w:highlight w:val="none"/>
        </w:rPr>
      </w:pPr>
    </w:p>
    <w:p>
      <w:pPr>
        <w:pStyle w:val="28"/>
        <w:pageBreakBefore w:val="0"/>
        <w:kinsoku/>
        <w:wordWrap/>
        <w:overflowPunct/>
        <w:topLinePunct w:val="0"/>
        <w:bidi w:val="0"/>
        <w:spacing w:line="360" w:lineRule="auto"/>
        <w:outlineLvl w:val="9"/>
        <w:rPr>
          <w:rFonts w:hint="default"/>
          <w:color w:val="auto"/>
          <w:highlight w:val="none"/>
        </w:rPr>
      </w:pPr>
    </w:p>
    <w:p>
      <w:pPr>
        <w:pStyle w:val="29"/>
        <w:pageBreakBefore w:val="0"/>
        <w:kinsoku/>
        <w:wordWrap/>
        <w:overflowPunct/>
        <w:topLinePunct w:val="0"/>
        <w:bidi w:val="0"/>
        <w:spacing w:line="360" w:lineRule="auto"/>
        <w:outlineLvl w:val="9"/>
        <w:rPr>
          <w:rFonts w:hint="default"/>
          <w:color w:val="auto"/>
          <w:highlight w:val="none"/>
        </w:rPr>
      </w:pPr>
    </w:p>
    <w:p>
      <w:pPr>
        <w:pStyle w:val="29"/>
        <w:pageBreakBefore w:val="0"/>
        <w:kinsoku/>
        <w:wordWrap/>
        <w:overflowPunct/>
        <w:topLinePunct w:val="0"/>
        <w:bidi w:val="0"/>
        <w:spacing w:line="360" w:lineRule="auto"/>
        <w:outlineLvl w:val="9"/>
        <w:rPr>
          <w:rFonts w:hint="default"/>
          <w:color w:val="auto"/>
          <w:highlight w:val="none"/>
        </w:rPr>
      </w:pPr>
    </w:p>
    <w:p>
      <w:pPr>
        <w:pStyle w:val="29"/>
        <w:pageBreakBefore w:val="0"/>
        <w:kinsoku/>
        <w:wordWrap/>
        <w:overflowPunct/>
        <w:topLinePunct w:val="0"/>
        <w:bidi w:val="0"/>
        <w:spacing w:line="360" w:lineRule="auto"/>
        <w:outlineLvl w:val="9"/>
        <w:rPr>
          <w:rFonts w:hint="default"/>
          <w:color w:val="auto"/>
          <w:highlight w:val="none"/>
        </w:rPr>
      </w:pPr>
    </w:p>
    <w:p>
      <w:pPr>
        <w:pStyle w:val="29"/>
        <w:pageBreakBefore w:val="0"/>
        <w:kinsoku/>
        <w:wordWrap/>
        <w:overflowPunct/>
        <w:topLinePunct w:val="0"/>
        <w:bidi w:val="0"/>
        <w:spacing w:line="360" w:lineRule="auto"/>
        <w:outlineLvl w:val="9"/>
        <w:rPr>
          <w:rFonts w:hint="default"/>
          <w:color w:val="auto"/>
          <w:highlight w:val="none"/>
        </w:rPr>
      </w:pPr>
    </w:p>
    <w:p>
      <w:pPr>
        <w:pStyle w:val="29"/>
        <w:pageBreakBefore w:val="0"/>
        <w:kinsoku/>
        <w:wordWrap/>
        <w:overflowPunct/>
        <w:topLinePunct w:val="0"/>
        <w:bidi w:val="0"/>
        <w:spacing w:line="360" w:lineRule="auto"/>
        <w:outlineLvl w:val="9"/>
        <w:rPr>
          <w:rFonts w:hint="default"/>
          <w:color w:val="auto"/>
          <w:highlight w:val="none"/>
        </w:rPr>
      </w:pPr>
    </w:p>
    <w:p>
      <w:pPr>
        <w:pStyle w:val="29"/>
        <w:pageBreakBefore w:val="0"/>
        <w:kinsoku/>
        <w:wordWrap/>
        <w:overflowPunct/>
        <w:topLinePunct w:val="0"/>
        <w:bidi w:val="0"/>
        <w:spacing w:line="360" w:lineRule="auto"/>
        <w:outlineLvl w:val="9"/>
        <w:rPr>
          <w:rFonts w:hint="default"/>
          <w:color w:val="auto"/>
          <w:highlight w:val="none"/>
        </w:rPr>
      </w:pPr>
    </w:p>
    <w:p>
      <w:pPr>
        <w:pStyle w:val="29"/>
        <w:pageBreakBefore w:val="0"/>
        <w:kinsoku/>
        <w:wordWrap/>
        <w:overflowPunct/>
        <w:topLinePunct w:val="0"/>
        <w:bidi w:val="0"/>
        <w:spacing w:line="360" w:lineRule="auto"/>
        <w:outlineLvl w:val="9"/>
        <w:rPr>
          <w:rFonts w:hint="default"/>
          <w:color w:val="auto"/>
          <w:highlight w:val="none"/>
        </w:rPr>
      </w:pPr>
    </w:p>
    <w:p>
      <w:pPr>
        <w:pStyle w:val="29"/>
        <w:pageBreakBefore w:val="0"/>
        <w:kinsoku/>
        <w:wordWrap/>
        <w:overflowPunct/>
        <w:topLinePunct w:val="0"/>
        <w:bidi w:val="0"/>
        <w:spacing w:line="360" w:lineRule="auto"/>
        <w:outlineLvl w:val="9"/>
        <w:rPr>
          <w:rFonts w:hint="default"/>
          <w:color w:val="auto"/>
          <w:highlight w:val="none"/>
        </w:rPr>
      </w:pPr>
    </w:p>
    <w:p>
      <w:pPr>
        <w:pStyle w:val="29"/>
        <w:pageBreakBefore w:val="0"/>
        <w:kinsoku/>
        <w:wordWrap/>
        <w:overflowPunct/>
        <w:topLinePunct w:val="0"/>
        <w:bidi w:val="0"/>
        <w:spacing w:line="360" w:lineRule="auto"/>
        <w:outlineLvl w:val="9"/>
        <w:rPr>
          <w:rFonts w:hint="default"/>
          <w:color w:val="auto"/>
          <w:highlight w:val="none"/>
        </w:rPr>
      </w:pPr>
    </w:p>
    <w:p>
      <w:pPr>
        <w:pStyle w:val="29"/>
        <w:pageBreakBefore w:val="0"/>
        <w:kinsoku/>
        <w:wordWrap/>
        <w:overflowPunct/>
        <w:topLinePunct w:val="0"/>
        <w:bidi w:val="0"/>
        <w:spacing w:line="360" w:lineRule="auto"/>
        <w:outlineLvl w:val="9"/>
        <w:rPr>
          <w:rFonts w:hint="default"/>
          <w:color w:val="auto"/>
          <w:highlight w:val="none"/>
        </w:rPr>
      </w:pPr>
    </w:p>
    <w:p>
      <w:pPr>
        <w:pStyle w:val="29"/>
        <w:pageBreakBefore w:val="0"/>
        <w:kinsoku/>
        <w:wordWrap/>
        <w:overflowPunct/>
        <w:topLinePunct w:val="0"/>
        <w:bidi w:val="0"/>
        <w:spacing w:line="360" w:lineRule="auto"/>
        <w:outlineLvl w:val="9"/>
        <w:rPr>
          <w:rFonts w:hint="default"/>
          <w:color w:val="auto"/>
          <w:highlight w:val="none"/>
        </w:rPr>
      </w:pPr>
    </w:p>
    <w:p>
      <w:pPr>
        <w:pStyle w:val="29"/>
        <w:pageBreakBefore w:val="0"/>
        <w:kinsoku/>
        <w:wordWrap/>
        <w:overflowPunct/>
        <w:topLinePunct w:val="0"/>
        <w:bidi w:val="0"/>
        <w:spacing w:line="360" w:lineRule="auto"/>
        <w:outlineLvl w:val="9"/>
        <w:rPr>
          <w:rFonts w:hint="default"/>
          <w:color w:val="auto"/>
          <w:highlight w:val="none"/>
        </w:rPr>
      </w:pPr>
    </w:p>
    <w:p>
      <w:pPr>
        <w:pStyle w:val="29"/>
        <w:pageBreakBefore w:val="0"/>
        <w:kinsoku/>
        <w:wordWrap/>
        <w:overflowPunct/>
        <w:topLinePunct w:val="0"/>
        <w:bidi w:val="0"/>
        <w:spacing w:line="360" w:lineRule="auto"/>
        <w:outlineLvl w:val="9"/>
        <w:rPr>
          <w:rFonts w:hint="default"/>
          <w:color w:val="auto"/>
          <w:highlight w:val="none"/>
        </w:rPr>
      </w:pPr>
    </w:p>
    <w:p>
      <w:pPr>
        <w:pStyle w:val="29"/>
        <w:pageBreakBefore w:val="0"/>
        <w:kinsoku/>
        <w:wordWrap/>
        <w:overflowPunct/>
        <w:topLinePunct w:val="0"/>
        <w:bidi w:val="0"/>
        <w:spacing w:line="360" w:lineRule="auto"/>
        <w:outlineLvl w:val="9"/>
        <w:rPr>
          <w:rFonts w:hint="default"/>
          <w:color w:val="auto"/>
          <w:highlight w:val="none"/>
        </w:rPr>
      </w:pPr>
    </w:p>
    <w:p>
      <w:pPr>
        <w:pageBreakBefore w:val="0"/>
        <w:kinsoku/>
        <w:wordWrap/>
        <w:overflowPunct/>
        <w:topLinePunct w:val="0"/>
        <w:bidi w:val="0"/>
        <w:spacing w:line="360" w:lineRule="auto"/>
        <w:outlineLvl w:val="9"/>
        <w:rPr>
          <w:rFonts w:ascii="宋体" w:hAnsi="宋体" w:cs="宋体"/>
          <w:color w:val="auto"/>
          <w:szCs w:val="21"/>
          <w:highlight w:val="none"/>
        </w:rPr>
      </w:pPr>
    </w:p>
    <w:p>
      <w:pPr>
        <w:pageBreakBefore w:val="0"/>
        <w:kinsoku/>
        <w:wordWrap/>
        <w:overflowPunct/>
        <w:topLinePunct w:val="0"/>
        <w:bidi w:val="0"/>
        <w:spacing w:line="360" w:lineRule="auto"/>
        <w:outlineLvl w:val="9"/>
        <w:rPr>
          <w:rFonts w:ascii="宋体" w:hAnsi="宋体" w:cs="宋体"/>
          <w:color w:val="auto"/>
          <w:szCs w:val="32"/>
          <w:highlight w:val="none"/>
        </w:rPr>
      </w:pPr>
      <w:bookmarkStart w:id="194" w:name="_Toc16168"/>
      <w:r>
        <w:rPr>
          <w:rFonts w:hint="eastAsia" w:ascii="宋体" w:hAnsi="宋体" w:cs="宋体"/>
          <w:color w:val="auto"/>
          <w:szCs w:val="32"/>
          <w:highlight w:val="none"/>
        </w:rPr>
        <w:t>一、资格审查响应对照表</w:t>
      </w:r>
      <w:bookmarkEnd w:id="191"/>
      <w:bookmarkEnd w:id="194"/>
    </w:p>
    <w:p>
      <w:pPr>
        <w:pageBreakBefore w:val="0"/>
        <w:kinsoku/>
        <w:wordWrap/>
        <w:overflowPunct/>
        <w:topLinePunct w:val="0"/>
        <w:bidi w:val="0"/>
        <w:spacing w:line="360" w:lineRule="auto"/>
        <w:outlineLvl w:val="9"/>
        <w:rPr>
          <w:rFonts w:ascii="宋体"/>
          <w:color w:val="auto"/>
          <w:szCs w:val="21"/>
          <w:highlight w:val="none"/>
        </w:rPr>
      </w:pPr>
      <w:r>
        <w:rPr>
          <w:rFonts w:hint="eastAsia" w:ascii="宋体" w:hAnsi="宋体"/>
          <w:color w:val="auto"/>
          <w:szCs w:val="21"/>
          <w:highlight w:val="none"/>
        </w:rPr>
        <w:t>投标人全称（加盖公章）：</w:t>
      </w:r>
    </w:p>
    <w:tbl>
      <w:tblPr>
        <w:tblStyle w:val="37"/>
        <w:tblpPr w:leftFromText="180" w:rightFromText="180" w:vertAnchor="text" w:horzAnchor="page" w:tblpXSpec="center" w:tblpY="508"/>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5740"/>
        <w:gridCol w:w="1820"/>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418" w:type="pct"/>
            <w:vAlign w:val="center"/>
          </w:tcPr>
          <w:p>
            <w:pPr>
              <w:pageBreakBefore w:val="0"/>
              <w:kinsoku/>
              <w:wordWrap/>
              <w:overflowPunct/>
              <w:topLinePunct w:val="0"/>
              <w:bidi w:val="0"/>
              <w:snapToGrid w:val="0"/>
              <w:spacing w:line="360" w:lineRule="auto"/>
              <w:jc w:val="center"/>
              <w:outlineLvl w:val="9"/>
              <w:rPr>
                <w:rFonts w:ascii="宋体"/>
                <w:color w:val="auto"/>
                <w:szCs w:val="21"/>
                <w:highlight w:val="none"/>
              </w:rPr>
            </w:pPr>
            <w:r>
              <w:rPr>
                <w:rFonts w:hint="eastAsia" w:ascii="宋体" w:hAnsi="宋体"/>
                <w:color w:val="auto"/>
                <w:szCs w:val="21"/>
                <w:highlight w:val="none"/>
              </w:rPr>
              <w:t>序号</w:t>
            </w:r>
          </w:p>
        </w:tc>
        <w:tc>
          <w:tcPr>
            <w:tcW w:w="2769" w:type="pct"/>
            <w:vAlign w:val="center"/>
          </w:tcPr>
          <w:p>
            <w:pPr>
              <w:pageBreakBefore w:val="0"/>
              <w:kinsoku/>
              <w:wordWrap/>
              <w:overflowPunct/>
              <w:topLinePunct w:val="0"/>
              <w:bidi w:val="0"/>
              <w:snapToGrid w:val="0"/>
              <w:spacing w:line="360" w:lineRule="auto"/>
              <w:jc w:val="center"/>
              <w:outlineLvl w:val="9"/>
              <w:rPr>
                <w:rFonts w:ascii="宋体"/>
                <w:color w:val="auto"/>
                <w:szCs w:val="21"/>
                <w:highlight w:val="none"/>
              </w:rPr>
            </w:pPr>
            <w:r>
              <w:rPr>
                <w:rFonts w:hint="eastAsia" w:ascii="宋体" w:hAnsi="宋体"/>
                <w:color w:val="auto"/>
                <w:szCs w:val="21"/>
                <w:highlight w:val="none"/>
              </w:rPr>
              <w:t>资格和符合性检查响应内容</w:t>
            </w:r>
          </w:p>
        </w:tc>
        <w:tc>
          <w:tcPr>
            <w:tcW w:w="878" w:type="pct"/>
            <w:vAlign w:val="center"/>
          </w:tcPr>
          <w:p>
            <w:pPr>
              <w:pageBreakBefore w:val="0"/>
              <w:kinsoku/>
              <w:wordWrap/>
              <w:overflowPunct/>
              <w:topLinePunct w:val="0"/>
              <w:bidi w:val="0"/>
              <w:snapToGrid w:val="0"/>
              <w:spacing w:line="360" w:lineRule="auto"/>
              <w:jc w:val="center"/>
              <w:outlineLvl w:val="9"/>
              <w:rPr>
                <w:rFonts w:ascii="宋体"/>
                <w:color w:val="auto"/>
                <w:szCs w:val="21"/>
                <w:highlight w:val="none"/>
              </w:rPr>
            </w:pPr>
            <w:r>
              <w:rPr>
                <w:rFonts w:hint="eastAsia" w:ascii="宋体" w:hAnsi="宋体"/>
                <w:color w:val="auto"/>
                <w:szCs w:val="21"/>
                <w:highlight w:val="none"/>
              </w:rPr>
              <w:t>是否响应</w:t>
            </w:r>
          </w:p>
          <w:p>
            <w:pPr>
              <w:pageBreakBefore w:val="0"/>
              <w:kinsoku/>
              <w:wordWrap/>
              <w:overflowPunct/>
              <w:topLinePunct w:val="0"/>
              <w:bidi w:val="0"/>
              <w:snapToGrid w:val="0"/>
              <w:spacing w:line="360" w:lineRule="auto"/>
              <w:jc w:val="center"/>
              <w:outlineLvl w:val="9"/>
              <w:rPr>
                <w:rFonts w:ascii="宋体"/>
                <w:color w:val="auto"/>
                <w:szCs w:val="21"/>
                <w:highlight w:val="none"/>
              </w:rPr>
            </w:pPr>
            <w:r>
              <w:rPr>
                <w:rFonts w:hint="eastAsia" w:ascii="宋体" w:hAnsi="宋体"/>
                <w:color w:val="auto"/>
                <w:szCs w:val="21"/>
                <w:highlight w:val="none"/>
              </w:rPr>
              <w:t>（填是或者否）</w:t>
            </w:r>
          </w:p>
        </w:tc>
        <w:tc>
          <w:tcPr>
            <w:tcW w:w="933" w:type="pct"/>
            <w:vAlign w:val="center"/>
          </w:tcPr>
          <w:p>
            <w:pPr>
              <w:pageBreakBefore w:val="0"/>
              <w:kinsoku/>
              <w:wordWrap/>
              <w:overflowPunct/>
              <w:topLinePunct w:val="0"/>
              <w:bidi w:val="0"/>
              <w:snapToGrid w:val="0"/>
              <w:spacing w:line="360" w:lineRule="auto"/>
              <w:jc w:val="center"/>
              <w:outlineLvl w:val="9"/>
              <w:rPr>
                <w:rFonts w:ascii="宋体"/>
                <w:color w:val="auto"/>
                <w:szCs w:val="21"/>
                <w:highlight w:val="none"/>
              </w:rPr>
            </w:pPr>
            <w:r>
              <w:rPr>
                <w:rFonts w:hint="eastAsia" w:ascii="宋体" w:hAnsi="宋体"/>
                <w:color w:val="auto"/>
                <w:szCs w:val="21"/>
                <w:highlight w:val="none"/>
              </w:rPr>
              <w:t>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18" w:type="pct"/>
            <w:vAlign w:val="center"/>
          </w:tcPr>
          <w:p>
            <w:pPr>
              <w:pageBreakBefore w:val="0"/>
              <w:kinsoku/>
              <w:wordWrap/>
              <w:overflowPunct/>
              <w:topLinePunct w:val="0"/>
              <w:bidi w:val="0"/>
              <w:spacing w:line="360" w:lineRule="auto"/>
              <w:jc w:val="center"/>
              <w:outlineLvl w:val="9"/>
              <w:rPr>
                <w:rFonts w:hint="eastAsia" w:ascii="宋体" w:eastAsia="宋体"/>
                <w:i/>
                <w:color w:val="auto"/>
                <w:szCs w:val="21"/>
                <w:highlight w:val="none"/>
                <w:u w:val="single"/>
                <w:lang w:eastAsia="zh-CN"/>
              </w:rPr>
            </w:pPr>
            <w:r>
              <w:rPr>
                <w:rFonts w:hint="eastAsia" w:ascii="Times New Roman" w:hAnsi="Times New Roman"/>
                <w:i/>
                <w:color w:val="auto"/>
                <w:szCs w:val="21"/>
                <w:highlight w:val="none"/>
                <w:u w:val="single"/>
                <w:lang w:eastAsia="zh-CN"/>
              </w:rPr>
              <w:t>1</w:t>
            </w:r>
          </w:p>
        </w:tc>
        <w:tc>
          <w:tcPr>
            <w:tcW w:w="2769" w:type="pct"/>
            <w:vAlign w:val="center"/>
          </w:tcPr>
          <w:p>
            <w:pPr>
              <w:pageBreakBefore w:val="0"/>
              <w:kinsoku/>
              <w:wordWrap/>
              <w:overflowPunct/>
              <w:topLinePunct w:val="0"/>
              <w:bidi w:val="0"/>
              <w:spacing w:line="360" w:lineRule="auto"/>
              <w:outlineLvl w:val="9"/>
              <w:rPr>
                <w:rFonts w:ascii="宋体"/>
                <w:i/>
                <w:iCs/>
                <w:color w:val="auto"/>
                <w:szCs w:val="21"/>
                <w:highlight w:val="none"/>
                <w:u w:val="single"/>
              </w:rPr>
            </w:pPr>
          </w:p>
        </w:tc>
        <w:tc>
          <w:tcPr>
            <w:tcW w:w="878" w:type="pct"/>
            <w:vAlign w:val="center"/>
          </w:tcPr>
          <w:p>
            <w:pPr>
              <w:pageBreakBefore w:val="0"/>
              <w:kinsoku/>
              <w:wordWrap/>
              <w:overflowPunct/>
              <w:topLinePunct w:val="0"/>
              <w:bidi w:val="0"/>
              <w:spacing w:line="360" w:lineRule="auto"/>
              <w:outlineLvl w:val="9"/>
              <w:rPr>
                <w:rFonts w:ascii="宋体"/>
                <w:color w:val="auto"/>
                <w:szCs w:val="21"/>
                <w:highlight w:val="none"/>
              </w:rPr>
            </w:pPr>
          </w:p>
        </w:tc>
        <w:tc>
          <w:tcPr>
            <w:tcW w:w="933" w:type="pct"/>
            <w:vAlign w:val="center"/>
          </w:tcPr>
          <w:p>
            <w:pPr>
              <w:pageBreakBefore w:val="0"/>
              <w:kinsoku/>
              <w:wordWrap/>
              <w:overflowPunct/>
              <w:topLinePunct w:val="0"/>
              <w:bidi w:val="0"/>
              <w:spacing w:line="360" w:lineRule="auto"/>
              <w:outlineLvl w:val="9"/>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18" w:type="pct"/>
            <w:vAlign w:val="center"/>
          </w:tcPr>
          <w:p>
            <w:pPr>
              <w:pageBreakBefore w:val="0"/>
              <w:kinsoku/>
              <w:wordWrap/>
              <w:overflowPunct/>
              <w:topLinePunct w:val="0"/>
              <w:bidi w:val="0"/>
              <w:spacing w:line="360" w:lineRule="auto"/>
              <w:jc w:val="center"/>
              <w:outlineLvl w:val="9"/>
              <w:rPr>
                <w:rFonts w:hint="eastAsia" w:ascii="宋体" w:eastAsia="宋体"/>
                <w:i/>
                <w:color w:val="auto"/>
                <w:szCs w:val="21"/>
                <w:highlight w:val="none"/>
                <w:u w:val="single"/>
                <w:lang w:eastAsia="zh-CN"/>
              </w:rPr>
            </w:pPr>
            <w:r>
              <w:rPr>
                <w:rFonts w:hint="eastAsia" w:ascii="Times New Roman" w:hAnsi="Times New Roman"/>
                <w:i/>
                <w:color w:val="auto"/>
                <w:szCs w:val="21"/>
                <w:highlight w:val="none"/>
                <w:u w:val="single"/>
                <w:lang w:eastAsia="zh-CN"/>
              </w:rPr>
              <w:t>2</w:t>
            </w:r>
          </w:p>
        </w:tc>
        <w:tc>
          <w:tcPr>
            <w:tcW w:w="2769" w:type="pct"/>
            <w:vAlign w:val="center"/>
          </w:tcPr>
          <w:p>
            <w:pPr>
              <w:pageBreakBefore w:val="0"/>
              <w:kinsoku/>
              <w:wordWrap/>
              <w:overflowPunct/>
              <w:topLinePunct w:val="0"/>
              <w:bidi w:val="0"/>
              <w:spacing w:line="360" w:lineRule="auto"/>
              <w:outlineLvl w:val="9"/>
              <w:rPr>
                <w:rFonts w:ascii="宋体"/>
                <w:i/>
                <w:iCs/>
                <w:color w:val="auto"/>
                <w:szCs w:val="21"/>
                <w:highlight w:val="none"/>
                <w:u w:val="single"/>
              </w:rPr>
            </w:pPr>
          </w:p>
        </w:tc>
        <w:tc>
          <w:tcPr>
            <w:tcW w:w="878" w:type="pct"/>
            <w:vAlign w:val="center"/>
          </w:tcPr>
          <w:p>
            <w:pPr>
              <w:pageBreakBefore w:val="0"/>
              <w:kinsoku/>
              <w:wordWrap/>
              <w:overflowPunct/>
              <w:topLinePunct w:val="0"/>
              <w:bidi w:val="0"/>
              <w:spacing w:line="360" w:lineRule="auto"/>
              <w:outlineLvl w:val="9"/>
              <w:rPr>
                <w:rFonts w:ascii="宋体"/>
                <w:color w:val="auto"/>
                <w:szCs w:val="21"/>
                <w:highlight w:val="none"/>
              </w:rPr>
            </w:pPr>
          </w:p>
        </w:tc>
        <w:tc>
          <w:tcPr>
            <w:tcW w:w="933" w:type="pct"/>
            <w:vAlign w:val="center"/>
          </w:tcPr>
          <w:p>
            <w:pPr>
              <w:pageBreakBefore w:val="0"/>
              <w:kinsoku/>
              <w:wordWrap/>
              <w:overflowPunct/>
              <w:topLinePunct w:val="0"/>
              <w:bidi w:val="0"/>
              <w:spacing w:line="360" w:lineRule="auto"/>
              <w:outlineLvl w:val="9"/>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18" w:type="pct"/>
            <w:vAlign w:val="center"/>
          </w:tcPr>
          <w:p>
            <w:pPr>
              <w:pageBreakBefore w:val="0"/>
              <w:kinsoku/>
              <w:wordWrap/>
              <w:overflowPunct/>
              <w:topLinePunct w:val="0"/>
              <w:bidi w:val="0"/>
              <w:spacing w:line="360" w:lineRule="auto"/>
              <w:jc w:val="center"/>
              <w:outlineLvl w:val="9"/>
              <w:rPr>
                <w:rFonts w:hint="eastAsia" w:ascii="宋体" w:eastAsia="宋体"/>
                <w:i/>
                <w:color w:val="auto"/>
                <w:szCs w:val="21"/>
                <w:highlight w:val="none"/>
                <w:u w:val="single"/>
                <w:lang w:eastAsia="zh-CN"/>
              </w:rPr>
            </w:pPr>
            <w:r>
              <w:rPr>
                <w:rFonts w:hint="eastAsia" w:ascii="Times New Roman" w:hAnsi="Times New Roman"/>
                <w:i/>
                <w:color w:val="auto"/>
                <w:szCs w:val="21"/>
                <w:highlight w:val="none"/>
                <w:u w:val="single"/>
                <w:lang w:eastAsia="zh-CN"/>
              </w:rPr>
              <w:t>3</w:t>
            </w:r>
          </w:p>
        </w:tc>
        <w:tc>
          <w:tcPr>
            <w:tcW w:w="2769" w:type="pct"/>
            <w:vAlign w:val="center"/>
          </w:tcPr>
          <w:p>
            <w:pPr>
              <w:pageBreakBefore w:val="0"/>
              <w:kinsoku/>
              <w:wordWrap/>
              <w:overflowPunct/>
              <w:topLinePunct w:val="0"/>
              <w:bidi w:val="0"/>
              <w:spacing w:line="360" w:lineRule="auto"/>
              <w:outlineLvl w:val="9"/>
              <w:rPr>
                <w:rFonts w:ascii="宋体"/>
                <w:i/>
                <w:iCs/>
                <w:color w:val="auto"/>
                <w:szCs w:val="21"/>
                <w:highlight w:val="none"/>
                <w:u w:val="single"/>
              </w:rPr>
            </w:pPr>
          </w:p>
        </w:tc>
        <w:tc>
          <w:tcPr>
            <w:tcW w:w="878" w:type="pct"/>
            <w:vAlign w:val="center"/>
          </w:tcPr>
          <w:p>
            <w:pPr>
              <w:pageBreakBefore w:val="0"/>
              <w:kinsoku/>
              <w:wordWrap/>
              <w:overflowPunct/>
              <w:topLinePunct w:val="0"/>
              <w:bidi w:val="0"/>
              <w:spacing w:line="360" w:lineRule="auto"/>
              <w:outlineLvl w:val="9"/>
              <w:rPr>
                <w:rFonts w:ascii="宋体"/>
                <w:color w:val="auto"/>
                <w:szCs w:val="21"/>
                <w:highlight w:val="none"/>
              </w:rPr>
            </w:pPr>
          </w:p>
        </w:tc>
        <w:tc>
          <w:tcPr>
            <w:tcW w:w="933" w:type="pct"/>
            <w:vAlign w:val="center"/>
          </w:tcPr>
          <w:p>
            <w:pPr>
              <w:pageBreakBefore w:val="0"/>
              <w:kinsoku/>
              <w:wordWrap/>
              <w:overflowPunct/>
              <w:topLinePunct w:val="0"/>
              <w:bidi w:val="0"/>
              <w:spacing w:line="360" w:lineRule="auto"/>
              <w:outlineLvl w:val="9"/>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6" w:hRule="atLeast"/>
          <w:jc w:val="center"/>
        </w:trPr>
        <w:tc>
          <w:tcPr>
            <w:tcW w:w="418" w:type="pct"/>
            <w:vAlign w:val="center"/>
          </w:tcPr>
          <w:p>
            <w:pPr>
              <w:pageBreakBefore w:val="0"/>
              <w:kinsoku/>
              <w:wordWrap/>
              <w:overflowPunct/>
              <w:topLinePunct w:val="0"/>
              <w:bidi w:val="0"/>
              <w:spacing w:line="360" w:lineRule="auto"/>
              <w:jc w:val="center"/>
              <w:outlineLvl w:val="9"/>
              <w:rPr>
                <w:rFonts w:hint="eastAsia" w:ascii="宋体" w:eastAsia="宋体"/>
                <w:i/>
                <w:color w:val="auto"/>
                <w:szCs w:val="21"/>
                <w:highlight w:val="none"/>
                <w:u w:val="single"/>
                <w:lang w:eastAsia="zh-CN"/>
              </w:rPr>
            </w:pPr>
            <w:r>
              <w:rPr>
                <w:rFonts w:hint="eastAsia" w:ascii="Times New Roman" w:hAnsi="Times New Roman"/>
                <w:i/>
                <w:color w:val="auto"/>
                <w:szCs w:val="21"/>
                <w:highlight w:val="none"/>
                <w:u w:val="single"/>
                <w:lang w:eastAsia="zh-CN"/>
              </w:rPr>
              <w:t>4</w:t>
            </w:r>
          </w:p>
        </w:tc>
        <w:tc>
          <w:tcPr>
            <w:tcW w:w="2769" w:type="pct"/>
            <w:vAlign w:val="center"/>
          </w:tcPr>
          <w:p>
            <w:pPr>
              <w:pageBreakBefore w:val="0"/>
              <w:kinsoku/>
              <w:wordWrap/>
              <w:overflowPunct/>
              <w:topLinePunct w:val="0"/>
              <w:bidi w:val="0"/>
              <w:spacing w:line="360" w:lineRule="auto"/>
              <w:outlineLvl w:val="9"/>
              <w:rPr>
                <w:rFonts w:ascii="宋体"/>
                <w:i/>
                <w:iCs/>
                <w:color w:val="auto"/>
                <w:szCs w:val="21"/>
                <w:highlight w:val="none"/>
                <w:u w:val="single"/>
              </w:rPr>
            </w:pPr>
          </w:p>
        </w:tc>
        <w:tc>
          <w:tcPr>
            <w:tcW w:w="878" w:type="pct"/>
            <w:vAlign w:val="center"/>
          </w:tcPr>
          <w:p>
            <w:pPr>
              <w:pageBreakBefore w:val="0"/>
              <w:kinsoku/>
              <w:wordWrap/>
              <w:overflowPunct/>
              <w:topLinePunct w:val="0"/>
              <w:bidi w:val="0"/>
              <w:spacing w:line="360" w:lineRule="auto"/>
              <w:outlineLvl w:val="9"/>
              <w:rPr>
                <w:rFonts w:ascii="宋体"/>
                <w:color w:val="auto"/>
                <w:szCs w:val="21"/>
                <w:highlight w:val="none"/>
              </w:rPr>
            </w:pPr>
          </w:p>
        </w:tc>
        <w:tc>
          <w:tcPr>
            <w:tcW w:w="933" w:type="pct"/>
            <w:vAlign w:val="center"/>
          </w:tcPr>
          <w:p>
            <w:pPr>
              <w:pageBreakBefore w:val="0"/>
              <w:kinsoku/>
              <w:wordWrap/>
              <w:overflowPunct/>
              <w:topLinePunct w:val="0"/>
              <w:bidi w:val="0"/>
              <w:spacing w:line="360" w:lineRule="auto"/>
              <w:outlineLvl w:val="9"/>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418" w:type="pct"/>
            <w:vAlign w:val="center"/>
          </w:tcPr>
          <w:p>
            <w:pPr>
              <w:pageBreakBefore w:val="0"/>
              <w:kinsoku/>
              <w:wordWrap/>
              <w:overflowPunct/>
              <w:topLinePunct w:val="0"/>
              <w:bidi w:val="0"/>
              <w:spacing w:line="360" w:lineRule="auto"/>
              <w:jc w:val="center"/>
              <w:outlineLvl w:val="9"/>
              <w:rPr>
                <w:rFonts w:hint="eastAsia" w:ascii="宋体" w:eastAsia="宋体"/>
                <w:i/>
                <w:color w:val="auto"/>
                <w:szCs w:val="21"/>
                <w:highlight w:val="none"/>
                <w:u w:val="single"/>
                <w:lang w:eastAsia="zh-CN"/>
              </w:rPr>
            </w:pPr>
            <w:r>
              <w:rPr>
                <w:rFonts w:hint="eastAsia" w:ascii="Times New Roman" w:hAnsi="Times New Roman"/>
                <w:i/>
                <w:color w:val="auto"/>
                <w:szCs w:val="21"/>
                <w:highlight w:val="none"/>
                <w:u w:val="single"/>
                <w:lang w:eastAsia="zh-CN"/>
              </w:rPr>
              <w:t>5</w:t>
            </w:r>
          </w:p>
        </w:tc>
        <w:tc>
          <w:tcPr>
            <w:tcW w:w="2769" w:type="pct"/>
            <w:vAlign w:val="center"/>
          </w:tcPr>
          <w:p>
            <w:pPr>
              <w:pageBreakBefore w:val="0"/>
              <w:kinsoku/>
              <w:wordWrap/>
              <w:overflowPunct/>
              <w:topLinePunct w:val="0"/>
              <w:bidi w:val="0"/>
              <w:snapToGrid w:val="0"/>
              <w:spacing w:line="360" w:lineRule="auto"/>
              <w:outlineLvl w:val="9"/>
              <w:rPr>
                <w:rFonts w:ascii="宋体"/>
                <w:i/>
                <w:iCs/>
                <w:color w:val="auto"/>
                <w:szCs w:val="21"/>
                <w:highlight w:val="none"/>
                <w:u w:val="single"/>
              </w:rPr>
            </w:pPr>
          </w:p>
        </w:tc>
        <w:tc>
          <w:tcPr>
            <w:tcW w:w="878" w:type="pct"/>
            <w:vAlign w:val="center"/>
          </w:tcPr>
          <w:p>
            <w:pPr>
              <w:pageBreakBefore w:val="0"/>
              <w:kinsoku/>
              <w:wordWrap/>
              <w:overflowPunct/>
              <w:topLinePunct w:val="0"/>
              <w:bidi w:val="0"/>
              <w:spacing w:line="360" w:lineRule="auto"/>
              <w:outlineLvl w:val="9"/>
              <w:rPr>
                <w:rFonts w:ascii="宋体"/>
                <w:color w:val="auto"/>
                <w:szCs w:val="21"/>
                <w:highlight w:val="none"/>
              </w:rPr>
            </w:pPr>
          </w:p>
        </w:tc>
        <w:tc>
          <w:tcPr>
            <w:tcW w:w="933" w:type="pct"/>
            <w:vAlign w:val="center"/>
          </w:tcPr>
          <w:p>
            <w:pPr>
              <w:pageBreakBefore w:val="0"/>
              <w:kinsoku/>
              <w:wordWrap/>
              <w:overflowPunct/>
              <w:topLinePunct w:val="0"/>
              <w:bidi w:val="0"/>
              <w:spacing w:line="360" w:lineRule="auto"/>
              <w:outlineLvl w:val="9"/>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8" w:type="pct"/>
            <w:vAlign w:val="center"/>
          </w:tcPr>
          <w:p>
            <w:pPr>
              <w:pageBreakBefore w:val="0"/>
              <w:kinsoku/>
              <w:wordWrap/>
              <w:overflowPunct/>
              <w:topLinePunct w:val="0"/>
              <w:bidi w:val="0"/>
              <w:spacing w:line="360" w:lineRule="auto"/>
              <w:jc w:val="center"/>
              <w:outlineLvl w:val="9"/>
              <w:rPr>
                <w:rFonts w:hint="eastAsia" w:ascii="宋体" w:eastAsia="宋体"/>
                <w:i/>
                <w:color w:val="auto"/>
                <w:szCs w:val="21"/>
                <w:highlight w:val="none"/>
                <w:u w:val="single"/>
                <w:lang w:eastAsia="zh-CN"/>
              </w:rPr>
            </w:pPr>
            <w:r>
              <w:rPr>
                <w:rFonts w:hint="eastAsia" w:ascii="Times New Roman" w:hAnsi="Times New Roman"/>
                <w:i/>
                <w:color w:val="auto"/>
                <w:szCs w:val="21"/>
                <w:highlight w:val="none"/>
                <w:u w:val="single"/>
                <w:lang w:eastAsia="zh-CN"/>
              </w:rPr>
              <w:t>6</w:t>
            </w:r>
          </w:p>
        </w:tc>
        <w:tc>
          <w:tcPr>
            <w:tcW w:w="2769" w:type="pct"/>
            <w:vAlign w:val="center"/>
          </w:tcPr>
          <w:p>
            <w:pPr>
              <w:pageBreakBefore w:val="0"/>
              <w:kinsoku/>
              <w:wordWrap/>
              <w:overflowPunct/>
              <w:topLinePunct w:val="0"/>
              <w:bidi w:val="0"/>
              <w:snapToGrid w:val="0"/>
              <w:spacing w:line="360" w:lineRule="auto"/>
              <w:outlineLvl w:val="9"/>
              <w:rPr>
                <w:rFonts w:ascii="宋体"/>
                <w:i/>
                <w:iCs/>
                <w:color w:val="auto"/>
                <w:szCs w:val="21"/>
                <w:highlight w:val="none"/>
                <w:u w:val="single"/>
              </w:rPr>
            </w:pPr>
          </w:p>
        </w:tc>
        <w:tc>
          <w:tcPr>
            <w:tcW w:w="878" w:type="pct"/>
            <w:vAlign w:val="center"/>
          </w:tcPr>
          <w:p>
            <w:pPr>
              <w:pageBreakBefore w:val="0"/>
              <w:kinsoku/>
              <w:wordWrap/>
              <w:overflowPunct/>
              <w:topLinePunct w:val="0"/>
              <w:bidi w:val="0"/>
              <w:spacing w:line="360" w:lineRule="auto"/>
              <w:outlineLvl w:val="9"/>
              <w:rPr>
                <w:rFonts w:ascii="宋体"/>
                <w:color w:val="auto"/>
                <w:szCs w:val="21"/>
                <w:highlight w:val="none"/>
              </w:rPr>
            </w:pPr>
          </w:p>
        </w:tc>
        <w:tc>
          <w:tcPr>
            <w:tcW w:w="933" w:type="pct"/>
            <w:vAlign w:val="center"/>
          </w:tcPr>
          <w:p>
            <w:pPr>
              <w:pageBreakBefore w:val="0"/>
              <w:kinsoku/>
              <w:wordWrap/>
              <w:overflowPunct/>
              <w:topLinePunct w:val="0"/>
              <w:bidi w:val="0"/>
              <w:spacing w:line="360" w:lineRule="auto"/>
              <w:outlineLvl w:val="9"/>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18" w:type="pct"/>
            <w:vAlign w:val="center"/>
          </w:tcPr>
          <w:p>
            <w:pPr>
              <w:pageBreakBefore w:val="0"/>
              <w:kinsoku/>
              <w:wordWrap/>
              <w:overflowPunct/>
              <w:topLinePunct w:val="0"/>
              <w:bidi w:val="0"/>
              <w:spacing w:line="360" w:lineRule="auto"/>
              <w:jc w:val="center"/>
              <w:outlineLvl w:val="9"/>
              <w:rPr>
                <w:rFonts w:hint="eastAsia" w:ascii="宋体" w:eastAsia="宋体"/>
                <w:i/>
                <w:color w:val="auto"/>
                <w:szCs w:val="21"/>
                <w:highlight w:val="none"/>
                <w:u w:val="single"/>
                <w:lang w:eastAsia="zh-CN"/>
              </w:rPr>
            </w:pPr>
            <w:r>
              <w:rPr>
                <w:rFonts w:hint="eastAsia" w:ascii="Times New Roman" w:hAnsi="Times New Roman"/>
                <w:i/>
                <w:color w:val="auto"/>
                <w:szCs w:val="21"/>
                <w:highlight w:val="none"/>
                <w:u w:val="single"/>
                <w:lang w:eastAsia="zh-CN"/>
              </w:rPr>
              <w:t>7</w:t>
            </w:r>
          </w:p>
        </w:tc>
        <w:tc>
          <w:tcPr>
            <w:tcW w:w="2769" w:type="pct"/>
            <w:vAlign w:val="center"/>
          </w:tcPr>
          <w:p>
            <w:pPr>
              <w:pageBreakBefore w:val="0"/>
              <w:kinsoku/>
              <w:wordWrap/>
              <w:overflowPunct/>
              <w:topLinePunct w:val="0"/>
              <w:bidi w:val="0"/>
              <w:snapToGrid w:val="0"/>
              <w:spacing w:line="360" w:lineRule="auto"/>
              <w:outlineLvl w:val="9"/>
              <w:rPr>
                <w:rFonts w:ascii="宋体"/>
                <w:i/>
                <w:iCs/>
                <w:color w:val="auto"/>
                <w:szCs w:val="21"/>
                <w:highlight w:val="none"/>
                <w:u w:val="single"/>
              </w:rPr>
            </w:pPr>
            <w:r>
              <w:rPr>
                <w:rFonts w:hint="eastAsia" w:ascii="宋体" w:hAnsi="宋体"/>
                <w:i/>
                <w:iCs/>
                <w:color w:val="auto"/>
                <w:szCs w:val="21"/>
                <w:highlight w:val="none"/>
                <w:u w:val="single"/>
              </w:rPr>
              <w:t>采购文件中的其他实质性要求</w:t>
            </w:r>
          </w:p>
        </w:tc>
        <w:tc>
          <w:tcPr>
            <w:tcW w:w="878" w:type="pct"/>
            <w:vAlign w:val="center"/>
          </w:tcPr>
          <w:p>
            <w:pPr>
              <w:pageBreakBefore w:val="0"/>
              <w:kinsoku/>
              <w:wordWrap/>
              <w:overflowPunct/>
              <w:topLinePunct w:val="0"/>
              <w:bidi w:val="0"/>
              <w:spacing w:line="360" w:lineRule="auto"/>
              <w:outlineLvl w:val="9"/>
              <w:rPr>
                <w:rFonts w:ascii="宋体"/>
                <w:color w:val="auto"/>
                <w:szCs w:val="21"/>
                <w:highlight w:val="none"/>
              </w:rPr>
            </w:pPr>
          </w:p>
        </w:tc>
        <w:tc>
          <w:tcPr>
            <w:tcW w:w="933" w:type="pct"/>
            <w:vAlign w:val="center"/>
          </w:tcPr>
          <w:p>
            <w:pPr>
              <w:pageBreakBefore w:val="0"/>
              <w:kinsoku/>
              <w:wordWrap/>
              <w:overflowPunct/>
              <w:topLinePunct w:val="0"/>
              <w:bidi w:val="0"/>
              <w:spacing w:line="360" w:lineRule="auto"/>
              <w:outlineLvl w:val="9"/>
              <w:rPr>
                <w:rFonts w:ascii="宋体"/>
                <w:color w:val="auto"/>
                <w:szCs w:val="21"/>
                <w:highlight w:val="none"/>
              </w:rPr>
            </w:pPr>
          </w:p>
        </w:tc>
      </w:tr>
    </w:tbl>
    <w:p>
      <w:pPr>
        <w:pageBreakBefore w:val="0"/>
        <w:kinsoku/>
        <w:wordWrap/>
        <w:overflowPunct/>
        <w:topLinePunct w:val="0"/>
        <w:bidi w:val="0"/>
        <w:spacing w:line="360" w:lineRule="auto"/>
        <w:ind w:firstLine="420" w:firstLineChars="200"/>
        <w:outlineLvl w:val="9"/>
        <w:rPr>
          <w:rFonts w:ascii="宋体"/>
          <w:color w:val="auto"/>
          <w:szCs w:val="21"/>
          <w:highlight w:val="none"/>
        </w:rPr>
      </w:pPr>
    </w:p>
    <w:p>
      <w:pPr>
        <w:pageBreakBefore w:val="0"/>
        <w:kinsoku/>
        <w:wordWrap/>
        <w:overflowPunct/>
        <w:topLinePunct w:val="0"/>
        <w:bidi w:val="0"/>
        <w:spacing w:before="50" w:after="50" w:line="360" w:lineRule="auto"/>
        <w:outlineLvl w:val="9"/>
        <w:rPr>
          <w:rFonts w:ascii="黑体" w:hAnsi="Tahoma" w:eastAsia="黑体"/>
          <w:color w:val="auto"/>
          <w:kern w:val="0"/>
          <w:sz w:val="22"/>
          <w:szCs w:val="21"/>
          <w:highlight w:val="none"/>
        </w:rPr>
      </w:pPr>
    </w:p>
    <w:p>
      <w:pPr>
        <w:pageBreakBefore w:val="0"/>
        <w:kinsoku/>
        <w:wordWrap/>
        <w:overflowPunct/>
        <w:topLinePunct w:val="0"/>
        <w:bidi w:val="0"/>
        <w:spacing w:before="156" w:after="156" w:line="360" w:lineRule="auto"/>
        <w:jc w:val="center"/>
        <w:outlineLvl w:val="9"/>
        <w:rPr>
          <w:rFonts w:ascii="宋体" w:hAnsi="宋体" w:cs="宋体"/>
          <w:b/>
          <w:bCs/>
          <w:color w:val="auto"/>
          <w:highlight w:val="none"/>
        </w:rPr>
      </w:pPr>
    </w:p>
    <w:p>
      <w:pPr>
        <w:pageBreakBefore w:val="0"/>
        <w:kinsoku/>
        <w:wordWrap/>
        <w:overflowPunct/>
        <w:topLinePunct w:val="0"/>
        <w:bidi w:val="0"/>
        <w:spacing w:before="156" w:after="156" w:line="360" w:lineRule="auto"/>
        <w:jc w:val="center"/>
        <w:outlineLvl w:val="9"/>
        <w:rPr>
          <w:rFonts w:ascii="宋体" w:hAnsi="宋体" w:cs="宋体"/>
          <w:b/>
          <w:bCs/>
          <w:color w:val="auto"/>
          <w:highlight w:val="none"/>
        </w:rPr>
      </w:pPr>
    </w:p>
    <w:p>
      <w:pPr>
        <w:pageBreakBefore w:val="0"/>
        <w:kinsoku/>
        <w:wordWrap/>
        <w:overflowPunct/>
        <w:topLinePunct w:val="0"/>
        <w:bidi w:val="0"/>
        <w:spacing w:before="156" w:after="156" w:line="360" w:lineRule="auto"/>
        <w:jc w:val="center"/>
        <w:outlineLvl w:val="9"/>
        <w:rPr>
          <w:rFonts w:ascii="宋体" w:hAnsi="宋体" w:cs="宋体"/>
          <w:b/>
          <w:bCs/>
          <w:color w:val="auto"/>
          <w:highlight w:val="none"/>
        </w:rPr>
      </w:pPr>
    </w:p>
    <w:p>
      <w:pPr>
        <w:pageBreakBefore w:val="0"/>
        <w:kinsoku/>
        <w:wordWrap/>
        <w:overflowPunct/>
        <w:topLinePunct w:val="0"/>
        <w:bidi w:val="0"/>
        <w:spacing w:line="360" w:lineRule="auto"/>
        <w:outlineLvl w:val="9"/>
        <w:rPr>
          <w:rFonts w:ascii="宋体" w:hAnsi="宋体" w:cs="宋体"/>
          <w:b/>
          <w:bCs/>
          <w:color w:val="auto"/>
          <w:highlight w:val="none"/>
        </w:rPr>
      </w:pPr>
      <w:r>
        <w:rPr>
          <w:rFonts w:hint="eastAsia" w:ascii="宋体" w:hAnsi="宋体" w:cs="宋体"/>
          <w:b/>
          <w:bCs/>
          <w:color w:val="auto"/>
          <w:highlight w:val="none"/>
        </w:rPr>
        <w:br w:type="page"/>
      </w:r>
    </w:p>
    <w:p>
      <w:pPr>
        <w:pageBreakBefore w:val="0"/>
        <w:kinsoku/>
        <w:wordWrap/>
        <w:overflowPunct/>
        <w:topLinePunct w:val="0"/>
        <w:bidi w:val="0"/>
        <w:spacing w:line="360" w:lineRule="auto"/>
        <w:outlineLvl w:val="9"/>
        <w:rPr>
          <w:rFonts w:hint="eastAsia" w:eastAsia="宋体"/>
          <w:color w:val="auto"/>
          <w:highlight w:val="none"/>
          <w:lang w:val="en-US" w:eastAsia="zh-CN"/>
        </w:rPr>
      </w:pPr>
      <w:bookmarkStart w:id="195" w:name="_Toc13897"/>
      <w:bookmarkStart w:id="196" w:name="_Toc18223"/>
      <w:bookmarkStart w:id="197" w:name="_Toc5868"/>
      <w:bookmarkStart w:id="198" w:name="_Toc7358"/>
      <w:bookmarkStart w:id="199" w:name="_Toc16634"/>
      <w:bookmarkStart w:id="200" w:name="_Toc19900"/>
      <w:r>
        <w:rPr>
          <w:rFonts w:hint="eastAsia" w:ascii="宋体" w:hAnsi="宋体" w:cs="宋体"/>
          <w:color w:val="auto"/>
          <w:szCs w:val="32"/>
          <w:highlight w:val="none"/>
        </w:rPr>
        <w:t>二、</w:t>
      </w:r>
      <w:r>
        <w:rPr>
          <w:rFonts w:hint="eastAsia"/>
          <w:color w:val="auto"/>
          <w:highlight w:val="none"/>
        </w:rPr>
        <w:t>资信证明文件</w:t>
      </w:r>
      <w:bookmarkEnd w:id="195"/>
      <w:bookmarkEnd w:id="196"/>
      <w:bookmarkEnd w:id="197"/>
      <w:bookmarkEnd w:id="198"/>
      <w:bookmarkEnd w:id="199"/>
      <w:r>
        <w:rPr>
          <w:rFonts w:hint="eastAsia"/>
          <w:color w:val="auto"/>
          <w:highlight w:val="none"/>
          <w:lang w:val="en-US" w:eastAsia="zh-CN"/>
        </w:rPr>
        <w:t>要求</w:t>
      </w:r>
      <w:bookmarkEnd w:id="200"/>
    </w:p>
    <w:p>
      <w:pPr>
        <w:pageBreakBefore w:val="0"/>
        <w:kinsoku/>
        <w:wordWrap/>
        <w:overflowPunct/>
        <w:topLinePunct w:val="0"/>
        <w:bidi w:val="0"/>
        <w:spacing w:line="360" w:lineRule="auto"/>
        <w:ind w:firstLine="420" w:firstLineChars="200"/>
        <w:outlineLvl w:val="9"/>
        <w:rPr>
          <w:rFonts w:ascii="宋体" w:hAnsi="宋体" w:cs="宋体"/>
          <w:color w:val="auto"/>
          <w:highlight w:val="none"/>
        </w:rPr>
      </w:pPr>
      <w:r>
        <w:rPr>
          <w:rFonts w:hint="eastAsia" w:ascii="宋体" w:hAnsi="宋体" w:cs="宋体"/>
          <w:color w:val="auto"/>
          <w:highlight w:val="none"/>
        </w:rPr>
        <w:t>（一）满足《中华人民共和国政府采购法》第二十二条规定，</w:t>
      </w:r>
      <w:r>
        <w:rPr>
          <w:rFonts w:hint="eastAsia" w:ascii="宋体" w:hAnsi="宋体"/>
          <w:color w:val="auto"/>
          <w:szCs w:val="21"/>
          <w:highlight w:val="none"/>
        </w:rPr>
        <w:t>并提供下列材料：</w:t>
      </w:r>
    </w:p>
    <w:p>
      <w:pPr>
        <w:pageBreakBefore w:val="0"/>
        <w:kinsoku/>
        <w:wordWrap/>
        <w:overflowPunct/>
        <w:topLinePunct w:val="0"/>
        <w:bidi w:val="0"/>
        <w:spacing w:line="360" w:lineRule="auto"/>
        <w:ind w:firstLine="420" w:firstLineChars="200"/>
        <w:outlineLvl w:val="9"/>
        <w:rPr>
          <w:rFonts w:ascii="宋体" w:hAnsi="宋体"/>
          <w:b/>
          <w:i/>
          <w:color w:val="auto"/>
          <w:szCs w:val="21"/>
          <w:highlight w:val="none"/>
          <w:u w:val="single"/>
        </w:rPr>
      </w:pPr>
      <w:r>
        <w:rPr>
          <w:rFonts w:hint="eastAsia" w:ascii="宋体" w:hAnsi="宋体"/>
          <w:color w:val="auto"/>
          <w:szCs w:val="21"/>
          <w:highlight w:val="none"/>
        </w:rPr>
        <w:t>（</w:t>
      </w:r>
      <w:r>
        <w:rPr>
          <w:rFonts w:hint="eastAsia" w:ascii="Times New Roman" w:hAnsi="Times New Roman"/>
          <w:color w:val="auto"/>
          <w:szCs w:val="21"/>
          <w:highlight w:val="none"/>
          <w:lang w:eastAsia="zh-CN"/>
        </w:rPr>
        <w:t>1</w:t>
      </w:r>
      <w:r>
        <w:rPr>
          <w:rFonts w:hint="eastAsia" w:ascii="宋体" w:hAnsi="宋体"/>
          <w:color w:val="auto"/>
          <w:szCs w:val="21"/>
          <w:highlight w:val="none"/>
        </w:rPr>
        <w:t>）</w:t>
      </w:r>
      <w:r>
        <w:rPr>
          <w:rFonts w:hint="eastAsia" w:ascii="宋体" w:hAnsi="宋体"/>
          <w:i/>
          <w:color w:val="auto"/>
          <w:szCs w:val="21"/>
          <w:highlight w:val="none"/>
          <w:u w:val="single"/>
          <w:lang w:val="en-US" w:eastAsia="zh-CN"/>
        </w:rPr>
        <w:t>投标</w:t>
      </w:r>
      <w:r>
        <w:rPr>
          <w:rFonts w:hint="eastAsia" w:ascii="宋体" w:hAnsi="宋体"/>
          <w:i/>
          <w:color w:val="auto"/>
          <w:szCs w:val="21"/>
          <w:highlight w:val="none"/>
          <w:u w:val="single"/>
        </w:rPr>
        <w:t>函</w:t>
      </w:r>
      <w:r>
        <w:rPr>
          <w:rFonts w:hint="eastAsia" w:ascii="宋体" w:hAnsi="宋体"/>
          <w:b/>
          <w:i/>
          <w:color w:val="auto"/>
          <w:szCs w:val="21"/>
          <w:highlight w:val="none"/>
          <w:u w:val="single"/>
        </w:rPr>
        <w:t>(原件)</w:t>
      </w:r>
    </w:p>
    <w:p>
      <w:pPr>
        <w:pageBreakBefore w:val="0"/>
        <w:kinsoku/>
        <w:wordWrap/>
        <w:overflowPunct/>
        <w:topLinePunct w:val="0"/>
        <w:bidi w:val="0"/>
        <w:spacing w:line="360" w:lineRule="auto"/>
        <w:ind w:firstLine="420" w:firstLineChars="200"/>
        <w:outlineLvl w:val="9"/>
        <w:rPr>
          <w:rFonts w:ascii="宋体" w:hAnsi="宋体"/>
          <w:color w:val="auto"/>
          <w:szCs w:val="21"/>
          <w:highlight w:val="none"/>
        </w:rPr>
      </w:pPr>
      <w:r>
        <w:rPr>
          <w:rFonts w:hint="eastAsia" w:ascii="宋体" w:hAnsi="宋体"/>
          <w:color w:val="auto"/>
          <w:szCs w:val="21"/>
          <w:highlight w:val="none"/>
        </w:rPr>
        <w:t>（</w:t>
      </w:r>
      <w:r>
        <w:rPr>
          <w:rFonts w:hint="eastAsia" w:ascii="Times New Roman" w:hAnsi="Times New Roman"/>
          <w:color w:val="auto"/>
          <w:szCs w:val="21"/>
          <w:highlight w:val="none"/>
          <w:lang w:eastAsia="zh-CN"/>
        </w:rPr>
        <w:t>2</w:t>
      </w:r>
      <w:r>
        <w:rPr>
          <w:rFonts w:hint="eastAsia" w:ascii="宋体" w:hAnsi="宋体"/>
          <w:color w:val="auto"/>
          <w:szCs w:val="21"/>
          <w:highlight w:val="none"/>
        </w:rPr>
        <w:t>）</w:t>
      </w:r>
      <w:r>
        <w:rPr>
          <w:rFonts w:hint="eastAsia" w:ascii="宋体" w:hAnsi="宋体"/>
          <w:i/>
          <w:iCs/>
          <w:color w:val="auto"/>
          <w:szCs w:val="21"/>
          <w:highlight w:val="none"/>
          <w:u w:val="single"/>
        </w:rPr>
        <w:t>资格声明</w:t>
      </w:r>
      <w:r>
        <w:rPr>
          <w:rFonts w:hint="eastAsia" w:ascii="宋体" w:hAnsi="宋体"/>
          <w:b/>
          <w:i/>
          <w:iCs/>
          <w:color w:val="auto"/>
          <w:szCs w:val="21"/>
          <w:highlight w:val="none"/>
          <w:u w:val="single"/>
        </w:rPr>
        <w:t>(原件)</w:t>
      </w:r>
    </w:p>
    <w:p>
      <w:pPr>
        <w:pageBreakBefore w:val="0"/>
        <w:kinsoku/>
        <w:wordWrap/>
        <w:overflowPunct/>
        <w:topLinePunct w:val="0"/>
        <w:bidi w:val="0"/>
        <w:spacing w:line="360" w:lineRule="auto"/>
        <w:ind w:right="312" w:firstLine="420" w:firstLineChars="200"/>
        <w:outlineLvl w:val="9"/>
        <w:rPr>
          <w:rFonts w:ascii="宋体" w:hAnsi="宋体"/>
          <w:color w:val="auto"/>
          <w:szCs w:val="21"/>
          <w:highlight w:val="none"/>
        </w:rPr>
      </w:pPr>
      <w:r>
        <w:rPr>
          <w:rFonts w:hint="eastAsia" w:ascii="宋体" w:hAnsi="宋体"/>
          <w:color w:val="auto"/>
          <w:szCs w:val="21"/>
          <w:highlight w:val="none"/>
        </w:rPr>
        <w:t>（</w:t>
      </w:r>
      <w:r>
        <w:rPr>
          <w:rFonts w:hint="eastAsia" w:ascii="Times New Roman" w:hAnsi="Times New Roman"/>
          <w:color w:val="auto"/>
          <w:szCs w:val="21"/>
          <w:highlight w:val="none"/>
          <w:lang w:eastAsia="zh-CN"/>
        </w:rPr>
        <w:t>3</w:t>
      </w:r>
      <w:r>
        <w:rPr>
          <w:rFonts w:hint="eastAsia" w:ascii="宋体" w:hAnsi="宋体"/>
          <w:color w:val="auto"/>
          <w:szCs w:val="21"/>
          <w:highlight w:val="none"/>
        </w:rPr>
        <w:t>）</w:t>
      </w:r>
      <w:r>
        <w:rPr>
          <w:rFonts w:hint="eastAsia" w:ascii="宋体" w:hAnsi="宋体"/>
          <w:i/>
          <w:iCs/>
          <w:color w:val="auto"/>
          <w:szCs w:val="21"/>
          <w:highlight w:val="none"/>
          <w:u w:val="single"/>
        </w:rPr>
        <w:t>若法定代表人参加</w:t>
      </w:r>
      <w:r>
        <w:rPr>
          <w:rFonts w:hint="eastAsia" w:ascii="宋体" w:hAnsi="宋体"/>
          <w:i/>
          <w:iCs/>
          <w:color w:val="auto"/>
          <w:szCs w:val="21"/>
          <w:highlight w:val="none"/>
          <w:u w:val="single"/>
          <w:lang w:val="en-US" w:eastAsia="zh-CN"/>
        </w:rPr>
        <w:t>投标</w:t>
      </w:r>
      <w:r>
        <w:rPr>
          <w:rFonts w:hint="eastAsia" w:ascii="宋体" w:hAnsi="宋体"/>
          <w:i/>
          <w:iCs/>
          <w:color w:val="auto"/>
          <w:szCs w:val="21"/>
          <w:highlight w:val="none"/>
          <w:u w:val="single"/>
        </w:rPr>
        <w:t>的，须提供本人身份证复印件</w:t>
      </w:r>
      <w:r>
        <w:rPr>
          <w:rFonts w:hint="eastAsia" w:ascii="宋体" w:hAnsi="宋体"/>
          <w:b/>
          <w:i/>
          <w:iCs/>
          <w:color w:val="auto"/>
          <w:szCs w:val="21"/>
          <w:highlight w:val="none"/>
          <w:u w:val="single"/>
        </w:rPr>
        <w:t>(原件备查)</w:t>
      </w:r>
      <w:r>
        <w:rPr>
          <w:rFonts w:hint="eastAsia" w:ascii="宋体" w:hAnsi="宋体"/>
          <w:i/>
          <w:iCs/>
          <w:color w:val="auto"/>
          <w:szCs w:val="21"/>
          <w:highlight w:val="none"/>
          <w:u w:val="single"/>
        </w:rPr>
        <w:t>；若授权代表参加的，须提供《法人授权书》原件和授权代表身份证复印件</w:t>
      </w:r>
      <w:r>
        <w:rPr>
          <w:rFonts w:hint="eastAsia" w:ascii="宋体" w:hAnsi="宋体"/>
          <w:b/>
          <w:i/>
          <w:iCs/>
          <w:color w:val="auto"/>
          <w:szCs w:val="21"/>
          <w:highlight w:val="none"/>
          <w:u w:val="single"/>
        </w:rPr>
        <w:t>（原件备查）</w:t>
      </w:r>
      <w:r>
        <w:rPr>
          <w:rFonts w:ascii="宋体" w:hAnsi="宋体"/>
          <w:color w:val="auto"/>
          <w:szCs w:val="21"/>
          <w:highlight w:val="none"/>
        </w:rPr>
        <w:t xml:space="preserve"> </w:t>
      </w:r>
    </w:p>
    <w:p>
      <w:pPr>
        <w:pageBreakBefore w:val="0"/>
        <w:kinsoku/>
        <w:wordWrap/>
        <w:overflowPunct/>
        <w:topLinePunct w:val="0"/>
        <w:bidi w:val="0"/>
        <w:spacing w:line="360" w:lineRule="auto"/>
        <w:ind w:firstLine="420" w:firstLineChars="200"/>
        <w:outlineLvl w:val="9"/>
        <w:rPr>
          <w:rFonts w:ascii="宋体" w:hAnsi="宋体"/>
          <w:i/>
          <w:iCs/>
          <w:color w:val="auto"/>
          <w:szCs w:val="21"/>
          <w:highlight w:val="none"/>
          <w:u w:val="single"/>
        </w:rPr>
      </w:pPr>
      <w:r>
        <w:rPr>
          <w:rFonts w:hint="eastAsia" w:ascii="宋体" w:hAnsi="宋体"/>
          <w:color w:val="auto"/>
          <w:szCs w:val="21"/>
          <w:highlight w:val="none"/>
        </w:rPr>
        <w:t>（</w:t>
      </w:r>
      <w:r>
        <w:rPr>
          <w:rFonts w:hint="eastAsia" w:ascii="Times New Roman" w:hAnsi="Times New Roman"/>
          <w:color w:val="auto"/>
          <w:szCs w:val="21"/>
          <w:highlight w:val="none"/>
          <w:lang w:eastAsia="zh-CN"/>
        </w:rPr>
        <w:t>4</w:t>
      </w:r>
      <w:r>
        <w:rPr>
          <w:rFonts w:hint="eastAsia" w:ascii="宋体" w:hAnsi="宋体"/>
          <w:color w:val="auto"/>
          <w:szCs w:val="21"/>
          <w:highlight w:val="none"/>
        </w:rPr>
        <w:t>）</w:t>
      </w:r>
      <w:r>
        <w:rPr>
          <w:rFonts w:hint="eastAsia" w:ascii="宋体" w:hAnsi="宋体"/>
          <w:i/>
          <w:iCs/>
          <w:color w:val="auto"/>
          <w:szCs w:val="21"/>
          <w:highlight w:val="none"/>
          <w:u w:val="single"/>
        </w:rPr>
        <w:t>营业执照副本或民办非企业单位登记证书或事业单位法人证书等相关身份证明材料</w:t>
      </w:r>
      <w:r>
        <w:rPr>
          <w:rFonts w:hint="eastAsia" w:ascii="宋体" w:hAnsi="宋体"/>
          <w:b/>
          <w:i/>
          <w:iCs/>
          <w:color w:val="auto"/>
          <w:szCs w:val="21"/>
          <w:highlight w:val="none"/>
          <w:u w:val="single"/>
        </w:rPr>
        <w:t>(复印件加盖供应商公章)</w:t>
      </w:r>
    </w:p>
    <w:p>
      <w:pPr>
        <w:pageBreakBefore w:val="0"/>
        <w:kinsoku/>
        <w:wordWrap/>
        <w:overflowPunct/>
        <w:topLinePunct w:val="0"/>
        <w:bidi w:val="0"/>
        <w:spacing w:line="360" w:lineRule="auto"/>
        <w:ind w:firstLine="420" w:firstLineChars="200"/>
        <w:outlineLvl w:val="9"/>
        <w:rPr>
          <w:rFonts w:ascii="宋体" w:hAnsi="宋体"/>
          <w:bCs/>
          <w:i/>
          <w:iCs/>
          <w:color w:val="auto"/>
          <w:szCs w:val="21"/>
          <w:highlight w:val="none"/>
          <w:u w:val="single"/>
        </w:rPr>
      </w:pPr>
      <w:r>
        <w:rPr>
          <w:rFonts w:hint="eastAsia" w:ascii="宋体" w:hAnsi="宋体"/>
          <w:color w:val="auto"/>
          <w:szCs w:val="21"/>
          <w:highlight w:val="none"/>
        </w:rPr>
        <w:t>（</w:t>
      </w:r>
      <w:r>
        <w:rPr>
          <w:rFonts w:hint="eastAsia" w:ascii="Times New Roman" w:hAnsi="Times New Roman"/>
          <w:color w:val="auto"/>
          <w:szCs w:val="21"/>
          <w:highlight w:val="none"/>
          <w:lang w:eastAsia="zh-CN"/>
        </w:rPr>
        <w:t>5</w:t>
      </w:r>
      <w:r>
        <w:rPr>
          <w:rFonts w:hint="eastAsia" w:ascii="宋体" w:hAnsi="宋体"/>
          <w:color w:val="auto"/>
          <w:szCs w:val="21"/>
          <w:highlight w:val="none"/>
        </w:rPr>
        <w:t>）</w:t>
      </w:r>
      <w:r>
        <w:rPr>
          <w:rFonts w:hint="eastAsia" w:ascii="宋体" w:hAnsi="宋体"/>
          <w:i/>
          <w:color w:val="auto"/>
          <w:szCs w:val="21"/>
          <w:highlight w:val="none"/>
          <w:u w:val="single"/>
        </w:rPr>
        <w:t>依法缴纳职工社会保障资金的证明材料</w:t>
      </w:r>
      <w:r>
        <w:rPr>
          <w:rFonts w:hint="eastAsia" w:ascii="宋体" w:hAnsi="宋体"/>
          <w:b/>
          <w:i/>
          <w:color w:val="auto"/>
          <w:szCs w:val="21"/>
          <w:highlight w:val="none"/>
          <w:u w:val="single"/>
        </w:rPr>
        <w:t>(复印件加盖供应商公章)</w:t>
      </w:r>
      <w:r>
        <w:rPr>
          <w:rFonts w:hint="eastAsia" w:ascii="宋体" w:hAnsi="宋体"/>
          <w:i/>
          <w:color w:val="auto"/>
          <w:szCs w:val="21"/>
          <w:highlight w:val="none"/>
          <w:u w:val="single"/>
        </w:rPr>
        <w:t>(税务、银行或社会保险基金管理部门出具的</w:t>
      </w:r>
      <w:r>
        <w:rPr>
          <w:rFonts w:hint="eastAsia" w:ascii="Times New Roman" w:hAnsi="Times New Roman"/>
          <w:bCs/>
          <w:i/>
          <w:iCs/>
          <w:color w:val="auto"/>
          <w:szCs w:val="21"/>
          <w:highlight w:val="none"/>
          <w:u w:val="single"/>
          <w:lang w:eastAsia="zh-CN"/>
        </w:rPr>
        <w:t>2023</w:t>
      </w:r>
      <w:r>
        <w:rPr>
          <w:rFonts w:hint="eastAsia" w:ascii="宋体" w:hAnsi="宋体"/>
          <w:bCs/>
          <w:i/>
          <w:iCs/>
          <w:color w:val="auto"/>
          <w:szCs w:val="21"/>
          <w:highlight w:val="none"/>
          <w:u w:val="single"/>
        </w:rPr>
        <w:t>年</w:t>
      </w:r>
      <w:r>
        <w:rPr>
          <w:rFonts w:hint="eastAsia"/>
          <w:bCs/>
          <w:i/>
          <w:iCs/>
          <w:color w:val="auto"/>
          <w:szCs w:val="21"/>
          <w:highlight w:val="none"/>
          <w:u w:val="single"/>
          <w:lang w:val="en-US" w:eastAsia="zh-CN"/>
        </w:rPr>
        <w:t>3</w:t>
      </w:r>
      <w:r>
        <w:rPr>
          <w:rFonts w:hint="eastAsia" w:ascii="宋体" w:hAnsi="宋体"/>
          <w:bCs/>
          <w:i/>
          <w:iCs/>
          <w:color w:val="auto"/>
          <w:szCs w:val="21"/>
          <w:highlight w:val="none"/>
          <w:u w:val="single"/>
        </w:rPr>
        <w:t>月-</w:t>
      </w:r>
      <w:r>
        <w:rPr>
          <w:rFonts w:hint="eastAsia" w:ascii="Times New Roman" w:hAnsi="Times New Roman"/>
          <w:bCs/>
          <w:i/>
          <w:iCs/>
          <w:color w:val="auto"/>
          <w:szCs w:val="21"/>
          <w:highlight w:val="none"/>
          <w:u w:val="single"/>
          <w:lang w:eastAsia="zh-CN"/>
        </w:rPr>
        <w:t>2023</w:t>
      </w:r>
      <w:r>
        <w:rPr>
          <w:rFonts w:hint="eastAsia" w:ascii="宋体" w:hAnsi="宋体"/>
          <w:bCs/>
          <w:i/>
          <w:iCs/>
          <w:color w:val="auto"/>
          <w:szCs w:val="21"/>
          <w:highlight w:val="none"/>
          <w:u w:val="single"/>
        </w:rPr>
        <w:t>年</w:t>
      </w:r>
      <w:r>
        <w:rPr>
          <w:rFonts w:hint="eastAsia"/>
          <w:bCs/>
          <w:i/>
          <w:iCs/>
          <w:color w:val="auto"/>
          <w:szCs w:val="21"/>
          <w:highlight w:val="none"/>
          <w:u w:val="single"/>
          <w:lang w:val="en-US" w:eastAsia="zh-CN"/>
        </w:rPr>
        <w:t>5</w:t>
      </w:r>
      <w:r>
        <w:rPr>
          <w:rFonts w:hint="eastAsia" w:ascii="宋体" w:hAnsi="宋体"/>
          <w:bCs/>
          <w:i/>
          <w:iCs/>
          <w:color w:val="auto"/>
          <w:szCs w:val="21"/>
          <w:highlight w:val="none"/>
          <w:u w:val="single"/>
        </w:rPr>
        <w:t>月</w:t>
      </w:r>
      <w:r>
        <w:rPr>
          <w:rFonts w:hint="eastAsia" w:ascii="宋体" w:hAnsi="宋体"/>
          <w:i/>
          <w:color w:val="auto"/>
          <w:szCs w:val="21"/>
          <w:highlight w:val="none"/>
          <w:u w:val="single"/>
        </w:rPr>
        <w:t>近三个月内任意一个月缴纳职工社会保障资金的缴款凭证或缴款证明)</w:t>
      </w:r>
    </w:p>
    <w:p>
      <w:pPr>
        <w:pStyle w:val="48"/>
        <w:pageBreakBefore w:val="0"/>
        <w:kinsoku/>
        <w:wordWrap/>
        <w:overflowPunct/>
        <w:topLinePunct w:val="0"/>
        <w:bidi w:val="0"/>
        <w:spacing w:line="360" w:lineRule="auto"/>
        <w:ind w:firstLine="420"/>
        <w:outlineLvl w:val="9"/>
        <w:rPr>
          <w:rFonts w:ascii="宋体" w:hAnsi="宋体"/>
          <w:color w:val="auto"/>
          <w:szCs w:val="21"/>
          <w:highlight w:val="none"/>
        </w:rPr>
      </w:pPr>
      <w:r>
        <w:rPr>
          <w:rFonts w:hint="eastAsia" w:ascii="宋体" w:hAnsi="宋体"/>
          <w:color w:val="auto"/>
          <w:szCs w:val="21"/>
          <w:highlight w:val="none"/>
        </w:rPr>
        <w:t>（</w:t>
      </w:r>
      <w:r>
        <w:rPr>
          <w:rFonts w:hint="eastAsia" w:ascii="Times New Roman" w:hAnsi="Times New Roman"/>
          <w:color w:val="auto"/>
          <w:szCs w:val="21"/>
          <w:highlight w:val="none"/>
          <w:lang w:eastAsia="zh-CN"/>
        </w:rPr>
        <w:t>6</w:t>
      </w:r>
      <w:r>
        <w:rPr>
          <w:rFonts w:hint="eastAsia" w:ascii="宋体" w:hAnsi="宋体"/>
          <w:color w:val="auto"/>
          <w:szCs w:val="21"/>
          <w:highlight w:val="none"/>
        </w:rPr>
        <w:t>）</w:t>
      </w:r>
      <w:r>
        <w:rPr>
          <w:rFonts w:hint="eastAsia" w:ascii="宋体" w:hAnsi="宋体"/>
          <w:i/>
          <w:color w:val="auto"/>
          <w:szCs w:val="21"/>
          <w:highlight w:val="none"/>
          <w:u w:val="single"/>
        </w:rPr>
        <w:t>供应商</w:t>
      </w:r>
      <w:r>
        <w:rPr>
          <w:rFonts w:hint="eastAsia" w:ascii="Times New Roman" w:hAnsi="Times New Roman"/>
          <w:bCs/>
          <w:i/>
          <w:iCs/>
          <w:color w:val="auto"/>
          <w:szCs w:val="21"/>
          <w:highlight w:val="none"/>
          <w:u w:val="single"/>
          <w:lang w:eastAsia="zh-CN"/>
        </w:rPr>
        <w:t>2023</w:t>
      </w:r>
      <w:r>
        <w:rPr>
          <w:rFonts w:hint="eastAsia" w:ascii="宋体" w:hAnsi="宋体"/>
          <w:bCs/>
          <w:i/>
          <w:iCs/>
          <w:color w:val="auto"/>
          <w:szCs w:val="21"/>
          <w:highlight w:val="none"/>
          <w:u w:val="single"/>
        </w:rPr>
        <w:t>年</w:t>
      </w:r>
      <w:r>
        <w:rPr>
          <w:rFonts w:hint="eastAsia" w:ascii="Times New Roman" w:hAnsi="Times New Roman"/>
          <w:bCs/>
          <w:i/>
          <w:iCs/>
          <w:color w:val="auto"/>
          <w:szCs w:val="21"/>
          <w:highlight w:val="none"/>
          <w:u w:val="single"/>
          <w:lang w:val="en-US" w:eastAsia="zh-CN"/>
        </w:rPr>
        <w:t>3</w:t>
      </w:r>
      <w:r>
        <w:rPr>
          <w:rFonts w:hint="eastAsia" w:ascii="宋体" w:hAnsi="宋体"/>
          <w:bCs/>
          <w:i/>
          <w:iCs/>
          <w:color w:val="auto"/>
          <w:szCs w:val="21"/>
          <w:highlight w:val="none"/>
          <w:u w:val="single"/>
        </w:rPr>
        <w:t>月-</w:t>
      </w:r>
      <w:r>
        <w:rPr>
          <w:rFonts w:hint="eastAsia" w:ascii="Times New Roman" w:hAnsi="Times New Roman"/>
          <w:bCs/>
          <w:i/>
          <w:iCs/>
          <w:color w:val="auto"/>
          <w:szCs w:val="21"/>
          <w:highlight w:val="none"/>
          <w:u w:val="single"/>
          <w:lang w:eastAsia="zh-CN"/>
        </w:rPr>
        <w:t>2023</w:t>
      </w:r>
      <w:r>
        <w:rPr>
          <w:rFonts w:hint="eastAsia" w:ascii="宋体" w:hAnsi="宋体"/>
          <w:bCs/>
          <w:i/>
          <w:iCs/>
          <w:color w:val="auto"/>
          <w:szCs w:val="21"/>
          <w:highlight w:val="none"/>
          <w:u w:val="single"/>
        </w:rPr>
        <w:t>年</w:t>
      </w:r>
      <w:r>
        <w:rPr>
          <w:rFonts w:hint="eastAsia" w:ascii="Times New Roman" w:hAnsi="Times New Roman"/>
          <w:bCs/>
          <w:i/>
          <w:iCs/>
          <w:color w:val="auto"/>
          <w:szCs w:val="21"/>
          <w:highlight w:val="none"/>
          <w:u w:val="single"/>
          <w:lang w:val="en-US" w:eastAsia="zh-CN"/>
        </w:rPr>
        <w:t>5</w:t>
      </w:r>
      <w:r>
        <w:rPr>
          <w:rFonts w:hint="eastAsia" w:ascii="宋体" w:hAnsi="宋体"/>
          <w:bCs/>
          <w:i/>
          <w:iCs/>
          <w:color w:val="auto"/>
          <w:szCs w:val="21"/>
          <w:highlight w:val="none"/>
          <w:u w:val="single"/>
        </w:rPr>
        <w:t>月</w:t>
      </w:r>
      <w:r>
        <w:rPr>
          <w:rFonts w:hint="eastAsia" w:ascii="宋体" w:hAnsi="宋体"/>
          <w:i/>
          <w:color w:val="auto"/>
          <w:szCs w:val="21"/>
          <w:highlight w:val="none"/>
          <w:u w:val="single"/>
        </w:rPr>
        <w:t>近三个月内任意一个月依法纳税的缴款凭证</w:t>
      </w:r>
      <w:r>
        <w:rPr>
          <w:rFonts w:hint="eastAsia" w:ascii="宋体" w:hAnsi="宋体"/>
          <w:b/>
          <w:i/>
          <w:color w:val="auto"/>
          <w:szCs w:val="21"/>
          <w:highlight w:val="none"/>
          <w:u w:val="single"/>
        </w:rPr>
        <w:t>(复印件加盖供应商公章)</w:t>
      </w:r>
      <w:r>
        <w:rPr>
          <w:rFonts w:ascii="宋体" w:hAnsi="宋体"/>
          <w:color w:val="auto"/>
          <w:szCs w:val="21"/>
          <w:highlight w:val="none"/>
        </w:rPr>
        <w:t xml:space="preserve"> </w:t>
      </w:r>
    </w:p>
    <w:p>
      <w:pPr>
        <w:pageBreakBefore w:val="0"/>
        <w:kinsoku/>
        <w:wordWrap/>
        <w:overflowPunct/>
        <w:topLinePunct w:val="0"/>
        <w:bidi w:val="0"/>
        <w:spacing w:line="360" w:lineRule="auto"/>
        <w:ind w:firstLine="420" w:firstLineChars="200"/>
        <w:jc w:val="left"/>
        <w:outlineLvl w:val="9"/>
        <w:rPr>
          <w:rFonts w:ascii="宋体" w:hAnsi="宋体"/>
          <w:i/>
          <w:color w:val="auto"/>
          <w:highlight w:val="none"/>
          <w:u w:val="single"/>
        </w:rPr>
      </w:pPr>
      <w:r>
        <w:rPr>
          <w:rFonts w:hint="eastAsia" w:ascii="宋体" w:hAnsi="宋体"/>
          <w:color w:val="auto"/>
          <w:szCs w:val="21"/>
          <w:highlight w:val="none"/>
        </w:rPr>
        <w:t>（</w:t>
      </w:r>
      <w:r>
        <w:rPr>
          <w:rFonts w:hint="eastAsia" w:ascii="Times New Roman" w:hAnsi="Times New Roman"/>
          <w:color w:val="auto"/>
          <w:szCs w:val="21"/>
          <w:highlight w:val="none"/>
          <w:lang w:eastAsia="zh-CN"/>
        </w:rPr>
        <w:t>7</w:t>
      </w:r>
      <w:r>
        <w:rPr>
          <w:rFonts w:hint="eastAsia" w:ascii="宋体" w:hAnsi="宋体"/>
          <w:color w:val="auto"/>
          <w:szCs w:val="21"/>
          <w:highlight w:val="none"/>
        </w:rPr>
        <w:t>）</w:t>
      </w:r>
      <w:r>
        <w:rPr>
          <w:rFonts w:hint="eastAsia" w:ascii="宋体" w:hAnsi="宋体"/>
          <w:i/>
          <w:color w:val="auto"/>
          <w:szCs w:val="21"/>
          <w:highlight w:val="none"/>
          <w:u w:val="single"/>
        </w:rPr>
        <w:t>与第（</w:t>
      </w:r>
      <w:r>
        <w:rPr>
          <w:rFonts w:hint="eastAsia" w:ascii="Times New Roman" w:hAnsi="Times New Roman"/>
          <w:i/>
          <w:color w:val="auto"/>
          <w:szCs w:val="21"/>
          <w:highlight w:val="none"/>
          <w:u w:val="single"/>
          <w:lang w:eastAsia="zh-CN"/>
        </w:rPr>
        <w:t>6</w:t>
      </w:r>
      <w:r>
        <w:rPr>
          <w:rFonts w:hint="eastAsia" w:ascii="宋体" w:hAnsi="宋体"/>
          <w:i/>
          <w:color w:val="auto"/>
          <w:szCs w:val="21"/>
          <w:highlight w:val="none"/>
          <w:u w:val="single"/>
        </w:rPr>
        <w:t>）条相对应的纳税申报表或经会计师事务所审计</w:t>
      </w:r>
      <w:r>
        <w:rPr>
          <w:rFonts w:hint="eastAsia" w:ascii="宋体" w:hAnsi="宋体"/>
          <w:i/>
          <w:color w:val="auto"/>
          <w:highlight w:val="none"/>
          <w:u w:val="single"/>
        </w:rPr>
        <w:t>的</w:t>
      </w:r>
      <w:r>
        <w:rPr>
          <w:rFonts w:hint="eastAsia" w:ascii="Times New Roman" w:hAnsi="Times New Roman"/>
          <w:i/>
          <w:color w:val="auto"/>
          <w:highlight w:val="none"/>
          <w:u w:val="single"/>
          <w:lang w:eastAsia="zh-CN"/>
        </w:rPr>
        <w:t>2021</w:t>
      </w:r>
      <w:r>
        <w:rPr>
          <w:rFonts w:hint="eastAsia" w:ascii="宋体" w:hAnsi="宋体"/>
          <w:i/>
          <w:color w:val="auto"/>
          <w:highlight w:val="none"/>
          <w:u w:val="single"/>
        </w:rPr>
        <w:t>年度或者</w:t>
      </w:r>
      <w:r>
        <w:rPr>
          <w:rFonts w:hint="eastAsia" w:ascii="Times New Roman" w:hAnsi="Times New Roman"/>
          <w:i/>
          <w:color w:val="auto"/>
          <w:highlight w:val="none"/>
          <w:u w:val="single"/>
          <w:lang w:eastAsia="zh-CN"/>
        </w:rPr>
        <w:t>2022</w:t>
      </w:r>
      <w:r>
        <w:rPr>
          <w:rFonts w:hint="eastAsia" w:ascii="宋体" w:hAnsi="宋体"/>
          <w:i/>
          <w:color w:val="auto"/>
          <w:highlight w:val="none"/>
          <w:u w:val="single"/>
        </w:rPr>
        <w:t>年度财务报告（成立不满一年不需提供）</w:t>
      </w:r>
      <w:r>
        <w:rPr>
          <w:rFonts w:hint="eastAsia" w:ascii="宋体" w:hAnsi="宋体"/>
          <w:b/>
          <w:i/>
          <w:color w:val="auto"/>
          <w:highlight w:val="none"/>
          <w:u w:val="single"/>
        </w:rPr>
        <w:t xml:space="preserve"> </w:t>
      </w:r>
      <w:r>
        <w:rPr>
          <w:rFonts w:hint="eastAsia" w:ascii="宋体" w:hAnsi="宋体"/>
          <w:b/>
          <w:i/>
          <w:color w:val="auto"/>
          <w:szCs w:val="21"/>
          <w:highlight w:val="none"/>
          <w:u w:val="single"/>
        </w:rPr>
        <w:t>(复印件加盖供应商公章)</w:t>
      </w:r>
    </w:p>
    <w:p>
      <w:pPr>
        <w:pageBreakBefore w:val="0"/>
        <w:kinsoku/>
        <w:wordWrap/>
        <w:overflowPunct/>
        <w:topLinePunct w:val="0"/>
        <w:bidi w:val="0"/>
        <w:spacing w:line="360" w:lineRule="auto"/>
        <w:ind w:firstLine="420" w:firstLineChars="200"/>
        <w:outlineLvl w:val="9"/>
        <w:rPr>
          <w:rFonts w:ascii="宋体" w:hAnsi="宋体"/>
          <w:b/>
          <w:bCs/>
          <w:i/>
          <w:iCs/>
          <w:color w:val="auto"/>
          <w:szCs w:val="21"/>
          <w:highlight w:val="none"/>
          <w:u w:val="single"/>
        </w:rPr>
      </w:pPr>
      <w:r>
        <w:rPr>
          <w:rFonts w:hint="eastAsia" w:ascii="宋体" w:hAnsi="宋体"/>
          <w:color w:val="auto"/>
          <w:szCs w:val="21"/>
          <w:highlight w:val="none"/>
        </w:rPr>
        <w:t>（</w:t>
      </w:r>
      <w:r>
        <w:rPr>
          <w:rFonts w:hint="eastAsia" w:ascii="Times New Roman" w:hAnsi="Times New Roman"/>
          <w:color w:val="auto"/>
          <w:szCs w:val="21"/>
          <w:highlight w:val="none"/>
          <w:lang w:eastAsia="zh-CN"/>
        </w:rPr>
        <w:t>8</w:t>
      </w:r>
      <w:r>
        <w:rPr>
          <w:rFonts w:hint="eastAsia" w:ascii="宋体" w:hAnsi="宋体"/>
          <w:color w:val="auto"/>
          <w:szCs w:val="21"/>
          <w:highlight w:val="none"/>
        </w:rPr>
        <w:t>）</w:t>
      </w:r>
      <w:r>
        <w:rPr>
          <w:rFonts w:hint="eastAsia" w:ascii="宋体" w:hAnsi="宋体"/>
          <w:i/>
          <w:iCs/>
          <w:color w:val="auto"/>
          <w:szCs w:val="21"/>
          <w:highlight w:val="none"/>
          <w:u w:val="single"/>
        </w:rPr>
        <w:t>供应商参加本次政府采购活动前</w:t>
      </w:r>
      <w:r>
        <w:rPr>
          <w:rFonts w:hint="eastAsia" w:ascii="Times New Roman" w:hAnsi="Times New Roman"/>
          <w:i/>
          <w:iCs/>
          <w:color w:val="auto"/>
          <w:szCs w:val="21"/>
          <w:highlight w:val="none"/>
          <w:u w:val="single"/>
          <w:lang w:eastAsia="zh-CN"/>
        </w:rPr>
        <w:t>3</w:t>
      </w:r>
      <w:r>
        <w:rPr>
          <w:rFonts w:hint="eastAsia" w:ascii="宋体" w:hAnsi="宋体"/>
          <w:i/>
          <w:iCs/>
          <w:color w:val="auto"/>
          <w:szCs w:val="21"/>
          <w:highlight w:val="none"/>
          <w:u w:val="single"/>
        </w:rPr>
        <w:t>年内在经营活动中没有重大违法记录的书面声明</w:t>
      </w:r>
      <w:r>
        <w:rPr>
          <w:rFonts w:hint="eastAsia" w:ascii="宋体" w:hAnsi="宋体"/>
          <w:b/>
          <w:bCs/>
          <w:i/>
          <w:iCs/>
          <w:color w:val="auto"/>
          <w:szCs w:val="21"/>
          <w:highlight w:val="none"/>
          <w:u w:val="single"/>
        </w:rPr>
        <w:t>（原件）</w:t>
      </w:r>
    </w:p>
    <w:p>
      <w:pPr>
        <w:pageBreakBefore w:val="0"/>
        <w:widowControl/>
        <w:shd w:val="clear" w:color="auto" w:fill="FFFFFF"/>
        <w:kinsoku/>
        <w:wordWrap/>
        <w:overflowPunct/>
        <w:topLinePunct w:val="0"/>
        <w:bidi w:val="0"/>
        <w:snapToGrid w:val="0"/>
        <w:spacing w:line="360" w:lineRule="auto"/>
        <w:ind w:firstLine="420" w:firstLineChars="200"/>
        <w:jc w:val="left"/>
        <w:outlineLvl w:val="9"/>
        <w:rPr>
          <w:rFonts w:ascii="宋体" w:hAnsi="宋体"/>
          <w:color w:val="auto"/>
          <w:szCs w:val="21"/>
          <w:highlight w:val="none"/>
        </w:rPr>
      </w:pPr>
      <w:r>
        <w:rPr>
          <w:rFonts w:hint="eastAsia" w:ascii="宋体" w:hAnsi="宋体"/>
          <w:color w:val="auto"/>
          <w:szCs w:val="21"/>
          <w:highlight w:val="none"/>
        </w:rPr>
        <w:t>（</w:t>
      </w:r>
      <w:r>
        <w:rPr>
          <w:rFonts w:hint="eastAsia" w:ascii="Times New Roman" w:hAnsi="Times New Roman"/>
          <w:color w:val="auto"/>
          <w:szCs w:val="21"/>
          <w:highlight w:val="none"/>
          <w:lang w:eastAsia="zh-CN"/>
        </w:rPr>
        <w:t>9</w:t>
      </w:r>
      <w:r>
        <w:rPr>
          <w:rFonts w:hint="eastAsia" w:ascii="宋体" w:hAnsi="宋体"/>
          <w:color w:val="auto"/>
          <w:szCs w:val="21"/>
          <w:highlight w:val="none"/>
        </w:rPr>
        <w:t>）</w:t>
      </w:r>
      <w:r>
        <w:rPr>
          <w:rFonts w:hint="eastAsia" w:ascii="宋体" w:hAnsi="宋体"/>
          <w:i/>
          <w:iCs/>
          <w:color w:val="auto"/>
          <w:szCs w:val="21"/>
          <w:highlight w:val="none"/>
          <w:u w:val="single"/>
          <w:lang w:val="en"/>
        </w:rPr>
        <w:t>供应商信用承诺书</w:t>
      </w:r>
      <w:r>
        <w:rPr>
          <w:rFonts w:hint="eastAsia" w:ascii="宋体" w:hAnsi="宋体"/>
          <w:b/>
          <w:bCs/>
          <w:i/>
          <w:iCs/>
          <w:color w:val="auto"/>
          <w:szCs w:val="21"/>
          <w:highlight w:val="none"/>
          <w:u w:val="single"/>
        </w:rPr>
        <w:t>(原件)</w:t>
      </w:r>
    </w:p>
    <w:p>
      <w:pPr>
        <w:pStyle w:val="48"/>
        <w:pageBreakBefore w:val="0"/>
        <w:kinsoku/>
        <w:wordWrap/>
        <w:overflowPunct/>
        <w:topLinePunct w:val="0"/>
        <w:bidi w:val="0"/>
        <w:spacing w:line="360" w:lineRule="auto"/>
        <w:ind w:firstLine="420"/>
        <w:outlineLvl w:val="9"/>
        <w:rPr>
          <w:rFonts w:ascii="宋体" w:hAnsi="宋体"/>
          <w:i/>
          <w:color w:val="auto"/>
          <w:szCs w:val="21"/>
          <w:highlight w:val="none"/>
          <w:u w:val="single"/>
        </w:rPr>
      </w:pPr>
      <w:r>
        <w:rPr>
          <w:rFonts w:hint="eastAsia" w:ascii="宋体" w:hAnsi="宋体"/>
          <w:color w:val="auto"/>
          <w:szCs w:val="21"/>
          <w:highlight w:val="none"/>
        </w:rPr>
        <w:t>（</w:t>
      </w:r>
      <w:r>
        <w:rPr>
          <w:rFonts w:hint="eastAsia" w:ascii="Times New Roman" w:hAnsi="Times New Roman"/>
          <w:color w:val="auto"/>
          <w:szCs w:val="21"/>
          <w:highlight w:val="none"/>
          <w:lang w:eastAsia="zh-CN"/>
        </w:rPr>
        <w:t>10</w:t>
      </w:r>
      <w:r>
        <w:rPr>
          <w:rFonts w:hint="eastAsia" w:ascii="宋体" w:hAnsi="宋体"/>
          <w:color w:val="auto"/>
          <w:szCs w:val="21"/>
          <w:highlight w:val="none"/>
        </w:rPr>
        <w:t>）</w:t>
      </w:r>
      <w:r>
        <w:rPr>
          <w:rFonts w:hint="eastAsia" w:ascii="宋体" w:hAnsi="宋体"/>
          <w:i/>
          <w:color w:val="auto"/>
          <w:szCs w:val="21"/>
          <w:highlight w:val="none"/>
          <w:u w:val="single"/>
        </w:rPr>
        <w:t>供应商未被“信用中国”网站（</w:t>
      </w:r>
      <w:r>
        <w:rPr>
          <w:rFonts w:hint="eastAsia" w:ascii="Times New Roman" w:hAnsi="Times New Roman"/>
          <w:i/>
          <w:color w:val="auto"/>
          <w:szCs w:val="21"/>
          <w:highlight w:val="none"/>
          <w:u w:val="single"/>
          <w:lang w:eastAsia="zh-CN"/>
        </w:rPr>
        <w:t>www</w:t>
      </w:r>
      <w:r>
        <w:rPr>
          <w:rFonts w:hint="eastAsia" w:ascii="宋体" w:hAnsi="宋体"/>
          <w:i/>
          <w:color w:val="auto"/>
          <w:szCs w:val="21"/>
          <w:highlight w:val="none"/>
          <w:u w:val="single"/>
        </w:rPr>
        <w:t>.</w:t>
      </w:r>
      <w:r>
        <w:rPr>
          <w:rFonts w:hint="eastAsia" w:ascii="Times New Roman" w:hAnsi="Times New Roman"/>
          <w:i/>
          <w:color w:val="auto"/>
          <w:szCs w:val="21"/>
          <w:highlight w:val="none"/>
          <w:u w:val="single"/>
          <w:lang w:eastAsia="zh-CN"/>
        </w:rPr>
        <w:t>creditchina</w:t>
      </w:r>
      <w:r>
        <w:rPr>
          <w:rFonts w:hint="eastAsia" w:ascii="宋体" w:hAnsi="宋体"/>
          <w:i/>
          <w:color w:val="auto"/>
          <w:szCs w:val="21"/>
          <w:highlight w:val="none"/>
          <w:u w:val="single"/>
        </w:rPr>
        <w:t>.</w:t>
      </w:r>
      <w:r>
        <w:rPr>
          <w:rFonts w:hint="eastAsia" w:ascii="Times New Roman" w:hAnsi="Times New Roman"/>
          <w:i/>
          <w:color w:val="auto"/>
          <w:szCs w:val="21"/>
          <w:highlight w:val="none"/>
          <w:u w:val="single"/>
          <w:lang w:eastAsia="zh-CN"/>
        </w:rPr>
        <w:t>gov</w:t>
      </w:r>
      <w:r>
        <w:rPr>
          <w:rFonts w:hint="eastAsia" w:ascii="宋体" w:hAnsi="宋体"/>
          <w:i/>
          <w:color w:val="auto"/>
          <w:szCs w:val="21"/>
          <w:highlight w:val="none"/>
          <w:u w:val="single"/>
        </w:rPr>
        <w:t>.</w:t>
      </w:r>
      <w:r>
        <w:rPr>
          <w:rFonts w:hint="eastAsia" w:ascii="Times New Roman" w:hAnsi="Times New Roman"/>
          <w:i/>
          <w:color w:val="auto"/>
          <w:szCs w:val="21"/>
          <w:highlight w:val="none"/>
          <w:u w:val="single"/>
          <w:lang w:eastAsia="zh-CN"/>
        </w:rPr>
        <w:t>cn</w:t>
      </w:r>
      <w:r>
        <w:rPr>
          <w:rFonts w:hint="eastAsia" w:ascii="宋体" w:hAnsi="宋体"/>
          <w:i/>
          <w:color w:val="auto"/>
          <w:szCs w:val="21"/>
          <w:highlight w:val="none"/>
          <w:u w:val="single"/>
        </w:rPr>
        <w:t>）、“中国政府采购网” (</w:t>
      </w:r>
      <w:r>
        <w:rPr>
          <w:rFonts w:hint="eastAsia" w:ascii="Times New Roman" w:hAnsi="Times New Roman"/>
          <w:i/>
          <w:color w:val="auto"/>
          <w:szCs w:val="21"/>
          <w:highlight w:val="none"/>
          <w:u w:val="single"/>
          <w:lang w:eastAsia="zh-CN"/>
        </w:rPr>
        <w:t>www</w:t>
      </w:r>
      <w:r>
        <w:rPr>
          <w:rFonts w:hint="eastAsia" w:ascii="宋体" w:hAnsi="宋体"/>
          <w:i/>
          <w:color w:val="auto"/>
          <w:szCs w:val="21"/>
          <w:highlight w:val="none"/>
          <w:u w:val="single"/>
        </w:rPr>
        <w:t>.</w:t>
      </w:r>
      <w:r>
        <w:rPr>
          <w:rFonts w:hint="eastAsia" w:ascii="Times New Roman" w:hAnsi="Times New Roman"/>
          <w:i/>
          <w:color w:val="auto"/>
          <w:szCs w:val="21"/>
          <w:highlight w:val="none"/>
          <w:u w:val="single"/>
          <w:lang w:eastAsia="zh-CN"/>
        </w:rPr>
        <w:t>ccgp</w:t>
      </w:r>
      <w:r>
        <w:rPr>
          <w:rFonts w:hint="eastAsia" w:ascii="宋体" w:hAnsi="宋体"/>
          <w:i/>
          <w:color w:val="auto"/>
          <w:szCs w:val="21"/>
          <w:highlight w:val="none"/>
          <w:u w:val="single"/>
        </w:rPr>
        <w:t>.</w:t>
      </w:r>
      <w:r>
        <w:rPr>
          <w:rFonts w:hint="eastAsia" w:ascii="Times New Roman" w:hAnsi="Times New Roman"/>
          <w:i/>
          <w:color w:val="auto"/>
          <w:szCs w:val="21"/>
          <w:highlight w:val="none"/>
          <w:u w:val="single"/>
          <w:lang w:eastAsia="zh-CN"/>
        </w:rPr>
        <w:t>gov</w:t>
      </w:r>
      <w:r>
        <w:rPr>
          <w:rFonts w:hint="eastAsia" w:ascii="宋体" w:hAnsi="宋体"/>
          <w:i/>
          <w:color w:val="auto"/>
          <w:szCs w:val="21"/>
          <w:highlight w:val="none"/>
          <w:u w:val="single"/>
        </w:rPr>
        <w:t>.</w:t>
      </w:r>
      <w:r>
        <w:rPr>
          <w:rFonts w:hint="eastAsia" w:ascii="Times New Roman" w:hAnsi="Times New Roman"/>
          <w:i/>
          <w:color w:val="auto"/>
          <w:szCs w:val="21"/>
          <w:highlight w:val="none"/>
          <w:u w:val="single"/>
          <w:lang w:eastAsia="zh-CN"/>
        </w:rPr>
        <w:t>cn</w:t>
      </w:r>
      <w:r>
        <w:rPr>
          <w:rFonts w:hint="eastAsia" w:ascii="宋体" w:hAnsi="宋体"/>
          <w:i/>
          <w:color w:val="auto"/>
          <w:szCs w:val="21"/>
          <w:highlight w:val="none"/>
          <w:u w:val="single"/>
        </w:rPr>
        <w:t>)列入失信被执行人、重大税收违法案件当事人名单、政府采购严重违法失信行为记录名单</w:t>
      </w:r>
    </w:p>
    <w:p>
      <w:pPr>
        <w:pStyle w:val="48"/>
        <w:pageBreakBefore w:val="0"/>
        <w:kinsoku/>
        <w:wordWrap/>
        <w:overflowPunct/>
        <w:topLinePunct w:val="0"/>
        <w:bidi w:val="0"/>
        <w:spacing w:line="360" w:lineRule="auto"/>
        <w:ind w:firstLine="422"/>
        <w:outlineLvl w:val="9"/>
        <w:rPr>
          <w:rFonts w:hint="eastAsia" w:ascii="宋体" w:hAnsi="宋体"/>
          <w:color w:val="auto"/>
          <w:szCs w:val="21"/>
          <w:highlight w:val="none"/>
        </w:rPr>
      </w:pPr>
      <w:r>
        <w:rPr>
          <w:rFonts w:hint="eastAsia" w:ascii="宋体" w:hAnsi="宋体"/>
          <w:b/>
          <w:color w:val="auto"/>
          <w:szCs w:val="21"/>
          <w:highlight w:val="none"/>
        </w:rPr>
        <w:t>备注：</w:t>
      </w:r>
      <w:r>
        <w:rPr>
          <w:rFonts w:hint="eastAsia" w:ascii="宋体" w:hAnsi="宋体"/>
          <w:color w:val="auto"/>
          <w:szCs w:val="21"/>
          <w:highlight w:val="none"/>
        </w:rPr>
        <w:t>投标文件的正本和副本中均须提供上述资格证明文件。资格证明文件须清晰可辨，若有缺失或不清晰，将导致投标被拒绝且不允许在开标后补正。</w:t>
      </w:r>
    </w:p>
    <w:p>
      <w:pPr>
        <w:pageBreakBefore w:val="0"/>
        <w:kinsoku/>
        <w:wordWrap/>
        <w:overflowPunct/>
        <w:topLinePunct w:val="0"/>
        <w:bidi w:val="0"/>
        <w:spacing w:line="360" w:lineRule="auto"/>
        <w:ind w:firstLine="420" w:firstLineChars="200"/>
        <w:outlineLvl w:val="9"/>
        <w:rPr>
          <w:rFonts w:hint="eastAsia" w:ascii="宋体" w:hAnsi="宋体" w:eastAsia="宋体" w:cs="宋体"/>
          <w:color w:val="auto"/>
          <w:highlight w:val="none"/>
          <w:lang w:val="en-US" w:eastAsia="zh-CN"/>
        </w:rPr>
      </w:pPr>
      <w:r>
        <w:rPr>
          <w:rFonts w:hint="eastAsia" w:ascii="宋体" w:hAnsi="宋体"/>
          <w:color w:val="auto"/>
          <w:szCs w:val="21"/>
          <w:highlight w:val="none"/>
        </w:rPr>
        <w:t>（二）落实政府采购政策需满足的资格要求：</w:t>
      </w:r>
      <w:r>
        <w:rPr>
          <w:rFonts w:hint="eastAsia" w:ascii="宋体" w:hAnsi="宋体" w:cs="宋体"/>
          <w:i/>
          <w:iCs/>
          <w:color w:val="auto"/>
          <w:kern w:val="0"/>
          <w:sz w:val="21"/>
          <w:szCs w:val="21"/>
          <w:highlight w:val="none"/>
          <w:u w:val="single"/>
          <w:shd w:val="clear" w:color="auto" w:fill="FFFFFF"/>
          <w:lang w:val="en-US" w:eastAsia="zh-CN"/>
        </w:rPr>
        <w:t>无。</w:t>
      </w:r>
    </w:p>
    <w:p>
      <w:pPr>
        <w:pageBreakBefore w:val="0"/>
        <w:kinsoku/>
        <w:wordWrap/>
        <w:overflowPunct/>
        <w:topLinePunct w:val="0"/>
        <w:bidi w:val="0"/>
        <w:spacing w:line="360" w:lineRule="auto"/>
        <w:ind w:firstLine="420" w:firstLineChars="200"/>
        <w:outlineLvl w:val="9"/>
        <w:rPr>
          <w:rFonts w:hint="eastAsia" w:ascii="宋体" w:hAnsi="宋体" w:eastAsia="宋体" w:cs="Times New Roman"/>
          <w:color w:val="auto"/>
          <w:szCs w:val="21"/>
          <w:highlight w:val="none"/>
          <w:u w:val="single"/>
          <w:lang w:val="en-US" w:eastAsia="zh-CN"/>
        </w:rPr>
      </w:pPr>
      <w:r>
        <w:rPr>
          <w:rFonts w:hint="eastAsia" w:ascii="宋体" w:hAnsi="宋体" w:cs="宋体"/>
          <w:color w:val="auto"/>
          <w:highlight w:val="none"/>
        </w:rPr>
        <w:t>（三）本项目的特定资格要求：</w:t>
      </w:r>
      <w:r>
        <w:rPr>
          <w:rFonts w:hint="eastAsia" w:ascii="Times New Roman" w:hAnsi="Times New Roman" w:cs="Times New Roman"/>
          <w:color w:val="auto"/>
          <w:szCs w:val="21"/>
          <w:highlight w:val="none"/>
          <w:u w:val="single"/>
          <w:lang w:val="en-US" w:eastAsia="zh-CN"/>
        </w:rPr>
        <w:t>1</w:t>
      </w:r>
      <w:r>
        <w:rPr>
          <w:rFonts w:hint="eastAsia" w:ascii="宋体" w:hAnsi="宋体" w:eastAsia="宋体" w:cs="Times New Roman"/>
          <w:color w:val="auto"/>
          <w:szCs w:val="21"/>
          <w:highlight w:val="none"/>
          <w:u w:val="single"/>
          <w:lang w:val="en-US" w:eastAsia="zh-CN"/>
        </w:rPr>
        <w:t>、投标供应商具有</w:t>
      </w:r>
      <w:r>
        <w:rPr>
          <w:rFonts w:hint="eastAsia" w:ascii="宋体" w:hAnsi="宋体" w:eastAsia="宋体" w:cs="Times New Roman"/>
          <w:color w:val="auto"/>
          <w:szCs w:val="21"/>
          <w:highlight w:val="none"/>
          <w:u w:val="single"/>
        </w:rPr>
        <w:t>房地产开发</w:t>
      </w:r>
      <w:r>
        <w:rPr>
          <w:rFonts w:hint="eastAsia" w:ascii="宋体" w:hAnsi="宋体" w:eastAsia="宋体" w:cs="Times New Roman"/>
          <w:color w:val="auto"/>
          <w:szCs w:val="21"/>
          <w:highlight w:val="none"/>
          <w:u w:val="single"/>
          <w:lang w:val="en-US" w:eastAsia="zh-CN"/>
        </w:rPr>
        <w:t>二级及以上资质</w:t>
      </w:r>
      <w:r>
        <w:rPr>
          <w:rFonts w:hint="eastAsia" w:ascii="宋体" w:hAnsi="宋体" w:cs="Times New Roman"/>
          <w:color w:val="auto"/>
          <w:szCs w:val="21"/>
          <w:highlight w:val="none"/>
          <w:u w:val="single"/>
          <w:lang w:val="en-US" w:eastAsia="zh-CN"/>
        </w:rPr>
        <w:t>（含暂定级）</w:t>
      </w:r>
      <w:r>
        <w:rPr>
          <w:rFonts w:hint="eastAsia" w:ascii="宋体" w:hAnsi="宋体" w:eastAsia="宋体" w:cs="Times New Roman"/>
          <w:color w:val="auto"/>
          <w:szCs w:val="21"/>
          <w:highlight w:val="none"/>
          <w:u w:val="single"/>
          <w:lang w:val="en-US" w:eastAsia="zh-CN"/>
        </w:rPr>
        <w:t>，且在有效期内。</w:t>
      </w:r>
    </w:p>
    <w:p>
      <w:pPr>
        <w:pageBreakBefore w:val="0"/>
        <w:kinsoku/>
        <w:wordWrap/>
        <w:overflowPunct/>
        <w:topLinePunct w:val="0"/>
        <w:bidi w:val="0"/>
        <w:spacing w:line="360" w:lineRule="auto"/>
        <w:ind w:firstLine="420" w:firstLineChars="200"/>
        <w:outlineLvl w:val="9"/>
        <w:rPr>
          <w:rFonts w:hint="eastAsia" w:ascii="宋体" w:hAnsi="宋体" w:eastAsia="宋体" w:cs="Times New Roman"/>
          <w:color w:val="auto"/>
          <w:szCs w:val="21"/>
          <w:highlight w:val="none"/>
          <w:u w:val="single"/>
          <w:lang w:val="en-US" w:eastAsia="zh-CN"/>
        </w:rPr>
      </w:pPr>
      <w:r>
        <w:rPr>
          <w:rFonts w:hint="eastAsia" w:ascii="Times New Roman" w:hAnsi="Times New Roman" w:cs="Times New Roman"/>
          <w:color w:val="auto"/>
          <w:szCs w:val="21"/>
          <w:highlight w:val="none"/>
          <w:u w:val="single"/>
          <w:lang w:val="en-US" w:eastAsia="zh-CN"/>
        </w:rPr>
        <w:t>2</w:t>
      </w:r>
      <w:r>
        <w:rPr>
          <w:rFonts w:hint="eastAsia" w:ascii="宋体" w:hAnsi="宋体" w:cs="Times New Roman"/>
          <w:color w:val="auto"/>
          <w:szCs w:val="21"/>
          <w:highlight w:val="none"/>
          <w:u w:val="single"/>
          <w:lang w:val="en-US" w:eastAsia="zh-CN"/>
        </w:rPr>
        <w:t>、</w:t>
      </w:r>
      <w:r>
        <w:rPr>
          <w:rFonts w:hint="eastAsia" w:ascii="宋体" w:hAnsi="宋体" w:eastAsia="宋体" w:cs="Times New Roman"/>
          <w:color w:val="auto"/>
          <w:szCs w:val="21"/>
          <w:highlight w:val="none"/>
          <w:u w:val="single"/>
          <w:lang w:val="en-US" w:eastAsia="zh-CN"/>
        </w:rPr>
        <w:t>投标供应商具有工程设计综合资质甲级或者工程行业设计甲级（建筑工程）或者工程专业设计甲级（建筑工程）</w:t>
      </w:r>
      <w:r>
        <w:rPr>
          <w:rFonts w:hint="eastAsia" w:ascii="宋体" w:hAnsi="宋体" w:cs="Times New Roman"/>
          <w:color w:val="auto"/>
          <w:szCs w:val="21"/>
          <w:highlight w:val="none"/>
          <w:u w:val="single"/>
          <w:lang w:val="en-US" w:eastAsia="zh-CN"/>
        </w:rPr>
        <w:t>。</w:t>
      </w:r>
    </w:p>
    <w:p>
      <w:pPr>
        <w:pStyle w:val="17"/>
        <w:pageBreakBefore w:val="0"/>
        <w:kinsoku/>
        <w:wordWrap/>
        <w:overflowPunct/>
        <w:topLinePunct w:val="0"/>
        <w:bidi w:val="0"/>
        <w:outlineLvl w:val="9"/>
        <w:rPr>
          <w:rFonts w:hint="eastAsia"/>
          <w:color w:val="auto"/>
          <w:highlight w:val="none"/>
          <w:lang w:val="en-US" w:eastAsia="zh-CN"/>
        </w:rPr>
      </w:pPr>
    </w:p>
    <w:p>
      <w:pPr>
        <w:pageBreakBefore w:val="0"/>
        <w:kinsoku/>
        <w:wordWrap/>
        <w:overflowPunct/>
        <w:topLinePunct w:val="0"/>
        <w:bidi w:val="0"/>
        <w:spacing w:line="360" w:lineRule="auto"/>
        <w:ind w:firstLine="420" w:firstLineChars="200"/>
        <w:outlineLvl w:val="9"/>
        <w:rPr>
          <w:rFonts w:ascii="宋体" w:hAnsi="宋体"/>
          <w:color w:val="auto"/>
          <w:szCs w:val="21"/>
          <w:highlight w:val="none"/>
        </w:rPr>
      </w:pPr>
      <w:r>
        <w:rPr>
          <w:rFonts w:hint="eastAsia" w:ascii="宋体" w:hAnsi="宋体"/>
          <w:color w:val="auto"/>
          <w:szCs w:val="21"/>
          <w:highlight w:val="none"/>
        </w:rPr>
        <w:t>（四）拒绝下述供应商参加本次采购活动：</w:t>
      </w:r>
    </w:p>
    <w:p>
      <w:pPr>
        <w:pageBreakBefore w:val="0"/>
        <w:kinsoku/>
        <w:wordWrap/>
        <w:overflowPunct/>
        <w:topLinePunct w:val="0"/>
        <w:bidi w:val="0"/>
        <w:spacing w:line="360" w:lineRule="auto"/>
        <w:ind w:firstLine="420" w:firstLineChars="200"/>
        <w:outlineLvl w:val="9"/>
        <w:rPr>
          <w:rFonts w:ascii="宋体" w:hAnsi="宋体"/>
          <w:color w:val="auto"/>
          <w:szCs w:val="21"/>
          <w:highlight w:val="none"/>
        </w:rPr>
      </w:pPr>
      <w:r>
        <w:rPr>
          <w:rFonts w:hint="eastAsia" w:ascii="宋体" w:hAnsi="宋体"/>
          <w:color w:val="auto"/>
          <w:szCs w:val="21"/>
          <w:highlight w:val="none"/>
        </w:rPr>
        <w:t>（</w:t>
      </w:r>
      <w:r>
        <w:rPr>
          <w:rFonts w:hint="eastAsia" w:ascii="Times New Roman" w:hAnsi="Times New Roman"/>
          <w:color w:val="auto"/>
          <w:szCs w:val="21"/>
          <w:highlight w:val="none"/>
          <w:lang w:eastAsia="zh-CN"/>
        </w:rPr>
        <w:t>1</w:t>
      </w:r>
      <w:r>
        <w:rPr>
          <w:rFonts w:hint="eastAsia" w:ascii="宋体" w:hAnsi="宋体"/>
          <w:color w:val="auto"/>
          <w:szCs w:val="21"/>
          <w:highlight w:val="none"/>
        </w:rPr>
        <w:t>）供应商单位负责人为同一人或者存在直接控股、管理关系的不同供应商，不得参加同一合同项下的政府采购活动。</w:t>
      </w:r>
    </w:p>
    <w:p>
      <w:pPr>
        <w:pageBreakBefore w:val="0"/>
        <w:kinsoku/>
        <w:wordWrap/>
        <w:overflowPunct/>
        <w:topLinePunct w:val="0"/>
        <w:bidi w:val="0"/>
        <w:spacing w:line="360" w:lineRule="auto"/>
        <w:ind w:firstLine="420" w:firstLineChars="200"/>
        <w:outlineLvl w:val="9"/>
        <w:rPr>
          <w:rFonts w:ascii="宋体" w:hAnsi="宋体"/>
          <w:color w:val="auto"/>
          <w:szCs w:val="21"/>
          <w:highlight w:val="none"/>
        </w:rPr>
      </w:pPr>
      <w:r>
        <w:rPr>
          <w:rFonts w:hint="eastAsia" w:ascii="宋体" w:hAnsi="宋体"/>
          <w:color w:val="auto"/>
          <w:szCs w:val="21"/>
          <w:highlight w:val="none"/>
        </w:rPr>
        <w:t>（</w:t>
      </w:r>
      <w:r>
        <w:rPr>
          <w:rFonts w:hint="eastAsia" w:ascii="Times New Roman" w:hAnsi="Times New Roman"/>
          <w:color w:val="auto"/>
          <w:szCs w:val="21"/>
          <w:highlight w:val="none"/>
          <w:lang w:eastAsia="zh-CN"/>
        </w:rPr>
        <w:t>2</w:t>
      </w:r>
      <w:r>
        <w:rPr>
          <w:rFonts w:hint="eastAsia" w:ascii="宋体" w:hAnsi="宋体"/>
          <w:color w:val="auto"/>
          <w:szCs w:val="21"/>
          <w:highlight w:val="none"/>
        </w:rPr>
        <w:t>）凡为采购项目提供整体设计、规范编制或者项目管理、监理、检测等服务的供应商，不得再参加该项目的其他采购活动。</w:t>
      </w:r>
    </w:p>
    <w:p>
      <w:pPr>
        <w:pageBreakBefore w:val="0"/>
        <w:kinsoku/>
        <w:wordWrap/>
        <w:overflowPunct/>
        <w:topLinePunct w:val="0"/>
        <w:bidi w:val="0"/>
        <w:spacing w:line="360" w:lineRule="auto"/>
        <w:ind w:firstLine="420" w:firstLineChars="200"/>
        <w:outlineLvl w:val="9"/>
        <w:rPr>
          <w:rFonts w:ascii="宋体" w:hAnsi="宋体"/>
          <w:color w:val="auto"/>
          <w:szCs w:val="21"/>
          <w:highlight w:val="none"/>
        </w:rPr>
      </w:pPr>
      <w:r>
        <w:rPr>
          <w:rFonts w:hint="eastAsia" w:ascii="宋体" w:hAnsi="宋体"/>
          <w:color w:val="auto"/>
          <w:szCs w:val="21"/>
          <w:highlight w:val="none"/>
        </w:rPr>
        <w:t>（</w:t>
      </w:r>
      <w:r>
        <w:rPr>
          <w:rFonts w:hint="eastAsia" w:ascii="Times New Roman" w:hAnsi="Times New Roman"/>
          <w:color w:val="auto"/>
          <w:szCs w:val="21"/>
          <w:highlight w:val="none"/>
          <w:lang w:eastAsia="zh-CN"/>
        </w:rPr>
        <w:t>3</w:t>
      </w:r>
      <w:r>
        <w:rPr>
          <w:rFonts w:hint="eastAsia" w:ascii="宋体" w:hAnsi="宋体"/>
          <w:color w:val="auto"/>
          <w:szCs w:val="21"/>
          <w:highlight w:val="none"/>
        </w:rPr>
        <w:t>）供应商被“信用中国”网站（</w:t>
      </w:r>
      <w:r>
        <w:rPr>
          <w:rFonts w:hint="eastAsia" w:ascii="Times New Roman" w:hAnsi="Times New Roman"/>
          <w:color w:val="auto"/>
          <w:szCs w:val="21"/>
          <w:highlight w:val="none"/>
          <w:lang w:eastAsia="zh-CN"/>
        </w:rPr>
        <w:t>www</w:t>
      </w:r>
      <w:r>
        <w:rPr>
          <w:rFonts w:hint="eastAsia" w:ascii="宋体" w:hAnsi="宋体"/>
          <w:color w:val="auto"/>
          <w:szCs w:val="21"/>
          <w:highlight w:val="none"/>
        </w:rPr>
        <w:t>.</w:t>
      </w:r>
      <w:r>
        <w:rPr>
          <w:rFonts w:hint="eastAsia" w:ascii="Times New Roman" w:hAnsi="Times New Roman"/>
          <w:color w:val="auto"/>
          <w:szCs w:val="21"/>
          <w:highlight w:val="none"/>
          <w:lang w:eastAsia="zh-CN"/>
        </w:rPr>
        <w:t>creditchina</w:t>
      </w:r>
      <w:r>
        <w:rPr>
          <w:rFonts w:hint="eastAsia" w:ascii="宋体" w:hAnsi="宋体"/>
          <w:color w:val="auto"/>
          <w:szCs w:val="21"/>
          <w:highlight w:val="none"/>
        </w:rPr>
        <w:t>.</w:t>
      </w:r>
      <w:r>
        <w:rPr>
          <w:rFonts w:hint="eastAsia" w:ascii="Times New Roman" w:hAnsi="Times New Roman"/>
          <w:color w:val="auto"/>
          <w:szCs w:val="21"/>
          <w:highlight w:val="none"/>
          <w:lang w:eastAsia="zh-CN"/>
        </w:rPr>
        <w:t>gov</w:t>
      </w:r>
      <w:r>
        <w:rPr>
          <w:rFonts w:hint="eastAsia" w:ascii="宋体" w:hAnsi="宋体"/>
          <w:color w:val="auto"/>
          <w:szCs w:val="21"/>
          <w:highlight w:val="none"/>
        </w:rPr>
        <w:t>.</w:t>
      </w:r>
      <w:r>
        <w:rPr>
          <w:rFonts w:hint="eastAsia" w:ascii="Times New Roman" w:hAnsi="Times New Roman"/>
          <w:color w:val="auto"/>
          <w:szCs w:val="21"/>
          <w:highlight w:val="none"/>
          <w:lang w:eastAsia="zh-CN"/>
        </w:rPr>
        <w:t>cn</w:t>
      </w:r>
      <w:r>
        <w:rPr>
          <w:rFonts w:hint="eastAsia" w:ascii="宋体" w:hAnsi="宋体"/>
          <w:color w:val="auto"/>
          <w:szCs w:val="21"/>
          <w:highlight w:val="none"/>
        </w:rPr>
        <w:t>）、“中国政府采购网"(</w:t>
      </w:r>
      <w:r>
        <w:rPr>
          <w:rFonts w:hint="eastAsia" w:ascii="Times New Roman" w:hAnsi="Times New Roman"/>
          <w:color w:val="auto"/>
          <w:szCs w:val="21"/>
          <w:highlight w:val="none"/>
          <w:lang w:eastAsia="zh-CN"/>
        </w:rPr>
        <w:t>www</w:t>
      </w:r>
      <w:r>
        <w:rPr>
          <w:rFonts w:hint="eastAsia" w:ascii="宋体" w:hAnsi="宋体"/>
          <w:color w:val="auto"/>
          <w:szCs w:val="21"/>
          <w:highlight w:val="none"/>
        </w:rPr>
        <w:t>.</w:t>
      </w:r>
      <w:r>
        <w:rPr>
          <w:rFonts w:hint="eastAsia" w:ascii="Times New Roman" w:hAnsi="Times New Roman"/>
          <w:color w:val="auto"/>
          <w:szCs w:val="21"/>
          <w:highlight w:val="none"/>
          <w:lang w:eastAsia="zh-CN"/>
        </w:rPr>
        <w:t>ccgp</w:t>
      </w:r>
      <w:r>
        <w:rPr>
          <w:rFonts w:hint="eastAsia" w:ascii="宋体" w:hAnsi="宋体"/>
          <w:color w:val="auto"/>
          <w:szCs w:val="21"/>
          <w:highlight w:val="none"/>
        </w:rPr>
        <w:t>.</w:t>
      </w:r>
      <w:r>
        <w:rPr>
          <w:rFonts w:hint="eastAsia" w:ascii="Times New Roman" w:hAnsi="Times New Roman"/>
          <w:color w:val="auto"/>
          <w:szCs w:val="21"/>
          <w:highlight w:val="none"/>
          <w:lang w:eastAsia="zh-CN"/>
        </w:rPr>
        <w:t>gov</w:t>
      </w:r>
      <w:r>
        <w:rPr>
          <w:rFonts w:hint="eastAsia" w:ascii="宋体" w:hAnsi="宋体"/>
          <w:color w:val="auto"/>
          <w:szCs w:val="21"/>
          <w:highlight w:val="none"/>
        </w:rPr>
        <w:t>.</w:t>
      </w:r>
      <w:r>
        <w:rPr>
          <w:rFonts w:hint="eastAsia" w:ascii="Times New Roman" w:hAnsi="Times New Roman"/>
          <w:color w:val="auto"/>
          <w:szCs w:val="21"/>
          <w:highlight w:val="none"/>
          <w:lang w:eastAsia="zh-CN"/>
        </w:rPr>
        <w:t>cn</w:t>
      </w:r>
      <w:r>
        <w:rPr>
          <w:rFonts w:hint="eastAsia" w:ascii="宋体" w:hAnsi="宋体"/>
          <w:color w:val="auto"/>
          <w:szCs w:val="21"/>
          <w:highlight w:val="none"/>
        </w:rPr>
        <w:t>)列入失信被执行人、重大税收违法案件当事人名单、政府采购严重违法失信行为记录名单。</w:t>
      </w:r>
    </w:p>
    <w:p>
      <w:pPr>
        <w:pageBreakBefore w:val="0"/>
        <w:kinsoku/>
        <w:wordWrap/>
        <w:overflowPunct/>
        <w:topLinePunct w:val="0"/>
        <w:bidi w:val="0"/>
        <w:spacing w:line="360" w:lineRule="auto"/>
        <w:jc w:val="center"/>
        <w:outlineLvl w:val="9"/>
        <w:rPr>
          <w:rFonts w:ascii="宋体" w:hAnsi="宋体" w:cs="宋体"/>
          <w:b/>
          <w:bCs/>
          <w:color w:val="auto"/>
          <w:highlight w:val="none"/>
        </w:rPr>
      </w:pPr>
      <w:r>
        <w:rPr>
          <w:rFonts w:hint="eastAsia" w:ascii="宋体" w:hAnsi="宋体" w:cs="宋体"/>
          <w:b/>
          <w:bCs/>
          <w:color w:val="auto"/>
          <w:highlight w:val="none"/>
        </w:rPr>
        <w:br w:type="page"/>
      </w:r>
    </w:p>
    <w:p>
      <w:pPr>
        <w:pageBreakBefore w:val="0"/>
        <w:kinsoku/>
        <w:wordWrap/>
        <w:overflowPunct/>
        <w:topLinePunct w:val="0"/>
        <w:bidi w:val="0"/>
        <w:spacing w:line="360" w:lineRule="auto"/>
        <w:jc w:val="center"/>
        <w:outlineLvl w:val="9"/>
        <w:rPr>
          <w:rFonts w:ascii="宋体" w:hAnsi="宋体" w:cs="宋体"/>
          <w:b/>
          <w:bCs/>
          <w:color w:val="auto"/>
          <w:szCs w:val="21"/>
          <w:highlight w:val="none"/>
        </w:rPr>
      </w:pPr>
      <w:bookmarkStart w:id="201" w:name="_Toc2167"/>
      <w:bookmarkStart w:id="202" w:name="_Toc17521"/>
      <w:r>
        <w:rPr>
          <w:rFonts w:hint="eastAsia" w:ascii="宋体" w:hAnsi="宋体" w:cs="宋体"/>
          <w:b/>
          <w:bCs/>
          <w:color w:val="auto"/>
          <w:szCs w:val="21"/>
          <w:highlight w:val="none"/>
        </w:rPr>
        <w:t>投 标 函</w:t>
      </w:r>
      <w:bookmarkEnd w:id="201"/>
      <w:bookmarkEnd w:id="202"/>
    </w:p>
    <w:p>
      <w:pPr>
        <w:pStyle w:val="64"/>
        <w:pageBreakBefore w:val="0"/>
        <w:kinsoku/>
        <w:wordWrap/>
        <w:overflowPunct/>
        <w:topLinePunct w:val="0"/>
        <w:bidi w:val="0"/>
        <w:spacing w:before="0" w:after="0" w:line="360" w:lineRule="auto"/>
        <w:ind w:firstLine="0"/>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致：（代理公司）</w:t>
      </w:r>
    </w:p>
    <w:p>
      <w:pPr>
        <w:pStyle w:val="64"/>
        <w:pageBreakBefore w:val="0"/>
        <w:kinsoku/>
        <w:wordWrap/>
        <w:overflowPunct/>
        <w:topLinePunct w:val="0"/>
        <w:bidi w:val="0"/>
        <w:spacing w:before="0" w:after="0" w:line="360" w:lineRule="auto"/>
        <w:ind w:firstLine="420" w:firstLineChars="200"/>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根据贵方的</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（项目编号）</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（项目名称）采购文件，正式授权下述签字人</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(姓名)代表我方</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（投标人的名称），全权处理本次项目投标的有关事宜。</w:t>
      </w:r>
    </w:p>
    <w:p>
      <w:pPr>
        <w:pStyle w:val="64"/>
        <w:pageBreakBefore w:val="0"/>
        <w:kinsoku/>
        <w:wordWrap/>
        <w:overflowPunct/>
        <w:topLinePunct w:val="0"/>
        <w:bidi w:val="0"/>
        <w:spacing w:before="0" w:after="0" w:line="360" w:lineRule="auto"/>
        <w:ind w:firstLine="420" w:firstLineChars="200"/>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据此函，</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签字人兹宣布同意如下：</w:t>
      </w:r>
    </w:p>
    <w:p>
      <w:pPr>
        <w:pStyle w:val="64"/>
        <w:pageBreakBefore w:val="0"/>
        <w:kinsoku/>
        <w:wordWrap/>
        <w:overflowPunct/>
        <w:topLinePunct w:val="0"/>
        <w:bidi w:val="0"/>
        <w:spacing w:before="0" w:after="0" w:line="360" w:lineRule="auto"/>
        <w:ind w:firstLine="420" w:firstLineChars="200"/>
        <w:outlineLvl w:val="9"/>
        <w:rPr>
          <w:rFonts w:ascii="宋体" w:hAnsi="宋体" w:cs="宋体"/>
          <w:color w:val="auto"/>
          <w:kern w:val="2"/>
          <w:sz w:val="21"/>
          <w:szCs w:val="21"/>
          <w:highlight w:val="none"/>
        </w:rPr>
      </w:pPr>
      <w:r>
        <w:rPr>
          <w:rFonts w:hint="eastAsia" w:ascii="Times New Roman" w:hAnsi="Times New Roman" w:cs="宋体"/>
          <w:color w:val="auto"/>
          <w:kern w:val="2"/>
          <w:sz w:val="21"/>
          <w:szCs w:val="21"/>
          <w:highlight w:val="none"/>
          <w:lang w:eastAsia="zh-CN"/>
        </w:rPr>
        <w:t>1</w:t>
      </w:r>
      <w:r>
        <w:rPr>
          <w:rFonts w:hint="eastAsia" w:ascii="宋体" w:hAnsi="宋体" w:cs="宋体"/>
          <w:color w:val="auto"/>
          <w:kern w:val="2"/>
          <w:sz w:val="21"/>
          <w:szCs w:val="21"/>
          <w:highlight w:val="none"/>
        </w:rPr>
        <w:t>.按采购文件规定的各项要求，向买方提供所需货物与服务。</w:t>
      </w:r>
    </w:p>
    <w:p>
      <w:pPr>
        <w:pStyle w:val="64"/>
        <w:pageBreakBefore w:val="0"/>
        <w:kinsoku/>
        <w:wordWrap/>
        <w:overflowPunct/>
        <w:topLinePunct w:val="0"/>
        <w:bidi w:val="0"/>
        <w:spacing w:before="0" w:after="0" w:line="360" w:lineRule="auto"/>
        <w:ind w:firstLine="420" w:firstLineChars="200"/>
        <w:outlineLvl w:val="9"/>
        <w:rPr>
          <w:rFonts w:ascii="宋体" w:hAnsi="宋体" w:cs="宋体"/>
          <w:color w:val="auto"/>
          <w:kern w:val="2"/>
          <w:sz w:val="21"/>
          <w:szCs w:val="21"/>
          <w:highlight w:val="none"/>
        </w:rPr>
      </w:pPr>
      <w:r>
        <w:rPr>
          <w:rFonts w:hint="eastAsia" w:ascii="Times New Roman" w:hAnsi="Times New Roman" w:cs="宋体"/>
          <w:color w:val="auto"/>
          <w:kern w:val="2"/>
          <w:sz w:val="21"/>
          <w:szCs w:val="21"/>
          <w:highlight w:val="none"/>
          <w:lang w:eastAsia="zh-CN"/>
        </w:rPr>
        <w:t>2</w:t>
      </w:r>
      <w:r>
        <w:rPr>
          <w:rFonts w:hint="eastAsia" w:ascii="宋体" w:hAnsi="宋体" w:cs="宋体"/>
          <w:color w:val="auto"/>
          <w:kern w:val="2"/>
          <w:sz w:val="21"/>
          <w:szCs w:val="21"/>
          <w:highlight w:val="none"/>
        </w:rPr>
        <w:t>.我们完全理解贵方不一定将合同授予最低报价的投标人。</w:t>
      </w:r>
    </w:p>
    <w:p>
      <w:pPr>
        <w:pStyle w:val="64"/>
        <w:pageBreakBefore w:val="0"/>
        <w:kinsoku/>
        <w:wordWrap/>
        <w:overflowPunct/>
        <w:topLinePunct w:val="0"/>
        <w:bidi w:val="0"/>
        <w:spacing w:before="0" w:after="0" w:line="360" w:lineRule="auto"/>
        <w:ind w:firstLine="420" w:firstLineChars="200"/>
        <w:outlineLvl w:val="9"/>
        <w:rPr>
          <w:rFonts w:ascii="宋体" w:hAnsi="宋体" w:cs="宋体"/>
          <w:color w:val="auto"/>
          <w:kern w:val="2"/>
          <w:sz w:val="21"/>
          <w:szCs w:val="21"/>
          <w:highlight w:val="none"/>
        </w:rPr>
      </w:pPr>
      <w:r>
        <w:rPr>
          <w:rFonts w:hint="eastAsia" w:ascii="Times New Roman" w:hAnsi="Times New Roman" w:cs="宋体"/>
          <w:color w:val="auto"/>
          <w:kern w:val="2"/>
          <w:sz w:val="21"/>
          <w:szCs w:val="21"/>
          <w:highlight w:val="none"/>
          <w:lang w:eastAsia="zh-CN"/>
        </w:rPr>
        <w:t>3</w:t>
      </w:r>
      <w:r>
        <w:rPr>
          <w:rFonts w:hint="eastAsia" w:ascii="宋体" w:hAnsi="宋体" w:cs="宋体"/>
          <w:color w:val="auto"/>
          <w:kern w:val="2"/>
          <w:sz w:val="21"/>
          <w:szCs w:val="21"/>
          <w:highlight w:val="none"/>
        </w:rPr>
        <w:t>.我们已详细审核全部采购文件及其有效补充文件，我们知道必须放弃提出含糊不清或误解问题的权利。</w:t>
      </w:r>
    </w:p>
    <w:p>
      <w:pPr>
        <w:pStyle w:val="64"/>
        <w:pageBreakBefore w:val="0"/>
        <w:kinsoku/>
        <w:wordWrap/>
        <w:overflowPunct/>
        <w:topLinePunct w:val="0"/>
        <w:bidi w:val="0"/>
        <w:spacing w:before="0" w:after="0" w:line="360" w:lineRule="auto"/>
        <w:outlineLvl w:val="9"/>
        <w:rPr>
          <w:rFonts w:ascii="宋体" w:hAnsi="宋体" w:cs="宋体"/>
          <w:color w:val="auto"/>
          <w:spacing w:val="-6"/>
          <w:kern w:val="2"/>
          <w:sz w:val="21"/>
          <w:szCs w:val="21"/>
          <w:highlight w:val="none"/>
        </w:rPr>
      </w:pPr>
      <w:r>
        <w:rPr>
          <w:rFonts w:hint="eastAsia" w:ascii="Times New Roman" w:hAnsi="Times New Roman" w:cs="宋体"/>
          <w:color w:val="auto"/>
          <w:spacing w:val="-6"/>
          <w:kern w:val="2"/>
          <w:sz w:val="21"/>
          <w:szCs w:val="21"/>
          <w:highlight w:val="none"/>
          <w:lang w:eastAsia="zh-CN"/>
        </w:rPr>
        <w:t>4</w:t>
      </w:r>
      <w:r>
        <w:rPr>
          <w:rFonts w:hint="eastAsia" w:ascii="宋体" w:hAnsi="宋体" w:cs="宋体"/>
          <w:color w:val="auto"/>
          <w:spacing w:val="-6"/>
          <w:kern w:val="2"/>
          <w:sz w:val="21"/>
          <w:szCs w:val="21"/>
          <w:highlight w:val="none"/>
        </w:rPr>
        <w:t>.我们同意从规定的开标日期起遵循本投标文件，并在规定的投标有效期期满之前均具有约束力。</w:t>
      </w:r>
    </w:p>
    <w:p>
      <w:pPr>
        <w:pStyle w:val="64"/>
        <w:pageBreakBefore w:val="0"/>
        <w:kinsoku/>
        <w:wordWrap/>
        <w:overflowPunct/>
        <w:topLinePunct w:val="0"/>
        <w:bidi w:val="0"/>
        <w:spacing w:before="0" w:after="0" w:line="360" w:lineRule="auto"/>
        <w:outlineLvl w:val="9"/>
        <w:rPr>
          <w:rFonts w:ascii="宋体" w:hAnsi="宋体" w:cs="宋体"/>
          <w:color w:val="auto"/>
          <w:kern w:val="2"/>
          <w:sz w:val="21"/>
          <w:szCs w:val="21"/>
          <w:highlight w:val="none"/>
        </w:rPr>
      </w:pPr>
      <w:r>
        <w:rPr>
          <w:rFonts w:hint="eastAsia" w:ascii="Times New Roman" w:hAnsi="Times New Roman" w:cs="宋体"/>
          <w:color w:val="auto"/>
          <w:kern w:val="2"/>
          <w:sz w:val="21"/>
          <w:szCs w:val="21"/>
          <w:highlight w:val="none"/>
          <w:lang w:eastAsia="zh-CN"/>
        </w:rPr>
        <w:t>5</w:t>
      </w:r>
      <w:r>
        <w:rPr>
          <w:rFonts w:hint="eastAsia" w:ascii="宋体" w:hAnsi="宋体" w:cs="宋体"/>
          <w:color w:val="auto"/>
          <w:kern w:val="2"/>
          <w:sz w:val="21"/>
          <w:szCs w:val="21"/>
          <w:highlight w:val="none"/>
        </w:rPr>
        <w:t>.如果在开标后规定的投标有效期内撤回投标或中标后拒绝签订合同，我们将按规定接受相应的处罚。</w:t>
      </w:r>
    </w:p>
    <w:p>
      <w:pPr>
        <w:pStyle w:val="64"/>
        <w:pageBreakBefore w:val="0"/>
        <w:kinsoku/>
        <w:wordWrap/>
        <w:overflowPunct/>
        <w:topLinePunct w:val="0"/>
        <w:bidi w:val="0"/>
        <w:spacing w:before="0" w:after="0" w:line="360" w:lineRule="auto"/>
        <w:outlineLvl w:val="9"/>
        <w:rPr>
          <w:rFonts w:ascii="宋体" w:hAnsi="宋体" w:cs="宋体"/>
          <w:color w:val="auto"/>
          <w:kern w:val="2"/>
          <w:sz w:val="21"/>
          <w:szCs w:val="21"/>
          <w:highlight w:val="none"/>
        </w:rPr>
      </w:pPr>
      <w:r>
        <w:rPr>
          <w:rFonts w:hint="eastAsia" w:ascii="Times New Roman" w:hAnsi="Times New Roman" w:cs="宋体"/>
          <w:color w:val="auto"/>
          <w:kern w:val="2"/>
          <w:sz w:val="21"/>
          <w:szCs w:val="21"/>
          <w:highlight w:val="none"/>
          <w:lang w:eastAsia="zh-CN"/>
        </w:rPr>
        <w:t>6</w:t>
      </w:r>
      <w:r>
        <w:rPr>
          <w:rFonts w:hint="eastAsia" w:ascii="宋体" w:hAnsi="宋体" w:cs="宋体"/>
          <w:color w:val="auto"/>
          <w:kern w:val="2"/>
          <w:sz w:val="21"/>
          <w:szCs w:val="21"/>
          <w:highlight w:val="none"/>
        </w:rPr>
        <w:t>.同意向贵方提供贵方可能另外要求的与投标有关的任何证据或资料，并保证我方已提供和将要提供的文件是真实的、准确的。</w:t>
      </w:r>
    </w:p>
    <w:p>
      <w:pPr>
        <w:pStyle w:val="64"/>
        <w:pageBreakBefore w:val="0"/>
        <w:kinsoku/>
        <w:wordWrap/>
        <w:overflowPunct/>
        <w:topLinePunct w:val="0"/>
        <w:bidi w:val="0"/>
        <w:spacing w:before="0" w:after="0" w:line="360" w:lineRule="auto"/>
        <w:outlineLvl w:val="9"/>
        <w:rPr>
          <w:rFonts w:ascii="宋体" w:hAnsi="宋体" w:cs="宋体"/>
          <w:color w:val="auto"/>
          <w:kern w:val="2"/>
          <w:sz w:val="21"/>
          <w:szCs w:val="21"/>
          <w:highlight w:val="none"/>
        </w:rPr>
      </w:pPr>
      <w:r>
        <w:rPr>
          <w:rFonts w:hint="eastAsia" w:ascii="Times New Roman" w:hAnsi="Times New Roman" w:cs="宋体"/>
          <w:color w:val="auto"/>
          <w:kern w:val="2"/>
          <w:sz w:val="21"/>
          <w:szCs w:val="21"/>
          <w:highlight w:val="none"/>
          <w:lang w:eastAsia="zh-CN"/>
        </w:rPr>
        <w:t>7</w:t>
      </w:r>
      <w:r>
        <w:rPr>
          <w:rFonts w:hint="eastAsia" w:ascii="宋体" w:hAnsi="宋体" w:cs="宋体"/>
          <w:color w:val="auto"/>
          <w:kern w:val="2"/>
          <w:sz w:val="21"/>
          <w:szCs w:val="21"/>
          <w:highlight w:val="none"/>
        </w:rPr>
        <w:t>.一旦我方中标,我方将根据采购文件的规定，严格履行合同的责任和义务,并保证在采购文件规定的时间完成项目，交付买方验收、使用。</w:t>
      </w:r>
    </w:p>
    <w:p>
      <w:pPr>
        <w:pStyle w:val="64"/>
        <w:pageBreakBefore w:val="0"/>
        <w:kinsoku/>
        <w:wordWrap/>
        <w:overflowPunct/>
        <w:topLinePunct w:val="0"/>
        <w:bidi w:val="0"/>
        <w:spacing w:before="0" w:after="0" w:line="360" w:lineRule="auto"/>
        <w:ind w:left="425" w:firstLine="105" w:firstLineChars="50"/>
        <w:outlineLvl w:val="9"/>
        <w:rPr>
          <w:rFonts w:ascii="宋体" w:hAnsi="宋体" w:cs="宋体"/>
          <w:color w:val="auto"/>
          <w:kern w:val="2"/>
          <w:sz w:val="21"/>
          <w:szCs w:val="21"/>
          <w:highlight w:val="none"/>
        </w:rPr>
      </w:pPr>
      <w:r>
        <w:rPr>
          <w:rFonts w:hint="eastAsia" w:ascii="Times New Roman" w:hAnsi="Times New Roman" w:cs="宋体"/>
          <w:color w:val="auto"/>
          <w:kern w:val="2"/>
          <w:sz w:val="21"/>
          <w:szCs w:val="21"/>
          <w:highlight w:val="none"/>
          <w:lang w:eastAsia="zh-CN"/>
        </w:rPr>
        <w:t>8</w:t>
      </w:r>
      <w:r>
        <w:rPr>
          <w:rFonts w:hint="eastAsia" w:ascii="宋体" w:hAnsi="宋体" w:cs="宋体"/>
          <w:color w:val="auto"/>
          <w:kern w:val="2"/>
          <w:sz w:val="21"/>
          <w:szCs w:val="21"/>
          <w:highlight w:val="none"/>
        </w:rPr>
        <w:t>.与本投标有关的正式通讯地址为：</w:t>
      </w:r>
    </w:p>
    <w:p>
      <w:pPr>
        <w:pStyle w:val="64"/>
        <w:pageBreakBefore w:val="0"/>
        <w:kinsoku/>
        <w:wordWrap/>
        <w:overflowPunct/>
        <w:topLinePunct w:val="0"/>
        <w:bidi w:val="0"/>
        <w:spacing w:before="0" w:after="0" w:line="360" w:lineRule="auto"/>
        <w:ind w:firstLine="478" w:firstLineChars="228"/>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地 址：</w:t>
      </w:r>
    </w:p>
    <w:p>
      <w:pPr>
        <w:pStyle w:val="64"/>
        <w:pageBreakBefore w:val="0"/>
        <w:kinsoku/>
        <w:wordWrap/>
        <w:overflowPunct/>
        <w:topLinePunct w:val="0"/>
        <w:bidi w:val="0"/>
        <w:spacing w:before="0" w:after="0" w:line="360" w:lineRule="auto"/>
        <w:ind w:firstLine="478" w:firstLineChars="228"/>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邮 编：</w:t>
      </w:r>
    </w:p>
    <w:p>
      <w:pPr>
        <w:pStyle w:val="64"/>
        <w:pageBreakBefore w:val="0"/>
        <w:kinsoku/>
        <w:wordWrap/>
        <w:overflowPunct/>
        <w:topLinePunct w:val="0"/>
        <w:bidi w:val="0"/>
        <w:spacing w:before="0" w:after="0" w:line="360" w:lineRule="auto"/>
        <w:ind w:firstLine="478" w:firstLineChars="228"/>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 xml:space="preserve">电 话： </w:t>
      </w:r>
    </w:p>
    <w:p>
      <w:pPr>
        <w:pStyle w:val="64"/>
        <w:pageBreakBefore w:val="0"/>
        <w:kinsoku/>
        <w:wordWrap/>
        <w:overflowPunct/>
        <w:topLinePunct w:val="0"/>
        <w:bidi w:val="0"/>
        <w:spacing w:before="0" w:after="0" w:line="360" w:lineRule="auto"/>
        <w:ind w:firstLine="478" w:firstLineChars="228"/>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 xml:space="preserve">传 真： </w:t>
      </w:r>
    </w:p>
    <w:p>
      <w:pPr>
        <w:pStyle w:val="64"/>
        <w:pageBreakBefore w:val="0"/>
        <w:kinsoku/>
        <w:wordWrap/>
        <w:overflowPunct/>
        <w:topLinePunct w:val="0"/>
        <w:bidi w:val="0"/>
        <w:spacing w:before="0" w:after="0" w:line="360" w:lineRule="auto"/>
        <w:ind w:firstLine="478" w:firstLineChars="228"/>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投标人开户行：</w:t>
      </w:r>
    </w:p>
    <w:p>
      <w:pPr>
        <w:pStyle w:val="64"/>
        <w:pageBreakBefore w:val="0"/>
        <w:kinsoku/>
        <w:wordWrap/>
        <w:overflowPunct/>
        <w:topLinePunct w:val="0"/>
        <w:bidi w:val="0"/>
        <w:spacing w:before="0" w:after="0" w:line="360" w:lineRule="auto"/>
        <w:ind w:firstLine="478" w:firstLineChars="228"/>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 xml:space="preserve">账 户： </w:t>
      </w:r>
    </w:p>
    <w:p>
      <w:pPr>
        <w:pStyle w:val="64"/>
        <w:pageBreakBefore w:val="0"/>
        <w:kinsoku/>
        <w:wordWrap/>
        <w:overflowPunct/>
        <w:topLinePunct w:val="0"/>
        <w:bidi w:val="0"/>
        <w:spacing w:before="0" w:after="0" w:line="360" w:lineRule="auto"/>
        <w:ind w:firstLine="478" w:firstLineChars="228"/>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行 号：</w:t>
      </w:r>
    </w:p>
    <w:p>
      <w:pPr>
        <w:pStyle w:val="64"/>
        <w:pageBreakBefore w:val="0"/>
        <w:kinsoku/>
        <w:wordWrap/>
        <w:overflowPunct/>
        <w:topLinePunct w:val="0"/>
        <w:bidi w:val="0"/>
        <w:spacing w:before="0" w:after="0" w:line="360" w:lineRule="auto"/>
        <w:ind w:firstLine="478" w:firstLineChars="228"/>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 xml:space="preserve">法定代表人或授权代表（签字）： </w:t>
      </w:r>
    </w:p>
    <w:p>
      <w:pPr>
        <w:pStyle w:val="64"/>
        <w:pageBreakBefore w:val="0"/>
        <w:kinsoku/>
        <w:wordWrap/>
        <w:overflowPunct/>
        <w:topLinePunct w:val="0"/>
        <w:bidi w:val="0"/>
        <w:spacing w:before="0" w:after="0" w:line="360" w:lineRule="auto"/>
        <w:ind w:firstLine="478" w:firstLineChars="228"/>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 xml:space="preserve">投标人名称（公章）： </w:t>
      </w:r>
    </w:p>
    <w:p>
      <w:pPr>
        <w:pStyle w:val="64"/>
        <w:pageBreakBefore w:val="0"/>
        <w:kinsoku/>
        <w:wordWrap/>
        <w:overflowPunct/>
        <w:topLinePunct w:val="0"/>
        <w:bidi w:val="0"/>
        <w:spacing w:before="0" w:after="0" w:line="360" w:lineRule="auto"/>
        <w:ind w:firstLine="478" w:firstLineChars="228"/>
        <w:outlineLvl w:val="9"/>
        <w:rPr>
          <w:rFonts w:ascii="宋体" w:hAnsi="宋体" w:cs="宋体"/>
          <w:color w:val="auto"/>
          <w:kern w:val="2"/>
          <w:sz w:val="21"/>
          <w:szCs w:val="21"/>
          <w:highlight w:val="none"/>
        </w:rPr>
      </w:pPr>
      <w:r>
        <w:rPr>
          <w:rFonts w:hint="eastAsia" w:ascii="宋体" w:hAnsi="宋体" w:cs="宋体"/>
          <w:color w:val="auto"/>
          <w:kern w:val="2"/>
          <w:sz w:val="21"/>
          <w:szCs w:val="21"/>
          <w:highlight w:val="none"/>
        </w:rPr>
        <w:t>日 期：________年____月____日</w:t>
      </w:r>
    </w:p>
    <w:p>
      <w:pPr>
        <w:pStyle w:val="64"/>
        <w:pageBreakBefore w:val="0"/>
        <w:kinsoku/>
        <w:wordWrap/>
        <w:overflowPunct/>
        <w:topLinePunct w:val="0"/>
        <w:bidi w:val="0"/>
        <w:spacing w:before="0" w:after="0" w:line="360" w:lineRule="auto"/>
        <w:ind w:left="0" w:leftChars="0" w:firstLine="0" w:firstLineChars="0"/>
        <w:outlineLvl w:val="9"/>
        <w:rPr>
          <w:rFonts w:ascii="宋体" w:hAnsi="宋体" w:cs="宋体"/>
          <w:color w:val="auto"/>
          <w:kern w:val="2"/>
          <w:sz w:val="21"/>
          <w:szCs w:val="21"/>
          <w:highlight w:val="none"/>
        </w:rPr>
      </w:pPr>
    </w:p>
    <w:p>
      <w:pPr>
        <w:pStyle w:val="64"/>
        <w:pageBreakBefore w:val="0"/>
        <w:kinsoku/>
        <w:wordWrap/>
        <w:overflowPunct/>
        <w:topLinePunct w:val="0"/>
        <w:bidi w:val="0"/>
        <w:spacing w:before="0" w:after="0" w:line="360" w:lineRule="auto"/>
        <w:ind w:firstLine="478" w:firstLineChars="228"/>
        <w:outlineLvl w:val="9"/>
        <w:rPr>
          <w:rFonts w:ascii="宋体" w:hAnsi="宋体" w:cs="宋体"/>
          <w:color w:val="auto"/>
          <w:kern w:val="2"/>
          <w:sz w:val="21"/>
          <w:szCs w:val="21"/>
          <w:highlight w:val="none"/>
        </w:rPr>
      </w:pPr>
    </w:p>
    <w:p>
      <w:pPr>
        <w:pStyle w:val="64"/>
        <w:pageBreakBefore w:val="0"/>
        <w:kinsoku/>
        <w:wordWrap/>
        <w:overflowPunct/>
        <w:topLinePunct w:val="0"/>
        <w:bidi w:val="0"/>
        <w:spacing w:before="0" w:after="0" w:line="360" w:lineRule="auto"/>
        <w:ind w:firstLine="478" w:firstLineChars="228"/>
        <w:outlineLvl w:val="9"/>
        <w:rPr>
          <w:rFonts w:ascii="宋体" w:hAnsi="宋体" w:cs="宋体"/>
          <w:color w:val="auto"/>
          <w:kern w:val="2"/>
          <w:sz w:val="21"/>
          <w:szCs w:val="21"/>
          <w:highlight w:val="none"/>
        </w:rPr>
      </w:pPr>
    </w:p>
    <w:p>
      <w:pPr>
        <w:pageBreakBefore w:val="0"/>
        <w:kinsoku/>
        <w:wordWrap/>
        <w:overflowPunct/>
        <w:topLinePunct w:val="0"/>
        <w:bidi w:val="0"/>
        <w:outlineLvl w:val="9"/>
        <w:rPr>
          <w:rFonts w:hint="eastAsia" w:ascii="宋体" w:hAnsi="宋体" w:cs="宋体"/>
          <w:b/>
          <w:color w:val="auto"/>
          <w:highlight w:val="none"/>
        </w:rPr>
      </w:pPr>
      <w:r>
        <w:rPr>
          <w:rFonts w:hint="eastAsia" w:ascii="宋体" w:hAnsi="宋体" w:cs="宋体"/>
          <w:b/>
          <w:color w:val="auto"/>
          <w:highlight w:val="none"/>
        </w:rPr>
        <w:br w:type="page"/>
      </w:r>
    </w:p>
    <w:p>
      <w:pPr>
        <w:pageBreakBefore w:val="0"/>
        <w:kinsoku/>
        <w:wordWrap/>
        <w:overflowPunct/>
        <w:topLinePunct w:val="0"/>
        <w:bidi w:val="0"/>
        <w:spacing w:line="360" w:lineRule="auto"/>
        <w:jc w:val="center"/>
        <w:outlineLvl w:val="9"/>
        <w:rPr>
          <w:rFonts w:ascii="宋体" w:hAnsi="宋体" w:cs="宋体"/>
          <w:b/>
          <w:color w:val="auto"/>
          <w:highlight w:val="none"/>
        </w:rPr>
      </w:pPr>
      <w:r>
        <w:rPr>
          <w:rFonts w:hint="eastAsia" w:ascii="宋体" w:hAnsi="宋体" w:cs="宋体"/>
          <w:b/>
          <w:color w:val="auto"/>
          <w:highlight w:val="none"/>
        </w:rPr>
        <w:t>资 格 声 明</w:t>
      </w:r>
    </w:p>
    <w:p>
      <w:pPr>
        <w:pageBreakBefore w:val="0"/>
        <w:kinsoku/>
        <w:wordWrap/>
        <w:overflowPunct/>
        <w:topLinePunct w:val="0"/>
        <w:bidi w:val="0"/>
        <w:spacing w:line="360" w:lineRule="auto"/>
        <w:ind w:firstLine="420"/>
        <w:jc w:val="left"/>
        <w:outlineLvl w:val="9"/>
        <w:rPr>
          <w:rFonts w:ascii="宋体" w:hAnsi="宋体" w:cs="宋体"/>
          <w:b/>
          <w:bCs/>
          <w:color w:val="auto"/>
          <w:szCs w:val="21"/>
          <w:highlight w:val="none"/>
        </w:rPr>
      </w:pPr>
      <w:r>
        <w:rPr>
          <w:rFonts w:hint="eastAsia" w:ascii="Times New Roman" w:hAnsi="Times New Roman" w:cs="宋体"/>
          <w:color w:val="auto"/>
          <w:szCs w:val="21"/>
          <w:highlight w:val="none"/>
          <w:lang w:eastAsia="zh-CN"/>
        </w:rPr>
        <w:t>1</w:t>
      </w:r>
      <w:r>
        <w:rPr>
          <w:rFonts w:hint="eastAsia" w:ascii="宋体" w:hAnsi="宋体" w:cs="宋体"/>
          <w:color w:val="auto"/>
          <w:szCs w:val="21"/>
          <w:highlight w:val="none"/>
        </w:rPr>
        <w:t>、名称及其它情况：</w:t>
      </w:r>
    </w:p>
    <w:p>
      <w:pPr>
        <w:pageBreakBefore w:val="0"/>
        <w:kinsoku/>
        <w:wordWrap/>
        <w:overflowPunct/>
        <w:topLinePunct w:val="0"/>
        <w:bidi w:val="0"/>
        <w:spacing w:line="360" w:lineRule="auto"/>
        <w:ind w:firstLine="420"/>
        <w:outlineLvl w:val="9"/>
        <w:rPr>
          <w:rFonts w:ascii="宋体" w:hAnsi="宋体" w:cs="宋体"/>
          <w:color w:val="auto"/>
          <w:szCs w:val="21"/>
          <w:highlight w:val="none"/>
        </w:rPr>
      </w:pPr>
      <w:r>
        <w:rPr>
          <w:rFonts w:hint="eastAsia" w:ascii="宋体" w:hAnsi="宋体" w:cs="宋体"/>
          <w:color w:val="auto"/>
          <w:szCs w:val="21"/>
          <w:highlight w:val="none"/>
        </w:rPr>
        <w:t>（</w:t>
      </w:r>
      <w:r>
        <w:rPr>
          <w:rFonts w:hint="eastAsia" w:ascii="Times New Roman" w:hAnsi="Times New Roman" w:cs="宋体"/>
          <w:color w:val="auto"/>
          <w:szCs w:val="21"/>
          <w:highlight w:val="none"/>
          <w:lang w:eastAsia="zh-CN"/>
        </w:rPr>
        <w:t>1</w:t>
      </w:r>
      <w:r>
        <w:rPr>
          <w:rFonts w:hint="eastAsia" w:ascii="宋体" w:hAnsi="宋体" w:cs="宋体"/>
          <w:color w:val="auto"/>
          <w:szCs w:val="21"/>
          <w:highlight w:val="none"/>
        </w:rPr>
        <w:t>）投标人名称：</w:t>
      </w:r>
      <w:r>
        <w:rPr>
          <w:rFonts w:hint="eastAsia" w:ascii="宋体" w:hAnsi="宋体" w:cs="宋体"/>
          <w:color w:val="auto"/>
          <w:szCs w:val="21"/>
          <w:highlight w:val="none"/>
          <w:u w:val="single"/>
        </w:rPr>
        <w:t xml:space="preserve">                            </w:t>
      </w:r>
    </w:p>
    <w:p>
      <w:pPr>
        <w:pageBreakBefore w:val="0"/>
        <w:tabs>
          <w:tab w:val="left" w:pos="4530"/>
        </w:tabs>
        <w:kinsoku/>
        <w:wordWrap/>
        <w:overflowPunct/>
        <w:topLinePunct w:val="0"/>
        <w:bidi w:val="0"/>
        <w:spacing w:line="360" w:lineRule="auto"/>
        <w:ind w:firstLine="420"/>
        <w:outlineLvl w:val="9"/>
        <w:rPr>
          <w:rFonts w:ascii="宋体" w:hAnsi="宋体" w:cs="宋体"/>
          <w:color w:val="auto"/>
          <w:szCs w:val="21"/>
          <w:highlight w:val="none"/>
        </w:rPr>
      </w:pPr>
      <w:r>
        <w:rPr>
          <w:rFonts w:hint="eastAsia" w:ascii="宋体" w:hAnsi="宋体" w:cs="宋体"/>
          <w:color w:val="auto"/>
          <w:szCs w:val="21"/>
          <w:highlight w:val="none"/>
        </w:rPr>
        <w:t>（</w:t>
      </w:r>
      <w:r>
        <w:rPr>
          <w:rFonts w:hint="eastAsia" w:ascii="Times New Roman" w:hAnsi="Times New Roman" w:cs="宋体"/>
          <w:color w:val="auto"/>
          <w:szCs w:val="21"/>
          <w:highlight w:val="none"/>
          <w:lang w:eastAsia="zh-CN"/>
        </w:rPr>
        <w:t>2</w:t>
      </w: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ab/>
      </w:r>
      <w:r>
        <w:rPr>
          <w:rFonts w:hint="eastAsia" w:ascii="宋体" w:hAnsi="宋体" w:cs="宋体"/>
          <w:color w:val="auto"/>
          <w:szCs w:val="21"/>
          <w:highlight w:val="none"/>
        </w:rPr>
        <w:t xml:space="preserve">        邮编：</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pageBreakBefore w:val="0"/>
        <w:tabs>
          <w:tab w:val="left" w:pos="600"/>
          <w:tab w:val="left" w:pos="4320"/>
        </w:tabs>
        <w:kinsoku/>
        <w:wordWrap/>
        <w:overflowPunct/>
        <w:topLinePunct w:val="0"/>
        <w:bidi w:val="0"/>
        <w:spacing w:line="360" w:lineRule="auto"/>
        <w:ind w:firstLine="840"/>
        <w:outlineLvl w:val="9"/>
        <w:rPr>
          <w:rFonts w:ascii="宋体" w:hAnsi="宋体" w:cs="宋体"/>
          <w:color w:val="auto"/>
          <w:szCs w:val="21"/>
          <w:highlight w:val="none"/>
        </w:rPr>
      </w:pPr>
      <w:r>
        <w:rPr>
          <w:rFonts w:hint="eastAsia" w:ascii="宋体" w:hAnsi="宋体" w:cs="宋体"/>
          <w:color w:val="auto"/>
          <w:szCs w:val="21"/>
          <w:highlight w:val="none"/>
        </w:rPr>
        <w:t>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传真：</w:t>
      </w:r>
      <w:r>
        <w:rPr>
          <w:rFonts w:hint="eastAsia" w:ascii="宋体" w:hAnsi="宋体" w:cs="宋体"/>
          <w:color w:val="auto"/>
          <w:szCs w:val="21"/>
          <w:highlight w:val="none"/>
          <w:u w:val="single"/>
        </w:rPr>
        <w:t xml:space="preserve">                  </w:t>
      </w:r>
    </w:p>
    <w:p>
      <w:pPr>
        <w:pageBreakBefore w:val="0"/>
        <w:kinsoku/>
        <w:wordWrap/>
        <w:overflowPunct/>
        <w:topLinePunct w:val="0"/>
        <w:bidi w:val="0"/>
        <w:spacing w:line="360" w:lineRule="auto"/>
        <w:ind w:firstLine="420"/>
        <w:outlineLvl w:val="9"/>
        <w:rPr>
          <w:rFonts w:ascii="宋体" w:hAnsi="宋体" w:cs="宋体"/>
          <w:color w:val="auto"/>
          <w:szCs w:val="21"/>
          <w:highlight w:val="none"/>
          <w:u w:val="single"/>
        </w:rPr>
      </w:pPr>
      <w:r>
        <w:rPr>
          <w:rFonts w:hint="eastAsia" w:ascii="宋体" w:hAnsi="宋体" w:cs="宋体"/>
          <w:color w:val="auto"/>
          <w:szCs w:val="21"/>
          <w:highlight w:val="none"/>
        </w:rPr>
        <w:t>（</w:t>
      </w:r>
      <w:r>
        <w:rPr>
          <w:rFonts w:hint="eastAsia" w:ascii="Times New Roman" w:hAnsi="Times New Roman" w:cs="宋体"/>
          <w:color w:val="auto"/>
          <w:szCs w:val="21"/>
          <w:highlight w:val="none"/>
          <w:lang w:eastAsia="zh-CN"/>
        </w:rPr>
        <w:t>3</w:t>
      </w:r>
      <w:r>
        <w:rPr>
          <w:rFonts w:hint="eastAsia" w:ascii="宋体" w:hAnsi="宋体" w:cs="宋体"/>
          <w:color w:val="auto"/>
          <w:szCs w:val="21"/>
          <w:highlight w:val="none"/>
        </w:rPr>
        <w:t>）成立和/或注册日期：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pageBreakBefore w:val="0"/>
        <w:kinsoku/>
        <w:wordWrap/>
        <w:overflowPunct/>
        <w:topLinePunct w:val="0"/>
        <w:bidi w:val="0"/>
        <w:spacing w:line="360" w:lineRule="auto"/>
        <w:ind w:firstLine="420"/>
        <w:outlineLvl w:val="9"/>
        <w:rPr>
          <w:rFonts w:ascii="宋体" w:hAnsi="宋体" w:cs="宋体"/>
          <w:color w:val="auto"/>
          <w:szCs w:val="21"/>
          <w:highlight w:val="none"/>
        </w:rPr>
      </w:pPr>
      <w:r>
        <w:rPr>
          <w:rFonts w:hint="eastAsia" w:ascii="宋体" w:hAnsi="宋体" w:cs="宋体"/>
          <w:color w:val="auto"/>
          <w:szCs w:val="21"/>
          <w:highlight w:val="none"/>
        </w:rPr>
        <w:t>（</w:t>
      </w:r>
      <w:r>
        <w:rPr>
          <w:rFonts w:hint="eastAsia" w:ascii="Times New Roman" w:hAnsi="Times New Roman" w:cs="宋体"/>
          <w:color w:val="auto"/>
          <w:szCs w:val="21"/>
          <w:highlight w:val="none"/>
          <w:lang w:eastAsia="zh-CN"/>
        </w:rPr>
        <w:t>4</w:t>
      </w: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w:t>
      </w:r>
    </w:p>
    <w:p>
      <w:pPr>
        <w:pageBreakBefore w:val="0"/>
        <w:kinsoku/>
        <w:wordWrap/>
        <w:overflowPunct/>
        <w:topLinePunct w:val="0"/>
        <w:bidi w:val="0"/>
        <w:spacing w:line="360" w:lineRule="auto"/>
        <w:ind w:firstLine="420"/>
        <w:outlineLvl w:val="9"/>
        <w:rPr>
          <w:rFonts w:ascii="宋体" w:hAnsi="宋体" w:cs="宋体"/>
          <w:color w:val="auto"/>
          <w:szCs w:val="21"/>
          <w:highlight w:val="none"/>
          <w:u w:val="single"/>
        </w:rPr>
      </w:pPr>
      <w:r>
        <w:rPr>
          <w:rFonts w:hint="eastAsia" w:ascii="宋体" w:hAnsi="宋体" w:cs="宋体"/>
          <w:color w:val="auto"/>
          <w:szCs w:val="21"/>
          <w:highlight w:val="none"/>
        </w:rPr>
        <w:t>（</w:t>
      </w:r>
      <w:r>
        <w:rPr>
          <w:rFonts w:hint="eastAsia" w:ascii="Times New Roman" w:hAnsi="Times New Roman" w:cs="宋体"/>
          <w:color w:val="auto"/>
          <w:szCs w:val="21"/>
          <w:highlight w:val="none"/>
          <w:lang w:eastAsia="zh-CN"/>
        </w:rPr>
        <w:t>5</w:t>
      </w:r>
      <w:r>
        <w:rPr>
          <w:rFonts w:hint="eastAsia" w:ascii="宋体" w:hAnsi="宋体" w:cs="宋体"/>
          <w:color w:val="auto"/>
          <w:szCs w:val="21"/>
          <w:highlight w:val="none"/>
        </w:rPr>
        <w:t>）实收资本：</w:t>
      </w:r>
      <w:r>
        <w:rPr>
          <w:rFonts w:hint="eastAsia" w:ascii="宋体" w:hAnsi="宋体" w:cs="宋体"/>
          <w:color w:val="auto"/>
          <w:szCs w:val="21"/>
          <w:highlight w:val="none"/>
          <w:u w:val="single"/>
        </w:rPr>
        <w:t xml:space="preserve">                                 </w:t>
      </w:r>
    </w:p>
    <w:p>
      <w:pPr>
        <w:pageBreakBefore w:val="0"/>
        <w:kinsoku/>
        <w:wordWrap/>
        <w:overflowPunct/>
        <w:topLinePunct w:val="0"/>
        <w:bidi w:val="0"/>
        <w:spacing w:line="360" w:lineRule="auto"/>
        <w:ind w:firstLine="420"/>
        <w:outlineLvl w:val="9"/>
        <w:rPr>
          <w:rFonts w:ascii="宋体" w:hAnsi="宋体" w:cs="宋体"/>
          <w:color w:val="auto"/>
          <w:szCs w:val="21"/>
          <w:highlight w:val="none"/>
        </w:rPr>
      </w:pPr>
      <w:r>
        <w:rPr>
          <w:rFonts w:hint="eastAsia" w:ascii="宋体" w:hAnsi="宋体" w:cs="宋体"/>
          <w:color w:val="auto"/>
          <w:szCs w:val="21"/>
          <w:highlight w:val="none"/>
        </w:rPr>
        <w:t>（</w:t>
      </w:r>
      <w:r>
        <w:rPr>
          <w:rFonts w:hint="eastAsia" w:ascii="Times New Roman" w:hAnsi="Times New Roman" w:cs="宋体"/>
          <w:color w:val="auto"/>
          <w:szCs w:val="21"/>
          <w:highlight w:val="none"/>
          <w:lang w:eastAsia="zh-CN"/>
        </w:rPr>
        <w:t>6</w:t>
      </w:r>
      <w:r>
        <w:rPr>
          <w:rFonts w:hint="eastAsia" w:ascii="宋体" w:hAnsi="宋体" w:cs="宋体"/>
          <w:color w:val="auto"/>
          <w:szCs w:val="21"/>
          <w:highlight w:val="none"/>
        </w:rPr>
        <w:t>）近期资产负债表：（到</w:t>
      </w:r>
      <w:r>
        <w:rPr>
          <w:rFonts w:hint="eastAsia" w:ascii="Times New Roman" w:hAnsi="Times New Roman" w:cs="宋体"/>
          <w:color w:val="auto"/>
          <w:szCs w:val="21"/>
          <w:highlight w:val="none"/>
          <w:u w:val="single"/>
          <w:lang w:eastAsia="zh-CN"/>
        </w:rPr>
        <w:t>20</w:t>
      </w:r>
      <w:r>
        <w:rPr>
          <w:rFonts w:hint="eastAsia" w:ascii="宋体" w:hAnsi="宋体" w:cs="宋体"/>
          <w:color w:val="auto"/>
          <w:szCs w:val="21"/>
          <w:highlight w:val="none"/>
          <w:u w:val="single"/>
        </w:rPr>
        <w:t xml:space="preserve">  年</w:t>
      </w:r>
      <w:r>
        <w:rPr>
          <w:rFonts w:hint="eastAsia" w:ascii="Times New Roman" w:hAnsi="Times New Roman" w:cs="宋体"/>
          <w:color w:val="auto"/>
          <w:szCs w:val="21"/>
          <w:highlight w:val="none"/>
          <w:u w:val="single"/>
          <w:lang w:eastAsia="zh-CN"/>
        </w:rPr>
        <w:t>12</w:t>
      </w:r>
      <w:r>
        <w:rPr>
          <w:rFonts w:hint="eastAsia" w:ascii="宋体" w:hAnsi="宋体" w:cs="宋体"/>
          <w:color w:val="auto"/>
          <w:szCs w:val="21"/>
          <w:highlight w:val="none"/>
          <w:u w:val="single"/>
        </w:rPr>
        <w:t>月</w:t>
      </w:r>
      <w:r>
        <w:rPr>
          <w:rFonts w:hint="eastAsia" w:ascii="Times New Roman" w:hAnsi="Times New Roman" w:cs="宋体"/>
          <w:color w:val="auto"/>
          <w:szCs w:val="21"/>
          <w:highlight w:val="none"/>
          <w:u w:val="single"/>
          <w:lang w:eastAsia="zh-CN"/>
        </w:rPr>
        <w:t>31</w:t>
      </w:r>
      <w:r>
        <w:rPr>
          <w:rFonts w:hint="eastAsia" w:ascii="宋体" w:hAnsi="宋体" w:cs="宋体"/>
          <w:color w:val="auto"/>
          <w:szCs w:val="21"/>
          <w:highlight w:val="none"/>
          <w:u w:val="single"/>
        </w:rPr>
        <w:t>日</w:t>
      </w:r>
      <w:r>
        <w:rPr>
          <w:rFonts w:hint="eastAsia" w:ascii="宋体" w:hAnsi="宋体" w:cs="宋体"/>
          <w:color w:val="auto"/>
          <w:szCs w:val="21"/>
          <w:highlight w:val="none"/>
        </w:rPr>
        <w:t>）</w:t>
      </w:r>
    </w:p>
    <w:p>
      <w:pPr>
        <w:pageBreakBefore w:val="0"/>
        <w:kinsoku/>
        <w:wordWrap/>
        <w:overflowPunct/>
        <w:topLinePunct w:val="0"/>
        <w:bidi w:val="0"/>
        <w:spacing w:line="360" w:lineRule="auto"/>
        <w:ind w:firstLine="420"/>
        <w:outlineLvl w:val="9"/>
        <w:rPr>
          <w:rFonts w:ascii="宋体" w:hAnsi="宋体" w:cs="宋体"/>
          <w:color w:val="auto"/>
          <w:highlight w:val="none"/>
        </w:rPr>
      </w:pPr>
      <w:r>
        <w:rPr>
          <w:rFonts w:hint="eastAsia" w:ascii="宋体" w:hAnsi="宋体" w:cs="宋体"/>
          <w:color w:val="auto"/>
          <w:highlight w:val="none"/>
        </w:rPr>
        <w:t>&lt;</w:t>
      </w:r>
      <w:r>
        <w:rPr>
          <w:rFonts w:hint="eastAsia" w:ascii="Times New Roman" w:hAnsi="Times New Roman" w:cs="宋体"/>
          <w:color w:val="auto"/>
          <w:highlight w:val="none"/>
          <w:lang w:eastAsia="zh-CN"/>
        </w:rPr>
        <w:t>1</w:t>
      </w:r>
      <w:r>
        <w:rPr>
          <w:rFonts w:hint="eastAsia" w:ascii="宋体" w:hAnsi="宋体" w:cs="宋体"/>
          <w:color w:val="auto"/>
          <w:highlight w:val="none"/>
        </w:rPr>
        <w:t>&gt; 固定资产：</w:t>
      </w:r>
      <w:r>
        <w:rPr>
          <w:rFonts w:hint="eastAsia" w:ascii="宋体" w:hAnsi="宋体" w:cs="宋体"/>
          <w:color w:val="auto"/>
          <w:highlight w:val="none"/>
          <w:u w:val="single"/>
        </w:rPr>
        <w:t xml:space="preserve">                          </w:t>
      </w:r>
    </w:p>
    <w:p>
      <w:pPr>
        <w:pageBreakBefore w:val="0"/>
        <w:kinsoku/>
        <w:wordWrap/>
        <w:overflowPunct/>
        <w:topLinePunct w:val="0"/>
        <w:bidi w:val="0"/>
        <w:spacing w:line="360" w:lineRule="auto"/>
        <w:ind w:firstLine="420"/>
        <w:outlineLvl w:val="9"/>
        <w:rPr>
          <w:rFonts w:ascii="宋体" w:hAnsi="宋体" w:cs="宋体"/>
          <w:color w:val="auto"/>
          <w:highlight w:val="none"/>
        </w:rPr>
      </w:pPr>
      <w:r>
        <w:rPr>
          <w:rFonts w:hint="eastAsia" w:ascii="宋体" w:hAnsi="宋体" w:cs="宋体"/>
          <w:color w:val="auto"/>
          <w:highlight w:val="none"/>
        </w:rPr>
        <w:t>&lt;</w:t>
      </w:r>
      <w:r>
        <w:rPr>
          <w:rFonts w:hint="eastAsia" w:ascii="Times New Roman" w:hAnsi="Times New Roman" w:cs="宋体"/>
          <w:color w:val="auto"/>
          <w:highlight w:val="none"/>
          <w:lang w:eastAsia="zh-CN"/>
        </w:rPr>
        <w:t>2</w:t>
      </w:r>
      <w:r>
        <w:rPr>
          <w:rFonts w:hint="eastAsia" w:ascii="宋体" w:hAnsi="宋体" w:cs="宋体"/>
          <w:color w:val="auto"/>
          <w:highlight w:val="none"/>
        </w:rPr>
        <w:t>&gt; 流动资金：</w:t>
      </w:r>
      <w:r>
        <w:rPr>
          <w:rFonts w:hint="eastAsia" w:ascii="宋体" w:hAnsi="宋体" w:cs="宋体"/>
          <w:color w:val="auto"/>
          <w:highlight w:val="none"/>
          <w:u w:val="single"/>
        </w:rPr>
        <w:t xml:space="preserve">                          </w:t>
      </w:r>
    </w:p>
    <w:p>
      <w:pPr>
        <w:pageBreakBefore w:val="0"/>
        <w:kinsoku/>
        <w:wordWrap/>
        <w:overflowPunct/>
        <w:topLinePunct w:val="0"/>
        <w:bidi w:val="0"/>
        <w:spacing w:line="360" w:lineRule="auto"/>
        <w:ind w:firstLine="420"/>
        <w:outlineLvl w:val="9"/>
        <w:rPr>
          <w:rFonts w:ascii="宋体" w:hAnsi="宋体" w:cs="宋体"/>
          <w:color w:val="auto"/>
          <w:highlight w:val="none"/>
        </w:rPr>
      </w:pPr>
      <w:r>
        <w:rPr>
          <w:rFonts w:hint="eastAsia" w:ascii="宋体" w:hAnsi="宋体" w:cs="宋体"/>
          <w:color w:val="auto"/>
          <w:highlight w:val="none"/>
        </w:rPr>
        <w:t>&lt;</w:t>
      </w:r>
      <w:r>
        <w:rPr>
          <w:rFonts w:hint="eastAsia" w:ascii="Times New Roman" w:hAnsi="Times New Roman" w:cs="宋体"/>
          <w:color w:val="auto"/>
          <w:highlight w:val="none"/>
          <w:lang w:eastAsia="zh-CN"/>
        </w:rPr>
        <w:t>3</w:t>
      </w:r>
      <w:r>
        <w:rPr>
          <w:rFonts w:hint="eastAsia" w:ascii="宋体" w:hAnsi="宋体" w:cs="宋体"/>
          <w:color w:val="auto"/>
          <w:highlight w:val="none"/>
        </w:rPr>
        <w:t>&gt; 长期负债：</w:t>
      </w:r>
      <w:r>
        <w:rPr>
          <w:rFonts w:hint="eastAsia" w:ascii="宋体" w:hAnsi="宋体" w:cs="宋体"/>
          <w:color w:val="auto"/>
          <w:highlight w:val="none"/>
          <w:u w:val="single"/>
        </w:rPr>
        <w:t xml:space="preserve">                          </w:t>
      </w:r>
    </w:p>
    <w:p>
      <w:pPr>
        <w:pageBreakBefore w:val="0"/>
        <w:kinsoku/>
        <w:wordWrap/>
        <w:overflowPunct/>
        <w:topLinePunct w:val="0"/>
        <w:bidi w:val="0"/>
        <w:spacing w:line="360" w:lineRule="auto"/>
        <w:ind w:firstLine="420"/>
        <w:outlineLvl w:val="9"/>
        <w:rPr>
          <w:rFonts w:ascii="宋体" w:hAnsi="宋体" w:cs="宋体"/>
          <w:color w:val="auto"/>
          <w:highlight w:val="none"/>
        </w:rPr>
      </w:pPr>
      <w:r>
        <w:rPr>
          <w:rFonts w:hint="eastAsia" w:ascii="宋体" w:hAnsi="宋体" w:cs="宋体"/>
          <w:color w:val="auto"/>
          <w:highlight w:val="none"/>
        </w:rPr>
        <w:t>&lt;</w:t>
      </w:r>
      <w:r>
        <w:rPr>
          <w:rFonts w:hint="eastAsia" w:ascii="Times New Roman" w:hAnsi="Times New Roman" w:cs="宋体"/>
          <w:color w:val="auto"/>
          <w:highlight w:val="none"/>
          <w:lang w:eastAsia="zh-CN"/>
        </w:rPr>
        <w:t>4</w:t>
      </w:r>
      <w:r>
        <w:rPr>
          <w:rFonts w:hint="eastAsia" w:ascii="宋体" w:hAnsi="宋体" w:cs="宋体"/>
          <w:color w:val="auto"/>
          <w:highlight w:val="none"/>
        </w:rPr>
        <w:t>&gt; 短期负债：</w:t>
      </w:r>
      <w:r>
        <w:rPr>
          <w:rFonts w:hint="eastAsia" w:ascii="宋体" w:hAnsi="宋体" w:cs="宋体"/>
          <w:color w:val="auto"/>
          <w:highlight w:val="none"/>
          <w:u w:val="single"/>
        </w:rPr>
        <w:t xml:space="preserve">                          </w:t>
      </w:r>
    </w:p>
    <w:p>
      <w:pPr>
        <w:pageBreakBefore w:val="0"/>
        <w:kinsoku/>
        <w:wordWrap/>
        <w:overflowPunct/>
        <w:topLinePunct w:val="0"/>
        <w:bidi w:val="0"/>
        <w:spacing w:line="360" w:lineRule="auto"/>
        <w:ind w:firstLine="420"/>
        <w:outlineLvl w:val="9"/>
        <w:rPr>
          <w:rFonts w:ascii="宋体" w:hAnsi="宋体" w:cs="宋体"/>
          <w:color w:val="auto"/>
          <w:highlight w:val="none"/>
        </w:rPr>
      </w:pPr>
      <w:r>
        <w:rPr>
          <w:rFonts w:hint="eastAsia" w:ascii="Times New Roman" w:hAnsi="Times New Roman" w:cs="宋体"/>
          <w:color w:val="auto"/>
          <w:highlight w:val="none"/>
          <w:lang w:eastAsia="zh-CN"/>
        </w:rPr>
        <w:t>2</w:t>
      </w:r>
      <w:r>
        <w:rPr>
          <w:rFonts w:hint="eastAsia" w:ascii="宋体" w:hAnsi="宋体" w:cs="宋体"/>
          <w:color w:val="auto"/>
          <w:highlight w:val="none"/>
        </w:rPr>
        <w:t>、近三年同类投标货物和服务的主要销售业绩（无有效联系人、联系方式和合同复印件的视为未填报本项目）：</w:t>
      </w:r>
    </w:p>
    <w:tbl>
      <w:tblPr>
        <w:tblStyle w:val="37"/>
        <w:tblW w:w="0" w:type="auto"/>
        <w:jc w:val="center"/>
        <w:tblLayout w:type="fixed"/>
        <w:tblCellMar>
          <w:top w:w="0" w:type="dxa"/>
          <w:left w:w="108" w:type="dxa"/>
          <w:bottom w:w="0" w:type="dxa"/>
          <w:right w:w="108" w:type="dxa"/>
        </w:tblCellMar>
      </w:tblPr>
      <w:tblGrid>
        <w:gridCol w:w="4271"/>
        <w:gridCol w:w="4251"/>
      </w:tblGrid>
      <w:tr>
        <w:trPr>
          <w:jc w:val="center"/>
        </w:trPr>
        <w:tc>
          <w:tcPr>
            <w:tcW w:w="4271" w:type="dxa"/>
          </w:tcPr>
          <w:p>
            <w:pPr>
              <w:pageBreakBefore w:val="0"/>
              <w:kinsoku/>
              <w:wordWrap/>
              <w:overflowPunct/>
              <w:topLinePunct w:val="0"/>
              <w:bidi w:val="0"/>
              <w:spacing w:line="360" w:lineRule="auto"/>
              <w:jc w:val="center"/>
              <w:outlineLvl w:val="9"/>
              <w:rPr>
                <w:rFonts w:ascii="宋体" w:hAnsi="宋体" w:cs="宋体"/>
                <w:color w:val="auto"/>
                <w:highlight w:val="none"/>
                <w:u w:val="single"/>
              </w:rPr>
            </w:pPr>
            <w:r>
              <w:rPr>
                <w:rFonts w:hint="eastAsia" w:ascii="宋体" w:hAnsi="宋体" w:cs="宋体"/>
                <w:color w:val="auto"/>
                <w:highlight w:val="none"/>
                <w:u w:val="single"/>
              </w:rPr>
              <w:t>甲方名称、联系人、联系方式</w:t>
            </w:r>
          </w:p>
        </w:tc>
        <w:tc>
          <w:tcPr>
            <w:tcW w:w="4251" w:type="dxa"/>
          </w:tcPr>
          <w:p>
            <w:pPr>
              <w:pageBreakBefore w:val="0"/>
              <w:kinsoku/>
              <w:wordWrap/>
              <w:overflowPunct/>
              <w:topLinePunct w:val="0"/>
              <w:bidi w:val="0"/>
              <w:spacing w:line="360" w:lineRule="auto"/>
              <w:jc w:val="center"/>
              <w:outlineLvl w:val="9"/>
              <w:rPr>
                <w:rFonts w:ascii="宋体" w:hAnsi="宋体" w:cs="宋体"/>
                <w:color w:val="auto"/>
                <w:highlight w:val="none"/>
                <w:u w:val="single"/>
              </w:rPr>
            </w:pPr>
            <w:r>
              <w:rPr>
                <w:rFonts w:hint="eastAsia" w:ascii="宋体" w:hAnsi="宋体" w:cs="宋体"/>
                <w:color w:val="auto"/>
                <w:highlight w:val="none"/>
                <w:u w:val="single"/>
              </w:rPr>
              <w:t>项   目   名   称</w:t>
            </w:r>
          </w:p>
        </w:tc>
      </w:tr>
      <w:tr>
        <w:trPr>
          <w:trHeight w:val="368" w:hRule="atLeast"/>
          <w:jc w:val="center"/>
        </w:trPr>
        <w:tc>
          <w:tcPr>
            <w:tcW w:w="4271" w:type="dxa"/>
          </w:tcPr>
          <w:p>
            <w:pPr>
              <w:pageBreakBefore w:val="0"/>
              <w:kinsoku/>
              <w:wordWrap/>
              <w:overflowPunct/>
              <w:topLinePunct w:val="0"/>
              <w:bidi w:val="0"/>
              <w:spacing w:line="360" w:lineRule="auto"/>
              <w:ind w:firstLine="420"/>
              <w:outlineLvl w:val="9"/>
              <w:rPr>
                <w:rFonts w:ascii="宋体" w:hAnsi="宋体" w:cs="宋体"/>
                <w:color w:val="auto"/>
                <w:highlight w:val="none"/>
              </w:rPr>
            </w:pPr>
            <w:r>
              <w:rPr>
                <w:rFonts w:hint="eastAsia" w:ascii="宋体" w:hAnsi="宋体" w:cs="宋体"/>
                <w:color w:val="auto"/>
                <w:highlight w:val="none"/>
                <w:u w:val="single"/>
              </w:rPr>
              <w:t xml:space="preserve">                                                    </w:t>
            </w:r>
          </w:p>
        </w:tc>
        <w:tc>
          <w:tcPr>
            <w:tcW w:w="4251" w:type="dxa"/>
          </w:tcPr>
          <w:p>
            <w:pPr>
              <w:pageBreakBefore w:val="0"/>
              <w:kinsoku/>
              <w:wordWrap/>
              <w:overflowPunct/>
              <w:topLinePunct w:val="0"/>
              <w:bidi w:val="0"/>
              <w:spacing w:line="360" w:lineRule="auto"/>
              <w:ind w:firstLine="420"/>
              <w:outlineLvl w:val="9"/>
              <w:rPr>
                <w:rFonts w:ascii="宋体" w:hAnsi="宋体" w:cs="宋体"/>
                <w:color w:val="auto"/>
                <w:highlight w:val="none"/>
              </w:rPr>
            </w:pPr>
            <w:r>
              <w:rPr>
                <w:rFonts w:hint="eastAsia" w:ascii="宋体" w:hAnsi="宋体" w:cs="宋体"/>
                <w:color w:val="auto"/>
                <w:highlight w:val="none"/>
                <w:u w:val="single"/>
              </w:rPr>
              <w:t xml:space="preserve">                                          </w:t>
            </w:r>
          </w:p>
        </w:tc>
      </w:tr>
      <w:tr>
        <w:tblPrEx>
          <w:tblCellMar>
            <w:top w:w="0" w:type="dxa"/>
            <w:left w:w="108" w:type="dxa"/>
            <w:bottom w:w="0" w:type="dxa"/>
            <w:right w:w="108" w:type="dxa"/>
          </w:tblCellMar>
        </w:tblPrEx>
        <w:trPr>
          <w:trHeight w:val="443" w:hRule="atLeast"/>
          <w:jc w:val="center"/>
        </w:trPr>
        <w:tc>
          <w:tcPr>
            <w:tcW w:w="4271" w:type="dxa"/>
          </w:tcPr>
          <w:p>
            <w:pPr>
              <w:pageBreakBefore w:val="0"/>
              <w:kinsoku/>
              <w:wordWrap/>
              <w:overflowPunct/>
              <w:topLinePunct w:val="0"/>
              <w:bidi w:val="0"/>
              <w:spacing w:line="360" w:lineRule="auto"/>
              <w:ind w:firstLine="420"/>
              <w:outlineLvl w:val="9"/>
              <w:rPr>
                <w:rFonts w:ascii="宋体" w:hAnsi="宋体" w:cs="宋体"/>
                <w:color w:val="auto"/>
                <w:highlight w:val="none"/>
              </w:rPr>
            </w:pPr>
            <w:r>
              <w:rPr>
                <w:rFonts w:hint="eastAsia" w:ascii="宋体" w:hAnsi="宋体" w:cs="宋体"/>
                <w:color w:val="auto"/>
                <w:highlight w:val="none"/>
                <w:u w:val="single"/>
              </w:rPr>
              <w:t xml:space="preserve">                                          </w:t>
            </w:r>
          </w:p>
        </w:tc>
        <w:tc>
          <w:tcPr>
            <w:tcW w:w="4251" w:type="dxa"/>
          </w:tcPr>
          <w:p>
            <w:pPr>
              <w:pageBreakBefore w:val="0"/>
              <w:kinsoku/>
              <w:wordWrap/>
              <w:overflowPunct/>
              <w:topLinePunct w:val="0"/>
              <w:bidi w:val="0"/>
              <w:spacing w:line="360" w:lineRule="auto"/>
              <w:ind w:firstLine="420"/>
              <w:outlineLvl w:val="9"/>
              <w:rPr>
                <w:rFonts w:ascii="宋体" w:hAnsi="宋体" w:cs="宋体"/>
                <w:color w:val="auto"/>
                <w:highlight w:val="none"/>
              </w:rPr>
            </w:pPr>
            <w:r>
              <w:rPr>
                <w:rFonts w:hint="eastAsia" w:ascii="宋体" w:hAnsi="宋体" w:cs="宋体"/>
                <w:color w:val="auto"/>
                <w:highlight w:val="none"/>
                <w:u w:val="single"/>
              </w:rPr>
              <w:t xml:space="preserve">                                          </w:t>
            </w:r>
          </w:p>
        </w:tc>
      </w:tr>
    </w:tbl>
    <w:p>
      <w:pPr>
        <w:pageBreakBefore w:val="0"/>
        <w:kinsoku/>
        <w:wordWrap/>
        <w:overflowPunct/>
        <w:topLinePunct w:val="0"/>
        <w:bidi w:val="0"/>
        <w:spacing w:line="360" w:lineRule="auto"/>
        <w:ind w:firstLine="420"/>
        <w:outlineLvl w:val="9"/>
        <w:rPr>
          <w:rFonts w:ascii="宋体" w:hAnsi="宋体" w:cs="宋体"/>
          <w:color w:val="auto"/>
          <w:sz w:val="22"/>
          <w:highlight w:val="none"/>
        </w:rPr>
      </w:pPr>
      <w:r>
        <w:rPr>
          <w:rFonts w:hint="eastAsia" w:ascii="Times New Roman" w:hAnsi="Times New Roman" w:cs="宋体"/>
          <w:color w:val="auto"/>
          <w:highlight w:val="none"/>
          <w:lang w:eastAsia="zh-CN"/>
        </w:rPr>
        <w:t>3</w:t>
      </w:r>
      <w:r>
        <w:rPr>
          <w:rFonts w:hint="eastAsia" w:ascii="宋体" w:hAnsi="宋体" w:cs="宋体"/>
          <w:color w:val="auto"/>
          <w:highlight w:val="none"/>
        </w:rPr>
        <w:t>、本次采购要求的其他资格文件以及投标人认为需要声明的其他情况：</w:t>
      </w:r>
      <w:r>
        <w:rPr>
          <w:rFonts w:hint="eastAsia" w:ascii="宋体" w:hAnsi="宋体" w:cs="宋体"/>
          <w:color w:val="auto"/>
          <w:highlight w:val="none"/>
          <w:u w:val="single"/>
        </w:rPr>
        <w:t xml:space="preserve">                                  </w:t>
      </w:r>
    </w:p>
    <w:p>
      <w:pPr>
        <w:pageBreakBefore w:val="0"/>
        <w:kinsoku/>
        <w:wordWrap/>
        <w:overflowPunct/>
        <w:topLinePunct w:val="0"/>
        <w:bidi w:val="0"/>
        <w:spacing w:line="360" w:lineRule="auto"/>
        <w:ind w:firstLine="420"/>
        <w:outlineLvl w:val="9"/>
        <w:rPr>
          <w:rFonts w:ascii="宋体" w:hAnsi="宋体" w:cs="宋体"/>
          <w:color w:val="auto"/>
          <w:highlight w:val="none"/>
        </w:rPr>
      </w:pPr>
      <w:r>
        <w:rPr>
          <w:rFonts w:hint="eastAsia" w:ascii="宋体" w:hAnsi="宋体" w:cs="宋体"/>
          <w:color w:val="auto"/>
          <w:highlight w:val="none"/>
        </w:rPr>
        <w:t>兹证明上述声明是真实的、正确的，并提供了全部能提供的资料和数据，我们同意遵照贵方要求出示有关证明文件，如有虚假，自愿丧失中标资格，一年内退出扬州政府采购市场。</w:t>
      </w:r>
    </w:p>
    <w:p>
      <w:pPr>
        <w:pageBreakBefore w:val="0"/>
        <w:kinsoku/>
        <w:wordWrap/>
        <w:overflowPunct/>
        <w:topLinePunct w:val="0"/>
        <w:bidi w:val="0"/>
        <w:spacing w:line="360" w:lineRule="auto"/>
        <w:ind w:firstLine="420"/>
        <w:outlineLvl w:val="9"/>
        <w:rPr>
          <w:rFonts w:ascii="宋体" w:hAnsi="宋体" w:cs="宋体"/>
          <w:color w:val="auto"/>
          <w:highlight w:val="none"/>
        </w:rPr>
      </w:pPr>
    </w:p>
    <w:p>
      <w:pPr>
        <w:pageBreakBefore w:val="0"/>
        <w:kinsoku/>
        <w:wordWrap/>
        <w:overflowPunct/>
        <w:topLinePunct w:val="0"/>
        <w:bidi w:val="0"/>
        <w:spacing w:line="360" w:lineRule="auto"/>
        <w:ind w:firstLine="420"/>
        <w:outlineLvl w:val="9"/>
        <w:rPr>
          <w:rFonts w:ascii="宋体" w:hAnsi="宋体" w:cs="宋体"/>
          <w:color w:val="auto"/>
          <w:highlight w:val="none"/>
        </w:rPr>
      </w:pPr>
      <w:r>
        <w:rPr>
          <w:rFonts w:hint="eastAsia" w:ascii="宋体" w:hAnsi="宋体" w:cs="宋体"/>
          <w:color w:val="auto"/>
          <w:highlight w:val="none"/>
        </w:rPr>
        <w:t>投标人公章：</w:t>
      </w:r>
      <w:r>
        <w:rPr>
          <w:rFonts w:hint="eastAsia" w:ascii="宋体" w:hAnsi="宋体" w:cs="宋体"/>
          <w:color w:val="auto"/>
          <w:highlight w:val="none"/>
          <w:u w:val="single"/>
        </w:rPr>
        <w:t xml:space="preserve">                         </w:t>
      </w:r>
    </w:p>
    <w:p>
      <w:pPr>
        <w:pageBreakBefore w:val="0"/>
        <w:kinsoku/>
        <w:wordWrap/>
        <w:overflowPunct/>
        <w:topLinePunct w:val="0"/>
        <w:bidi w:val="0"/>
        <w:spacing w:line="360" w:lineRule="auto"/>
        <w:ind w:firstLine="420"/>
        <w:outlineLvl w:val="9"/>
        <w:rPr>
          <w:rFonts w:ascii="宋体" w:hAnsi="宋体" w:cs="宋体"/>
          <w:color w:val="auto"/>
          <w:highlight w:val="none"/>
        </w:rPr>
      </w:pPr>
      <w:r>
        <w:rPr>
          <w:rFonts w:hint="eastAsia" w:ascii="宋体" w:hAnsi="宋体" w:cs="宋体"/>
          <w:color w:val="auto"/>
          <w:highlight w:val="none"/>
        </w:rPr>
        <w:t>法定代表人或授权代表签字：</w:t>
      </w:r>
      <w:r>
        <w:rPr>
          <w:rFonts w:hint="eastAsia" w:ascii="宋体" w:hAnsi="宋体" w:cs="宋体"/>
          <w:color w:val="auto"/>
          <w:highlight w:val="none"/>
          <w:u w:val="single"/>
        </w:rPr>
        <w:t xml:space="preserve">                          </w:t>
      </w:r>
    </w:p>
    <w:p>
      <w:pPr>
        <w:pageBreakBefore w:val="0"/>
        <w:kinsoku/>
        <w:wordWrap/>
        <w:overflowPunct/>
        <w:topLinePunct w:val="0"/>
        <w:bidi w:val="0"/>
        <w:spacing w:line="360" w:lineRule="auto"/>
        <w:ind w:firstLine="420"/>
        <w:outlineLvl w:val="9"/>
        <w:rPr>
          <w:rFonts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 xml:space="preserve">日        </w:t>
      </w:r>
    </w:p>
    <w:p>
      <w:pPr>
        <w:pageBreakBefore w:val="0"/>
        <w:kinsoku/>
        <w:wordWrap/>
        <w:overflowPunct/>
        <w:topLinePunct w:val="0"/>
        <w:bidi w:val="0"/>
        <w:spacing w:line="360" w:lineRule="auto"/>
        <w:ind w:firstLine="422"/>
        <w:outlineLvl w:val="9"/>
        <w:rPr>
          <w:rFonts w:ascii="宋体" w:hAnsi="宋体" w:cs="宋体"/>
          <w:b/>
          <w:bCs/>
          <w:color w:val="auto"/>
          <w:highlight w:val="none"/>
        </w:rPr>
      </w:pPr>
      <w:r>
        <w:rPr>
          <w:rFonts w:hint="eastAsia" w:ascii="宋体" w:hAnsi="宋体" w:cs="宋体"/>
          <w:b/>
          <w:bCs/>
          <w:color w:val="auto"/>
          <w:highlight w:val="none"/>
        </w:rPr>
        <w:t>（注：资格声明为格式文件,请勿修改，否则将导致投标文件无效。）</w:t>
      </w:r>
    </w:p>
    <w:p>
      <w:pPr>
        <w:pageBreakBefore w:val="0"/>
        <w:kinsoku/>
        <w:wordWrap/>
        <w:overflowPunct/>
        <w:topLinePunct w:val="0"/>
        <w:bidi w:val="0"/>
        <w:spacing w:line="360" w:lineRule="auto"/>
        <w:ind w:firstLine="480"/>
        <w:jc w:val="left"/>
        <w:outlineLvl w:val="9"/>
        <w:rPr>
          <w:rFonts w:ascii="宋体" w:hAnsi="宋体" w:cs="宋体"/>
          <w:bCs/>
          <w:color w:val="auto"/>
          <w:sz w:val="24"/>
          <w:highlight w:val="none"/>
        </w:rPr>
      </w:pPr>
    </w:p>
    <w:p>
      <w:pPr>
        <w:pStyle w:val="67"/>
        <w:pageBreakBefore w:val="0"/>
        <w:kinsoku/>
        <w:wordWrap/>
        <w:overflowPunct/>
        <w:topLinePunct w:val="0"/>
        <w:bidi w:val="0"/>
        <w:spacing w:line="360" w:lineRule="auto"/>
        <w:ind w:firstLine="420"/>
        <w:outlineLvl w:val="9"/>
        <w:rPr>
          <w:rFonts w:ascii="宋体" w:hAnsi="宋体" w:cs="宋体"/>
          <w:color w:val="auto"/>
          <w:sz w:val="21"/>
          <w:szCs w:val="21"/>
          <w:highlight w:val="none"/>
        </w:rPr>
      </w:pPr>
    </w:p>
    <w:p>
      <w:pPr>
        <w:pageBreakBefore w:val="0"/>
        <w:kinsoku/>
        <w:wordWrap/>
        <w:overflowPunct/>
        <w:topLinePunct w:val="0"/>
        <w:bidi w:val="0"/>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br w:type="page"/>
      </w:r>
    </w:p>
    <w:p>
      <w:pPr>
        <w:pStyle w:val="67"/>
        <w:pageBreakBefore w:val="0"/>
        <w:kinsoku/>
        <w:wordWrap/>
        <w:overflowPunct/>
        <w:topLinePunct w:val="0"/>
        <w:bidi w:val="0"/>
        <w:spacing w:after="312" w:line="360" w:lineRule="auto"/>
        <w:ind w:firstLine="422"/>
        <w:jc w:val="center"/>
        <w:outlineLvl w:val="9"/>
        <w:rPr>
          <w:rFonts w:ascii="宋体" w:hAnsi="宋体" w:cs="宋体"/>
          <w:b/>
          <w:color w:val="auto"/>
          <w:sz w:val="21"/>
          <w:szCs w:val="21"/>
          <w:highlight w:val="none"/>
        </w:rPr>
      </w:pPr>
      <w:r>
        <w:rPr>
          <w:rFonts w:hint="eastAsia" w:ascii="宋体" w:hAnsi="宋体" w:cs="宋体"/>
          <w:b/>
          <w:color w:val="auto"/>
          <w:sz w:val="21"/>
          <w:szCs w:val="21"/>
          <w:highlight w:val="none"/>
        </w:rPr>
        <w:t>法人授权书</w:t>
      </w:r>
    </w:p>
    <w:p>
      <w:pPr>
        <w:pStyle w:val="67"/>
        <w:pageBreakBefore w:val="0"/>
        <w:kinsoku/>
        <w:wordWrap/>
        <w:overflowPunct/>
        <w:topLinePunct w:val="0"/>
        <w:bidi w:val="0"/>
        <w:spacing w:line="360" w:lineRule="auto"/>
        <w:ind w:firstLine="420"/>
        <w:outlineLvl w:val="9"/>
        <w:rPr>
          <w:rFonts w:ascii="宋体" w:hAnsi="宋体" w:cs="宋体"/>
          <w:color w:val="auto"/>
          <w:sz w:val="21"/>
          <w:szCs w:val="21"/>
          <w:highlight w:val="none"/>
        </w:rPr>
      </w:pPr>
      <w:r>
        <w:rPr>
          <w:rFonts w:hint="eastAsia" w:ascii="宋体" w:hAnsi="宋体" w:cs="宋体"/>
          <w:color w:val="auto"/>
          <w:sz w:val="21"/>
          <w:szCs w:val="21"/>
          <w:highlight w:val="none"/>
        </w:rPr>
        <w:t>本授权书声明：________________（投标人名称）授权________________（被授权人的姓名）为我方就（项目编号）号（项目名称）项目采购活动的合法代理人，以本公司名义全权处理一切与该项目采购有关的事务。</w:t>
      </w:r>
    </w:p>
    <w:p>
      <w:pPr>
        <w:pStyle w:val="67"/>
        <w:pageBreakBefore w:val="0"/>
        <w:kinsoku/>
        <w:wordWrap/>
        <w:overflowPunct/>
        <w:topLinePunct w:val="0"/>
        <w:bidi w:val="0"/>
        <w:spacing w:line="360" w:lineRule="auto"/>
        <w:ind w:firstLine="420"/>
        <w:outlineLvl w:val="9"/>
        <w:rPr>
          <w:rFonts w:ascii="宋体" w:hAnsi="宋体" w:cs="宋体"/>
          <w:color w:val="auto"/>
          <w:sz w:val="21"/>
          <w:szCs w:val="21"/>
          <w:highlight w:val="none"/>
        </w:rPr>
      </w:pPr>
      <w:r>
        <w:rPr>
          <w:rFonts w:hint="eastAsia" w:ascii="宋体" w:hAnsi="宋体" w:cs="宋体"/>
          <w:color w:val="auto"/>
          <w:sz w:val="21"/>
          <w:szCs w:val="21"/>
          <w:highlight w:val="none"/>
        </w:rPr>
        <w:t>本授权书于______年____月____日起生效，特此声明。</w:t>
      </w:r>
    </w:p>
    <w:p>
      <w:pPr>
        <w:pStyle w:val="67"/>
        <w:pageBreakBefore w:val="0"/>
        <w:kinsoku/>
        <w:wordWrap/>
        <w:overflowPunct/>
        <w:topLinePunct w:val="0"/>
        <w:bidi w:val="0"/>
        <w:spacing w:line="360" w:lineRule="auto"/>
        <w:ind w:firstLine="420"/>
        <w:outlineLvl w:val="9"/>
        <w:rPr>
          <w:rFonts w:ascii="宋体" w:hAnsi="宋体" w:cs="宋体"/>
          <w:color w:val="auto"/>
          <w:sz w:val="21"/>
          <w:szCs w:val="21"/>
          <w:highlight w:val="none"/>
        </w:rPr>
      </w:pPr>
      <w:r>
        <w:rPr>
          <w:rFonts w:hint="eastAsia" w:ascii="宋体" w:hAnsi="宋体" w:cs="宋体"/>
          <w:color w:val="auto"/>
          <w:sz w:val="21"/>
          <w:szCs w:val="21"/>
          <w:highlight w:val="none"/>
        </w:rPr>
        <w:t xml:space="preserve">被授权人姓名：_____________________    </w:t>
      </w:r>
    </w:p>
    <w:p>
      <w:pPr>
        <w:pStyle w:val="67"/>
        <w:pageBreakBefore w:val="0"/>
        <w:kinsoku/>
        <w:wordWrap/>
        <w:overflowPunct/>
        <w:topLinePunct w:val="0"/>
        <w:bidi w:val="0"/>
        <w:spacing w:line="360" w:lineRule="auto"/>
        <w:ind w:firstLine="420"/>
        <w:outlineLvl w:val="9"/>
        <w:rPr>
          <w:rFonts w:ascii="宋体" w:hAnsi="宋体" w:cs="宋体"/>
          <w:color w:val="auto"/>
          <w:sz w:val="21"/>
          <w:szCs w:val="21"/>
          <w:highlight w:val="none"/>
          <w:u w:val="single"/>
        </w:rPr>
      </w:pPr>
      <w:r>
        <w:rPr>
          <w:rFonts w:hint="eastAsia" w:ascii="宋体" w:hAnsi="宋体" w:cs="宋体"/>
          <w:color w:val="auto"/>
          <w:sz w:val="21"/>
          <w:szCs w:val="21"/>
          <w:highlight w:val="none"/>
        </w:rPr>
        <w:t>联系电话（手机）：</w:t>
      </w:r>
      <w:r>
        <w:rPr>
          <w:rFonts w:hint="eastAsia" w:ascii="宋体" w:hAnsi="宋体" w:cs="宋体"/>
          <w:color w:val="auto"/>
          <w:sz w:val="21"/>
          <w:szCs w:val="21"/>
          <w:highlight w:val="none"/>
          <w:u w:val="single"/>
        </w:rPr>
        <w:t xml:space="preserve">                             </w:t>
      </w:r>
    </w:p>
    <w:p>
      <w:pPr>
        <w:pStyle w:val="67"/>
        <w:pageBreakBefore w:val="0"/>
        <w:kinsoku/>
        <w:wordWrap/>
        <w:overflowPunct/>
        <w:topLinePunct w:val="0"/>
        <w:bidi w:val="0"/>
        <w:spacing w:line="360" w:lineRule="auto"/>
        <w:ind w:firstLine="420"/>
        <w:outlineLvl w:val="9"/>
        <w:rPr>
          <w:rFonts w:ascii="宋体" w:hAnsi="宋体" w:cs="宋体"/>
          <w:color w:val="auto"/>
          <w:sz w:val="21"/>
          <w:szCs w:val="21"/>
          <w:highlight w:val="none"/>
        </w:rPr>
      </w:pPr>
      <w:r>
        <w:rPr>
          <w:rFonts w:hint="eastAsia" w:ascii="宋体" w:hAnsi="宋体" w:cs="宋体"/>
          <w:color w:val="auto"/>
          <w:sz w:val="21"/>
          <w:szCs w:val="21"/>
          <w:highlight w:val="none"/>
        </w:rPr>
        <w:t xml:space="preserve">    单位名称：____________________________________</w:t>
      </w:r>
    </w:p>
    <w:p>
      <w:pPr>
        <w:pStyle w:val="67"/>
        <w:pageBreakBefore w:val="0"/>
        <w:kinsoku/>
        <w:wordWrap/>
        <w:overflowPunct/>
        <w:topLinePunct w:val="0"/>
        <w:bidi w:val="0"/>
        <w:spacing w:line="360" w:lineRule="auto"/>
        <w:ind w:firstLine="420"/>
        <w:outlineLvl w:val="9"/>
        <w:rPr>
          <w:rFonts w:ascii="宋体" w:hAnsi="宋体" w:cs="宋体"/>
          <w:color w:val="auto"/>
          <w:sz w:val="21"/>
          <w:szCs w:val="21"/>
          <w:highlight w:val="none"/>
          <w:u w:val="single"/>
        </w:rPr>
      </w:pPr>
      <w:r>
        <w:rPr>
          <w:rFonts w:hint="eastAsia" w:ascii="宋体" w:hAnsi="宋体" w:cs="宋体"/>
          <w:color w:val="auto"/>
          <w:sz w:val="21"/>
          <w:szCs w:val="21"/>
          <w:highlight w:val="none"/>
        </w:rPr>
        <w:t>单位地址：</w:t>
      </w:r>
      <w:r>
        <w:rPr>
          <w:rFonts w:hint="eastAsia" w:ascii="宋体" w:hAnsi="宋体" w:cs="宋体"/>
          <w:color w:val="auto"/>
          <w:sz w:val="21"/>
          <w:szCs w:val="21"/>
          <w:highlight w:val="none"/>
          <w:u w:val="single"/>
        </w:rPr>
        <w:t xml:space="preserve">                                         </w:t>
      </w:r>
    </w:p>
    <w:p>
      <w:pPr>
        <w:pStyle w:val="67"/>
        <w:pageBreakBefore w:val="0"/>
        <w:kinsoku/>
        <w:wordWrap/>
        <w:overflowPunct/>
        <w:topLinePunct w:val="0"/>
        <w:bidi w:val="0"/>
        <w:spacing w:line="360" w:lineRule="auto"/>
        <w:ind w:firstLine="420"/>
        <w:outlineLvl w:val="9"/>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pPr>
        <w:pageBreakBefore w:val="0"/>
        <w:kinsoku/>
        <w:wordWrap/>
        <w:overflowPunct/>
        <w:topLinePunct w:val="0"/>
        <w:bidi w:val="0"/>
        <w:spacing w:line="360" w:lineRule="auto"/>
        <w:outlineLvl w:val="9"/>
        <w:rPr>
          <w:rFonts w:ascii="宋体" w:hAnsi="宋体" w:cs="宋体"/>
          <w:bCs/>
          <w:color w:val="auto"/>
          <w:highlight w:val="none"/>
        </w:rPr>
      </w:pPr>
    </w:p>
    <w:p>
      <w:pPr>
        <w:pageBreakBefore w:val="0"/>
        <w:kinsoku/>
        <w:wordWrap/>
        <w:overflowPunct/>
        <w:topLinePunct w:val="0"/>
        <w:bidi w:val="0"/>
        <w:spacing w:line="360" w:lineRule="auto"/>
        <w:ind w:firstLine="420"/>
        <w:outlineLvl w:val="9"/>
        <w:rPr>
          <w:rFonts w:ascii="宋体" w:hAnsi="宋体" w:cs="宋体"/>
          <w:bCs/>
          <w:color w:val="auto"/>
          <w:highlight w:val="none"/>
        </w:rPr>
      </w:pPr>
      <w:r>
        <w:rPr>
          <w:rFonts w:hint="eastAsia" w:ascii="宋体" w:hAnsi="宋体" w:cs="宋体"/>
          <w:bCs/>
          <w:color w:val="auto"/>
          <w:highlight w:val="none"/>
        </w:rPr>
        <w:t>被授权人身份证复印件</w:t>
      </w:r>
    </w:p>
    <w:p>
      <w:pPr>
        <w:pStyle w:val="2"/>
        <w:pageBreakBefore w:val="0"/>
        <w:kinsoku/>
        <w:wordWrap/>
        <w:overflowPunct/>
        <w:topLinePunct w:val="0"/>
        <w:bidi w:val="0"/>
        <w:spacing w:line="360" w:lineRule="auto"/>
        <w:outlineLvl w:val="9"/>
        <w:rPr>
          <w:rFonts w:ascii="宋体" w:hAnsi="宋体" w:eastAsia="宋体" w:cs="宋体"/>
          <w:bCs/>
          <w:color w:val="auto"/>
          <w:highlight w:val="none"/>
        </w:rPr>
      </w:pPr>
    </w:p>
    <w:p>
      <w:pPr>
        <w:pageBreakBefore w:val="0"/>
        <w:kinsoku/>
        <w:wordWrap/>
        <w:overflowPunct/>
        <w:topLinePunct w:val="0"/>
        <w:bidi w:val="0"/>
        <w:spacing w:line="360" w:lineRule="auto"/>
        <w:outlineLvl w:val="9"/>
        <w:rPr>
          <w:color w:val="auto"/>
          <w:highlight w:val="none"/>
        </w:rPr>
      </w:pPr>
    </w:p>
    <w:p>
      <w:pPr>
        <w:pageBreakBefore w:val="0"/>
        <w:kinsoku/>
        <w:wordWrap/>
        <w:overflowPunct/>
        <w:topLinePunct w:val="0"/>
        <w:bidi w:val="0"/>
        <w:spacing w:line="360" w:lineRule="auto"/>
        <w:outlineLvl w:val="9"/>
        <w:rPr>
          <w:color w:val="auto"/>
          <w:highlight w:val="none"/>
        </w:rPr>
      </w:pPr>
    </w:p>
    <w:p>
      <w:pPr>
        <w:pageBreakBefore w:val="0"/>
        <w:kinsoku/>
        <w:wordWrap/>
        <w:overflowPunct/>
        <w:topLinePunct w:val="0"/>
        <w:bidi w:val="0"/>
        <w:spacing w:line="360" w:lineRule="auto"/>
        <w:outlineLvl w:val="9"/>
        <w:rPr>
          <w:color w:val="auto"/>
          <w:highlight w:val="none"/>
        </w:rPr>
      </w:pPr>
    </w:p>
    <w:p>
      <w:pPr>
        <w:pageBreakBefore w:val="0"/>
        <w:kinsoku/>
        <w:wordWrap/>
        <w:overflowPunct/>
        <w:topLinePunct w:val="0"/>
        <w:bidi w:val="0"/>
        <w:spacing w:line="360" w:lineRule="auto"/>
        <w:outlineLvl w:val="9"/>
        <w:rPr>
          <w:color w:val="auto"/>
          <w:highlight w:val="none"/>
        </w:rPr>
      </w:pPr>
    </w:p>
    <w:p>
      <w:pPr>
        <w:pageBreakBefore w:val="0"/>
        <w:kinsoku/>
        <w:wordWrap/>
        <w:overflowPunct/>
        <w:topLinePunct w:val="0"/>
        <w:bidi w:val="0"/>
        <w:spacing w:line="360" w:lineRule="auto"/>
        <w:outlineLvl w:val="9"/>
        <w:rPr>
          <w:color w:val="auto"/>
          <w:highlight w:val="none"/>
        </w:rPr>
      </w:pPr>
    </w:p>
    <w:p>
      <w:pPr>
        <w:pageBreakBefore w:val="0"/>
        <w:kinsoku/>
        <w:wordWrap/>
        <w:overflowPunct/>
        <w:topLinePunct w:val="0"/>
        <w:bidi w:val="0"/>
        <w:spacing w:line="360" w:lineRule="auto"/>
        <w:outlineLvl w:val="9"/>
        <w:rPr>
          <w:color w:val="auto"/>
          <w:highlight w:val="none"/>
        </w:rPr>
      </w:pPr>
    </w:p>
    <w:p>
      <w:pPr>
        <w:pageBreakBefore w:val="0"/>
        <w:kinsoku/>
        <w:wordWrap/>
        <w:overflowPunct/>
        <w:topLinePunct w:val="0"/>
        <w:bidi w:val="0"/>
        <w:spacing w:line="360" w:lineRule="auto"/>
        <w:outlineLvl w:val="9"/>
        <w:rPr>
          <w:color w:val="auto"/>
          <w:highlight w:val="none"/>
        </w:rPr>
      </w:pPr>
    </w:p>
    <w:p>
      <w:pPr>
        <w:pageBreakBefore w:val="0"/>
        <w:kinsoku/>
        <w:wordWrap/>
        <w:overflowPunct/>
        <w:topLinePunct w:val="0"/>
        <w:bidi w:val="0"/>
        <w:spacing w:line="360" w:lineRule="auto"/>
        <w:outlineLvl w:val="9"/>
        <w:rPr>
          <w:color w:val="auto"/>
          <w:highlight w:val="none"/>
        </w:rPr>
      </w:pPr>
    </w:p>
    <w:p>
      <w:pPr>
        <w:pageBreakBefore w:val="0"/>
        <w:kinsoku/>
        <w:wordWrap/>
        <w:overflowPunct/>
        <w:topLinePunct w:val="0"/>
        <w:bidi w:val="0"/>
        <w:spacing w:line="360" w:lineRule="auto"/>
        <w:outlineLvl w:val="9"/>
        <w:rPr>
          <w:color w:val="auto"/>
          <w:highlight w:val="none"/>
        </w:rPr>
      </w:pPr>
    </w:p>
    <w:p>
      <w:pPr>
        <w:pageBreakBefore w:val="0"/>
        <w:kinsoku/>
        <w:wordWrap/>
        <w:overflowPunct/>
        <w:topLinePunct w:val="0"/>
        <w:bidi w:val="0"/>
        <w:spacing w:line="360" w:lineRule="auto"/>
        <w:outlineLvl w:val="9"/>
        <w:rPr>
          <w:color w:val="auto"/>
          <w:highlight w:val="none"/>
        </w:rPr>
      </w:pPr>
    </w:p>
    <w:p>
      <w:pPr>
        <w:pageBreakBefore w:val="0"/>
        <w:kinsoku/>
        <w:wordWrap/>
        <w:overflowPunct/>
        <w:topLinePunct w:val="0"/>
        <w:bidi w:val="0"/>
        <w:spacing w:line="360" w:lineRule="auto"/>
        <w:outlineLvl w:val="9"/>
        <w:rPr>
          <w:color w:val="auto"/>
          <w:highlight w:val="none"/>
        </w:rPr>
      </w:pPr>
    </w:p>
    <w:p>
      <w:pPr>
        <w:pageBreakBefore w:val="0"/>
        <w:kinsoku/>
        <w:wordWrap/>
        <w:overflowPunct/>
        <w:topLinePunct w:val="0"/>
        <w:bidi w:val="0"/>
        <w:spacing w:line="360" w:lineRule="auto"/>
        <w:outlineLvl w:val="9"/>
        <w:rPr>
          <w:color w:val="auto"/>
          <w:highlight w:val="none"/>
        </w:rPr>
      </w:pPr>
    </w:p>
    <w:p>
      <w:pPr>
        <w:pageBreakBefore w:val="0"/>
        <w:kinsoku/>
        <w:wordWrap/>
        <w:overflowPunct/>
        <w:topLinePunct w:val="0"/>
        <w:bidi w:val="0"/>
        <w:spacing w:line="360" w:lineRule="auto"/>
        <w:outlineLvl w:val="9"/>
        <w:rPr>
          <w:color w:val="auto"/>
          <w:highlight w:val="none"/>
        </w:rPr>
      </w:pPr>
    </w:p>
    <w:p>
      <w:pPr>
        <w:pageBreakBefore w:val="0"/>
        <w:kinsoku/>
        <w:wordWrap/>
        <w:overflowPunct/>
        <w:topLinePunct w:val="0"/>
        <w:bidi w:val="0"/>
        <w:spacing w:line="360" w:lineRule="auto"/>
        <w:outlineLvl w:val="9"/>
        <w:rPr>
          <w:color w:val="auto"/>
          <w:highlight w:val="none"/>
        </w:rPr>
      </w:pPr>
    </w:p>
    <w:p>
      <w:pPr>
        <w:pageBreakBefore w:val="0"/>
        <w:kinsoku/>
        <w:wordWrap/>
        <w:overflowPunct/>
        <w:topLinePunct w:val="0"/>
        <w:bidi w:val="0"/>
        <w:spacing w:line="360" w:lineRule="auto"/>
        <w:outlineLvl w:val="9"/>
        <w:rPr>
          <w:color w:val="auto"/>
          <w:highlight w:val="none"/>
        </w:rPr>
      </w:pPr>
    </w:p>
    <w:p>
      <w:pPr>
        <w:pageBreakBefore w:val="0"/>
        <w:kinsoku/>
        <w:wordWrap/>
        <w:overflowPunct/>
        <w:topLinePunct w:val="0"/>
        <w:bidi w:val="0"/>
        <w:spacing w:line="360" w:lineRule="auto"/>
        <w:outlineLvl w:val="9"/>
        <w:rPr>
          <w:color w:val="auto"/>
          <w:highlight w:val="none"/>
        </w:rPr>
      </w:pPr>
    </w:p>
    <w:p>
      <w:pPr>
        <w:pageBreakBefore w:val="0"/>
        <w:kinsoku/>
        <w:wordWrap/>
        <w:overflowPunct/>
        <w:topLinePunct w:val="0"/>
        <w:bidi w:val="0"/>
        <w:spacing w:line="360" w:lineRule="auto"/>
        <w:outlineLvl w:val="9"/>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pPr>
        <w:pageBreakBefore w:val="0"/>
        <w:kinsoku/>
        <w:wordWrap/>
        <w:overflowPunct/>
        <w:topLinePunct w:val="0"/>
        <w:bidi w:val="0"/>
        <w:spacing w:line="360" w:lineRule="auto"/>
        <w:jc w:val="center"/>
        <w:outlineLvl w:val="9"/>
        <w:rPr>
          <w:rFonts w:ascii="宋体" w:hAnsi="宋体" w:cs="宋体"/>
          <w:b/>
          <w:bCs/>
          <w:color w:val="auto"/>
          <w:highlight w:val="none"/>
        </w:rPr>
      </w:pPr>
      <w:r>
        <w:rPr>
          <w:rFonts w:hint="eastAsia" w:ascii="宋体" w:hAnsi="宋体" w:cs="宋体"/>
          <w:b/>
          <w:bCs/>
          <w:color w:val="auto"/>
          <w:highlight w:val="none"/>
        </w:rPr>
        <w:t xml:space="preserve">参加本次政府采购活动前 </w:t>
      </w:r>
      <w:r>
        <w:rPr>
          <w:rFonts w:hint="eastAsia" w:ascii="Times New Roman" w:hAnsi="Times New Roman" w:cs="宋体"/>
          <w:b/>
          <w:bCs/>
          <w:color w:val="auto"/>
          <w:highlight w:val="none"/>
          <w:lang w:eastAsia="zh-CN"/>
        </w:rPr>
        <w:t>3</w:t>
      </w:r>
      <w:r>
        <w:rPr>
          <w:rFonts w:hint="eastAsia" w:ascii="宋体" w:hAnsi="宋体" w:cs="宋体"/>
          <w:b/>
          <w:bCs/>
          <w:color w:val="auto"/>
          <w:highlight w:val="none"/>
        </w:rPr>
        <w:t xml:space="preserve"> 年内在经营活动中没有重大违法记录的书面声明</w:t>
      </w:r>
    </w:p>
    <w:p>
      <w:pPr>
        <w:pageBreakBefore w:val="0"/>
        <w:kinsoku/>
        <w:wordWrap/>
        <w:overflowPunct/>
        <w:topLinePunct w:val="0"/>
        <w:bidi w:val="0"/>
        <w:spacing w:line="360" w:lineRule="auto"/>
        <w:outlineLvl w:val="9"/>
        <w:rPr>
          <w:rFonts w:ascii="宋体" w:hAnsi="宋体" w:cs="宋体"/>
          <w:color w:val="auto"/>
          <w:highlight w:val="none"/>
        </w:rPr>
      </w:pPr>
    </w:p>
    <w:p>
      <w:pPr>
        <w:pageBreakBefore w:val="0"/>
        <w:kinsoku/>
        <w:wordWrap/>
        <w:overflowPunct/>
        <w:topLinePunct w:val="0"/>
        <w:bidi w:val="0"/>
        <w:spacing w:after="312" w:line="360" w:lineRule="auto"/>
        <w:jc w:val="center"/>
        <w:outlineLvl w:val="9"/>
        <w:rPr>
          <w:rFonts w:ascii="宋体" w:hAnsi="宋体" w:cs="宋体"/>
          <w:b/>
          <w:bCs/>
          <w:color w:val="auto"/>
          <w:highlight w:val="none"/>
        </w:rPr>
      </w:pPr>
      <w:r>
        <w:rPr>
          <w:rFonts w:hint="eastAsia" w:ascii="宋体" w:hAnsi="宋体" w:cs="宋体"/>
          <w:b/>
          <w:bCs/>
          <w:color w:val="auto"/>
          <w:highlight w:val="none"/>
        </w:rPr>
        <w:t>声  明</w:t>
      </w:r>
    </w:p>
    <w:p>
      <w:pPr>
        <w:pageBreakBefore w:val="0"/>
        <w:kinsoku/>
        <w:wordWrap/>
        <w:overflowPunct/>
        <w:topLinePunct w:val="0"/>
        <w:bidi w:val="0"/>
        <w:spacing w:line="360" w:lineRule="auto"/>
        <w:outlineLvl w:val="9"/>
        <w:rPr>
          <w:rFonts w:ascii="宋体" w:hAnsi="宋体" w:cs="宋体"/>
          <w:bCs/>
          <w:color w:val="auto"/>
          <w:highlight w:val="none"/>
        </w:rPr>
      </w:pPr>
      <w:r>
        <w:rPr>
          <w:rFonts w:hint="eastAsia" w:ascii="宋体" w:hAnsi="宋体" w:cs="宋体"/>
          <w:b/>
          <w:bCs/>
          <w:color w:val="auto"/>
          <w:highlight w:val="none"/>
        </w:rPr>
        <w:t xml:space="preserve">    </w:t>
      </w:r>
      <w:r>
        <w:rPr>
          <w:rFonts w:hint="eastAsia" w:ascii="宋体" w:hAnsi="宋体" w:cs="宋体"/>
          <w:bCs/>
          <w:color w:val="auto"/>
          <w:highlight w:val="none"/>
        </w:rPr>
        <w:t xml:space="preserve">我公司郑重声明：参加本次政府采购活动前 </w:t>
      </w:r>
      <w:r>
        <w:rPr>
          <w:rFonts w:hint="eastAsia" w:ascii="Times New Roman" w:hAnsi="Times New Roman" w:cs="宋体"/>
          <w:bCs/>
          <w:color w:val="auto"/>
          <w:highlight w:val="none"/>
          <w:lang w:eastAsia="zh-CN"/>
        </w:rPr>
        <w:t>3</w:t>
      </w:r>
      <w:r>
        <w:rPr>
          <w:rFonts w:hint="eastAsia" w:ascii="宋体" w:hAnsi="宋体" w:cs="宋体"/>
          <w:bCs/>
          <w:color w:val="auto"/>
          <w:highlight w:val="none"/>
        </w:rPr>
        <w:t xml:space="preserve"> 年内，我公司在经营活动中没有因违法经营受到刑事处罚或者责令停产停业、吊销许可证或者执照、较大数额罚款等行政处罚。</w:t>
      </w:r>
    </w:p>
    <w:p>
      <w:pPr>
        <w:pageBreakBefore w:val="0"/>
        <w:kinsoku/>
        <w:wordWrap/>
        <w:overflowPunct/>
        <w:topLinePunct w:val="0"/>
        <w:bidi w:val="0"/>
        <w:spacing w:line="360" w:lineRule="auto"/>
        <w:outlineLvl w:val="9"/>
        <w:rPr>
          <w:rFonts w:ascii="宋体" w:hAnsi="宋体" w:cs="宋体"/>
          <w:bCs/>
          <w:color w:val="auto"/>
          <w:highlight w:val="none"/>
        </w:rPr>
      </w:pPr>
      <w:r>
        <w:rPr>
          <w:rFonts w:hint="eastAsia" w:ascii="宋体" w:hAnsi="宋体" w:cs="宋体"/>
          <w:bCs/>
          <w:color w:val="auto"/>
          <w:highlight w:val="none"/>
        </w:rPr>
        <w:t xml:space="preserve">                               投标人名称（公章）：</w:t>
      </w:r>
    </w:p>
    <w:p>
      <w:pPr>
        <w:pageBreakBefore w:val="0"/>
        <w:kinsoku/>
        <w:wordWrap/>
        <w:overflowPunct/>
        <w:topLinePunct w:val="0"/>
        <w:bidi w:val="0"/>
        <w:spacing w:line="360" w:lineRule="auto"/>
        <w:outlineLvl w:val="9"/>
        <w:rPr>
          <w:rFonts w:ascii="宋体" w:hAnsi="宋体" w:cs="宋体"/>
          <w:bCs/>
          <w:color w:val="auto"/>
          <w:highlight w:val="none"/>
        </w:rPr>
      </w:pPr>
      <w:r>
        <w:rPr>
          <w:rFonts w:hint="eastAsia" w:ascii="宋体" w:hAnsi="宋体" w:cs="宋体"/>
          <w:bCs/>
          <w:color w:val="auto"/>
          <w:highlight w:val="none"/>
        </w:rPr>
        <w:t xml:space="preserve">                               法定代表人签章：</w:t>
      </w:r>
      <w:r>
        <w:rPr>
          <w:rFonts w:hint="eastAsia" w:ascii="宋体" w:hAnsi="宋体" w:cs="宋体"/>
          <w:bCs/>
          <w:color w:val="auto"/>
          <w:highlight w:val="none"/>
          <w:u w:val="single"/>
        </w:rPr>
        <w:t>_______________________</w:t>
      </w:r>
    </w:p>
    <w:p>
      <w:pPr>
        <w:pageBreakBefore w:val="0"/>
        <w:kinsoku/>
        <w:wordWrap/>
        <w:overflowPunct/>
        <w:topLinePunct w:val="0"/>
        <w:bidi w:val="0"/>
        <w:spacing w:line="360" w:lineRule="auto"/>
        <w:outlineLvl w:val="9"/>
        <w:rPr>
          <w:rFonts w:ascii="宋体" w:hAnsi="宋体" w:cs="宋体"/>
          <w:bCs/>
          <w:color w:val="auto"/>
          <w:highlight w:val="none"/>
        </w:rPr>
      </w:pPr>
      <w:r>
        <w:rPr>
          <w:rFonts w:hint="eastAsia" w:ascii="宋体" w:hAnsi="宋体" w:cs="宋体"/>
          <w:bCs/>
          <w:color w:val="auto"/>
          <w:highlight w:val="none"/>
        </w:rPr>
        <w:t xml:space="preserve">                               日期：</w:t>
      </w:r>
      <w:r>
        <w:rPr>
          <w:rFonts w:hint="eastAsia" w:ascii="宋体" w:hAnsi="宋体" w:cs="宋体"/>
          <w:bCs/>
          <w:color w:val="auto"/>
          <w:highlight w:val="none"/>
          <w:u w:val="single"/>
        </w:rPr>
        <w:t>______</w:t>
      </w:r>
      <w:r>
        <w:rPr>
          <w:rFonts w:hint="eastAsia" w:ascii="宋体" w:hAnsi="宋体" w:cs="宋体"/>
          <w:bCs/>
          <w:color w:val="auto"/>
          <w:highlight w:val="none"/>
        </w:rPr>
        <w:t>年</w:t>
      </w:r>
      <w:r>
        <w:rPr>
          <w:rFonts w:hint="eastAsia" w:ascii="宋体" w:hAnsi="宋体" w:cs="宋体"/>
          <w:bCs/>
          <w:color w:val="auto"/>
          <w:highlight w:val="none"/>
          <w:u w:val="single"/>
        </w:rPr>
        <w:t xml:space="preserve">    </w:t>
      </w:r>
      <w:r>
        <w:rPr>
          <w:rFonts w:hint="eastAsia" w:ascii="宋体" w:hAnsi="宋体" w:cs="宋体"/>
          <w:bCs/>
          <w:color w:val="auto"/>
          <w:highlight w:val="none"/>
        </w:rPr>
        <w:t>月</w:t>
      </w:r>
      <w:r>
        <w:rPr>
          <w:rFonts w:hint="eastAsia" w:ascii="宋体" w:hAnsi="宋体" w:cs="宋体"/>
          <w:bCs/>
          <w:color w:val="auto"/>
          <w:highlight w:val="none"/>
          <w:u w:val="single"/>
        </w:rPr>
        <w:t xml:space="preserve">    </w:t>
      </w:r>
      <w:r>
        <w:rPr>
          <w:rFonts w:hint="eastAsia" w:ascii="宋体" w:hAnsi="宋体" w:cs="宋体"/>
          <w:bCs/>
          <w:color w:val="auto"/>
          <w:highlight w:val="none"/>
        </w:rPr>
        <w:t>日</w:t>
      </w:r>
    </w:p>
    <w:p>
      <w:pPr>
        <w:pageBreakBefore w:val="0"/>
        <w:kinsoku/>
        <w:wordWrap/>
        <w:overflowPunct/>
        <w:topLinePunct w:val="0"/>
        <w:bidi w:val="0"/>
        <w:spacing w:line="360" w:lineRule="auto"/>
        <w:outlineLvl w:val="9"/>
        <w:rPr>
          <w:color w:val="auto"/>
          <w:highlight w:val="none"/>
        </w:rPr>
      </w:pPr>
    </w:p>
    <w:p>
      <w:pPr>
        <w:pStyle w:val="6"/>
        <w:pageBreakBefore w:val="0"/>
        <w:kinsoku/>
        <w:wordWrap/>
        <w:overflowPunct/>
        <w:topLinePunct w:val="0"/>
        <w:bidi w:val="0"/>
        <w:spacing w:line="360" w:lineRule="auto"/>
        <w:outlineLvl w:val="9"/>
        <w:rPr>
          <w:rFonts w:eastAsia="宋体"/>
          <w:color w:val="auto"/>
          <w:highlight w:val="none"/>
        </w:rPr>
      </w:pPr>
    </w:p>
    <w:p>
      <w:pPr>
        <w:pageBreakBefore w:val="0"/>
        <w:kinsoku/>
        <w:wordWrap/>
        <w:overflowPunct/>
        <w:topLinePunct w:val="0"/>
        <w:bidi w:val="0"/>
        <w:spacing w:line="360" w:lineRule="auto"/>
        <w:outlineLvl w:val="9"/>
        <w:rPr>
          <w:color w:val="auto"/>
          <w:highlight w:val="none"/>
        </w:rPr>
      </w:pPr>
    </w:p>
    <w:p>
      <w:pPr>
        <w:pStyle w:val="17"/>
        <w:pageBreakBefore w:val="0"/>
        <w:kinsoku/>
        <w:wordWrap/>
        <w:overflowPunct/>
        <w:topLinePunct w:val="0"/>
        <w:bidi w:val="0"/>
        <w:spacing w:line="360" w:lineRule="auto"/>
        <w:outlineLvl w:val="9"/>
        <w:rPr>
          <w:color w:val="auto"/>
          <w:highlight w:val="none"/>
        </w:rPr>
      </w:pPr>
    </w:p>
    <w:p>
      <w:pPr>
        <w:pStyle w:val="36"/>
        <w:pageBreakBefore w:val="0"/>
        <w:kinsoku/>
        <w:wordWrap/>
        <w:overflowPunct/>
        <w:topLinePunct w:val="0"/>
        <w:bidi w:val="0"/>
        <w:spacing w:line="360" w:lineRule="auto"/>
        <w:outlineLvl w:val="9"/>
        <w:rPr>
          <w:color w:val="auto"/>
          <w:highlight w:val="none"/>
        </w:rPr>
      </w:pPr>
    </w:p>
    <w:p>
      <w:pPr>
        <w:pStyle w:val="26"/>
        <w:pageBreakBefore w:val="0"/>
        <w:kinsoku/>
        <w:wordWrap/>
        <w:overflowPunct/>
        <w:topLinePunct w:val="0"/>
        <w:bidi w:val="0"/>
        <w:spacing w:line="360" w:lineRule="auto"/>
        <w:outlineLvl w:val="9"/>
        <w:rPr>
          <w:color w:val="auto"/>
          <w:highlight w:val="none"/>
        </w:rPr>
      </w:pPr>
    </w:p>
    <w:p>
      <w:pPr>
        <w:pStyle w:val="27"/>
        <w:pageBreakBefore w:val="0"/>
        <w:kinsoku/>
        <w:wordWrap/>
        <w:overflowPunct/>
        <w:topLinePunct w:val="0"/>
        <w:bidi w:val="0"/>
        <w:spacing w:line="360" w:lineRule="auto"/>
        <w:outlineLvl w:val="9"/>
        <w:rPr>
          <w:color w:val="auto"/>
          <w:highlight w:val="none"/>
        </w:rPr>
      </w:pPr>
    </w:p>
    <w:p>
      <w:pPr>
        <w:pStyle w:val="28"/>
        <w:pageBreakBefore w:val="0"/>
        <w:kinsoku/>
        <w:wordWrap/>
        <w:overflowPunct/>
        <w:topLinePunct w:val="0"/>
        <w:bidi w:val="0"/>
        <w:spacing w:line="360" w:lineRule="auto"/>
        <w:outlineLvl w:val="9"/>
        <w:rPr>
          <w:rFonts w:hint="default"/>
          <w:color w:val="auto"/>
          <w:highlight w:val="none"/>
        </w:rPr>
      </w:pPr>
    </w:p>
    <w:p>
      <w:pPr>
        <w:pStyle w:val="29"/>
        <w:pageBreakBefore w:val="0"/>
        <w:kinsoku/>
        <w:wordWrap/>
        <w:overflowPunct/>
        <w:topLinePunct w:val="0"/>
        <w:bidi w:val="0"/>
        <w:spacing w:line="360" w:lineRule="auto"/>
        <w:outlineLvl w:val="9"/>
        <w:rPr>
          <w:rFonts w:hint="default"/>
          <w:color w:val="auto"/>
          <w:highlight w:val="none"/>
        </w:rPr>
      </w:pPr>
    </w:p>
    <w:p>
      <w:pPr>
        <w:pStyle w:val="29"/>
        <w:pageBreakBefore w:val="0"/>
        <w:kinsoku/>
        <w:wordWrap/>
        <w:overflowPunct/>
        <w:topLinePunct w:val="0"/>
        <w:bidi w:val="0"/>
        <w:spacing w:line="360" w:lineRule="auto"/>
        <w:outlineLvl w:val="9"/>
        <w:rPr>
          <w:rFonts w:hint="default"/>
          <w:color w:val="auto"/>
          <w:highlight w:val="none"/>
        </w:rPr>
      </w:pPr>
    </w:p>
    <w:p>
      <w:pPr>
        <w:pStyle w:val="29"/>
        <w:pageBreakBefore w:val="0"/>
        <w:kinsoku/>
        <w:wordWrap/>
        <w:overflowPunct/>
        <w:topLinePunct w:val="0"/>
        <w:bidi w:val="0"/>
        <w:spacing w:line="360" w:lineRule="auto"/>
        <w:outlineLvl w:val="9"/>
        <w:rPr>
          <w:rFonts w:hint="default"/>
          <w:color w:val="auto"/>
          <w:highlight w:val="none"/>
        </w:rPr>
      </w:pPr>
    </w:p>
    <w:p>
      <w:pPr>
        <w:pStyle w:val="29"/>
        <w:pageBreakBefore w:val="0"/>
        <w:kinsoku/>
        <w:wordWrap/>
        <w:overflowPunct/>
        <w:topLinePunct w:val="0"/>
        <w:bidi w:val="0"/>
        <w:spacing w:line="360" w:lineRule="auto"/>
        <w:outlineLvl w:val="9"/>
        <w:rPr>
          <w:rFonts w:hint="default"/>
          <w:color w:val="auto"/>
          <w:highlight w:val="none"/>
        </w:rPr>
      </w:pPr>
    </w:p>
    <w:p>
      <w:pPr>
        <w:pStyle w:val="29"/>
        <w:pageBreakBefore w:val="0"/>
        <w:kinsoku/>
        <w:wordWrap/>
        <w:overflowPunct/>
        <w:topLinePunct w:val="0"/>
        <w:bidi w:val="0"/>
        <w:spacing w:line="360" w:lineRule="auto"/>
        <w:outlineLvl w:val="9"/>
        <w:rPr>
          <w:rFonts w:hint="default"/>
          <w:color w:val="auto"/>
          <w:highlight w:val="none"/>
        </w:rPr>
      </w:pPr>
    </w:p>
    <w:p>
      <w:pPr>
        <w:pStyle w:val="29"/>
        <w:pageBreakBefore w:val="0"/>
        <w:kinsoku/>
        <w:wordWrap/>
        <w:overflowPunct/>
        <w:topLinePunct w:val="0"/>
        <w:bidi w:val="0"/>
        <w:spacing w:line="360" w:lineRule="auto"/>
        <w:outlineLvl w:val="9"/>
        <w:rPr>
          <w:rFonts w:hint="default"/>
          <w:color w:val="auto"/>
          <w:highlight w:val="none"/>
        </w:rPr>
      </w:pPr>
    </w:p>
    <w:p>
      <w:pPr>
        <w:pStyle w:val="29"/>
        <w:pageBreakBefore w:val="0"/>
        <w:kinsoku/>
        <w:wordWrap/>
        <w:overflowPunct/>
        <w:topLinePunct w:val="0"/>
        <w:bidi w:val="0"/>
        <w:spacing w:line="360" w:lineRule="auto"/>
        <w:outlineLvl w:val="9"/>
        <w:rPr>
          <w:rFonts w:hint="default"/>
          <w:color w:val="auto"/>
          <w:highlight w:val="none"/>
        </w:rPr>
      </w:pPr>
    </w:p>
    <w:p>
      <w:pPr>
        <w:pStyle w:val="29"/>
        <w:pageBreakBefore w:val="0"/>
        <w:kinsoku/>
        <w:wordWrap/>
        <w:overflowPunct/>
        <w:topLinePunct w:val="0"/>
        <w:bidi w:val="0"/>
        <w:spacing w:line="360" w:lineRule="auto"/>
        <w:outlineLvl w:val="9"/>
        <w:rPr>
          <w:rFonts w:hint="default"/>
          <w:color w:val="auto"/>
          <w:highlight w:val="none"/>
        </w:rPr>
      </w:pPr>
    </w:p>
    <w:p>
      <w:pPr>
        <w:pStyle w:val="29"/>
        <w:pageBreakBefore w:val="0"/>
        <w:kinsoku/>
        <w:wordWrap/>
        <w:overflowPunct/>
        <w:topLinePunct w:val="0"/>
        <w:bidi w:val="0"/>
        <w:spacing w:line="360" w:lineRule="auto"/>
        <w:outlineLvl w:val="9"/>
        <w:rPr>
          <w:rFonts w:hint="default"/>
          <w:color w:val="auto"/>
          <w:highlight w:val="none"/>
        </w:rPr>
      </w:pPr>
    </w:p>
    <w:p>
      <w:pPr>
        <w:pStyle w:val="29"/>
        <w:pageBreakBefore w:val="0"/>
        <w:kinsoku/>
        <w:wordWrap/>
        <w:overflowPunct/>
        <w:topLinePunct w:val="0"/>
        <w:bidi w:val="0"/>
        <w:spacing w:line="360" w:lineRule="auto"/>
        <w:outlineLvl w:val="9"/>
        <w:rPr>
          <w:rFonts w:hint="default"/>
          <w:color w:val="auto"/>
          <w:highlight w:val="none"/>
        </w:rPr>
      </w:pPr>
    </w:p>
    <w:p>
      <w:pPr>
        <w:pStyle w:val="29"/>
        <w:pageBreakBefore w:val="0"/>
        <w:kinsoku/>
        <w:wordWrap/>
        <w:overflowPunct/>
        <w:topLinePunct w:val="0"/>
        <w:bidi w:val="0"/>
        <w:spacing w:line="360" w:lineRule="auto"/>
        <w:outlineLvl w:val="9"/>
        <w:rPr>
          <w:rFonts w:hint="default"/>
          <w:color w:val="auto"/>
          <w:highlight w:val="none"/>
        </w:rPr>
      </w:pPr>
    </w:p>
    <w:p>
      <w:pPr>
        <w:pStyle w:val="29"/>
        <w:pageBreakBefore w:val="0"/>
        <w:kinsoku/>
        <w:wordWrap/>
        <w:overflowPunct/>
        <w:topLinePunct w:val="0"/>
        <w:bidi w:val="0"/>
        <w:spacing w:line="360" w:lineRule="auto"/>
        <w:outlineLvl w:val="9"/>
        <w:rPr>
          <w:rFonts w:hint="default"/>
          <w:color w:val="auto"/>
          <w:highlight w:val="none"/>
        </w:rPr>
      </w:pPr>
    </w:p>
    <w:p>
      <w:pPr>
        <w:pStyle w:val="29"/>
        <w:pageBreakBefore w:val="0"/>
        <w:kinsoku/>
        <w:wordWrap/>
        <w:overflowPunct/>
        <w:topLinePunct w:val="0"/>
        <w:bidi w:val="0"/>
        <w:spacing w:line="360" w:lineRule="auto"/>
        <w:ind w:left="0" w:leftChars="0" w:firstLine="0" w:firstLineChars="0"/>
        <w:outlineLvl w:val="9"/>
        <w:rPr>
          <w:rFonts w:hint="default"/>
          <w:color w:val="auto"/>
          <w:highlight w:val="none"/>
        </w:rPr>
      </w:pPr>
    </w:p>
    <w:p>
      <w:pPr>
        <w:pStyle w:val="29"/>
        <w:pageBreakBefore w:val="0"/>
        <w:kinsoku/>
        <w:wordWrap/>
        <w:overflowPunct/>
        <w:topLinePunct w:val="0"/>
        <w:bidi w:val="0"/>
        <w:spacing w:line="360" w:lineRule="auto"/>
        <w:ind w:left="0" w:leftChars="0" w:firstLine="0" w:firstLineChars="0"/>
        <w:outlineLvl w:val="9"/>
        <w:rPr>
          <w:rFonts w:hint="default"/>
          <w:color w:val="auto"/>
          <w:highlight w:val="none"/>
        </w:rPr>
      </w:pPr>
    </w:p>
    <w:p>
      <w:pPr>
        <w:pageBreakBefore w:val="0"/>
        <w:kinsoku/>
        <w:wordWrap/>
        <w:overflowPunct/>
        <w:topLinePunct w:val="0"/>
        <w:bidi w:val="0"/>
        <w:outlineLvl w:val="9"/>
        <w:rPr>
          <w:rFonts w:hint="eastAsia" w:ascii="宋体" w:hAnsi="宋体" w:cs="宋体"/>
          <w:b/>
          <w:bCs/>
          <w:color w:val="auto"/>
          <w:szCs w:val="21"/>
          <w:highlight w:val="none"/>
        </w:rPr>
      </w:pPr>
      <w:bookmarkStart w:id="203" w:name="_Toc12217"/>
      <w:r>
        <w:rPr>
          <w:rFonts w:hint="eastAsia" w:ascii="宋体" w:hAnsi="宋体" w:cs="宋体"/>
          <w:b/>
          <w:bCs/>
          <w:color w:val="auto"/>
          <w:szCs w:val="21"/>
          <w:highlight w:val="none"/>
        </w:rPr>
        <w:br w:type="page"/>
      </w:r>
    </w:p>
    <w:p>
      <w:pPr>
        <w:pageBreakBefore w:val="0"/>
        <w:kinsoku/>
        <w:wordWrap/>
        <w:overflowPunct/>
        <w:topLinePunct w:val="0"/>
        <w:bidi w:val="0"/>
        <w:spacing w:line="360" w:lineRule="auto"/>
        <w:jc w:val="center"/>
        <w:outlineLvl w:val="9"/>
        <w:rPr>
          <w:rFonts w:ascii="宋体" w:hAnsi="宋体" w:cs="宋体"/>
          <w:color w:val="auto"/>
          <w:szCs w:val="21"/>
          <w:highlight w:val="none"/>
        </w:rPr>
      </w:pPr>
      <w:bookmarkStart w:id="204" w:name="_Toc15895"/>
      <w:r>
        <w:rPr>
          <w:rFonts w:hint="eastAsia" w:ascii="宋体" w:hAnsi="宋体" w:cs="宋体"/>
          <w:b/>
          <w:bCs/>
          <w:color w:val="auto"/>
          <w:szCs w:val="21"/>
          <w:highlight w:val="none"/>
        </w:rPr>
        <w:t>供应商信用承诺书</w:t>
      </w:r>
      <w:bookmarkEnd w:id="203"/>
      <w:bookmarkEnd w:id="204"/>
    </w:p>
    <w:p>
      <w:pPr>
        <w:pageBreakBefore w:val="0"/>
        <w:kinsoku/>
        <w:wordWrap/>
        <w:overflowPunct/>
        <w:topLinePunct w:val="0"/>
        <w:bidi w:val="0"/>
        <w:spacing w:line="360" w:lineRule="auto"/>
        <w:outlineLvl w:val="9"/>
        <w:rPr>
          <w:rFonts w:ascii="宋体" w:hAnsi="宋体" w:cs="宋体"/>
          <w:color w:val="auto"/>
          <w:szCs w:val="21"/>
          <w:highlight w:val="none"/>
        </w:rPr>
      </w:pPr>
      <w:r>
        <w:rPr>
          <w:rFonts w:hint="eastAsia" w:ascii="宋体" w:hAnsi="宋体" w:cs="宋体"/>
          <w:color w:val="auto"/>
          <w:szCs w:val="21"/>
          <w:highlight w:val="none"/>
        </w:rPr>
        <w:t>承诺主体名称：</w:t>
      </w:r>
    </w:p>
    <w:p>
      <w:pPr>
        <w:pageBreakBefore w:val="0"/>
        <w:kinsoku/>
        <w:wordWrap/>
        <w:overflowPunct/>
        <w:topLinePunct w:val="0"/>
        <w:bidi w:val="0"/>
        <w:spacing w:line="360" w:lineRule="auto"/>
        <w:outlineLvl w:val="9"/>
        <w:rPr>
          <w:rFonts w:ascii="宋体" w:hAnsi="宋体" w:cs="宋体"/>
          <w:color w:val="auto"/>
          <w:szCs w:val="21"/>
          <w:highlight w:val="none"/>
        </w:rPr>
      </w:pPr>
      <w:r>
        <w:rPr>
          <w:rFonts w:hint="eastAsia" w:ascii="宋体" w:hAnsi="宋体" w:cs="宋体"/>
          <w:color w:val="auto"/>
          <w:szCs w:val="21"/>
          <w:highlight w:val="none"/>
        </w:rPr>
        <w:t>统一社会信用代码：</w:t>
      </w:r>
    </w:p>
    <w:p>
      <w:pPr>
        <w:pageBreakBefore w:val="0"/>
        <w:kinsoku/>
        <w:wordWrap/>
        <w:overflowPunct/>
        <w:topLinePunct w:val="0"/>
        <w:bidi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为维护公平竞争、规范有序的市场秩序，营造诚实守信的信用环境，共同推进社会信用体系建设完善，树立企业诚信守法形象，本企业对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项目政府采购活动郑重承诺如下:</w:t>
      </w:r>
    </w:p>
    <w:p>
      <w:pPr>
        <w:pageBreakBefore w:val="0"/>
        <w:kinsoku/>
        <w:wordWrap/>
        <w:overflowPunct/>
        <w:topLinePunct w:val="0"/>
        <w:bidi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一、对提供给注册登记部门、行业管理部门、司法部门、行业组织以及在政府采购活动中提交的所有资料的合法性、真实性、准确性和有效性负责；</w:t>
      </w:r>
    </w:p>
    <w:p>
      <w:pPr>
        <w:pageBreakBefore w:val="0"/>
        <w:kinsoku/>
        <w:wordWrap/>
        <w:overflowPunct/>
        <w:topLinePunct w:val="0"/>
        <w:bidi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二、严格按照国家法律、法规和规章开展采购活动，全面履行应尽的责任和义务，全面做到履约守信，具备《中华人民共和国政府采购法》第二十二条第一款规定的条件;</w:t>
      </w:r>
    </w:p>
    <w:p>
      <w:pPr>
        <w:pageBreakBefore w:val="0"/>
        <w:kinsoku/>
        <w:wordWrap/>
        <w:overflowPunct/>
        <w:topLinePunct w:val="0"/>
        <w:bidi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三、严格依法开展生产经营活动，主动接受行业监管，自愿接受依法开展的日常检查；违法失信经营后将自愿接受约束和惩戒，并依法承担相应责任；</w:t>
      </w:r>
    </w:p>
    <w:p>
      <w:pPr>
        <w:pageBreakBefore w:val="0"/>
        <w:kinsoku/>
        <w:wordWrap/>
        <w:overflowPunct/>
        <w:topLinePunct w:val="0"/>
        <w:bidi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四、自觉接受行政管理部门、行业组织、社会公众、新闻舆论的监督；</w:t>
      </w:r>
    </w:p>
    <w:p>
      <w:pPr>
        <w:pageBreakBefore w:val="0"/>
        <w:kinsoku/>
        <w:wordWrap/>
        <w:overflowPunct/>
        <w:topLinePunct w:val="0"/>
        <w:bidi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五、自觉做到自我约束、自我管理，不制假售假、商标侵权、虚假宣传、违约毁约、恶意逃债、偷税漏税、垄断和不正当竞争，维护经营者、消费者的合法权益；</w:t>
      </w:r>
    </w:p>
    <w:p>
      <w:pPr>
        <w:pageBreakBefore w:val="0"/>
        <w:kinsoku/>
        <w:wordWrap/>
        <w:overflowPunct/>
        <w:topLinePunct w:val="0"/>
        <w:bidi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六、提出政府采购质疑和投诉坚持依法依规、诚实信用原则，在全国范围</w:t>
      </w:r>
      <w:r>
        <w:rPr>
          <w:rFonts w:hint="eastAsia" w:ascii="Times New Roman" w:hAnsi="Times New Roman" w:cs="宋体"/>
          <w:color w:val="auto"/>
          <w:szCs w:val="21"/>
          <w:highlight w:val="none"/>
          <w:lang w:eastAsia="zh-CN"/>
        </w:rPr>
        <w:t>12</w:t>
      </w:r>
      <w:r>
        <w:rPr>
          <w:rFonts w:hint="eastAsia" w:ascii="宋体" w:hAnsi="宋体" w:cs="宋体"/>
          <w:color w:val="auto"/>
          <w:szCs w:val="21"/>
          <w:highlight w:val="none"/>
        </w:rPr>
        <w:t>个月内没有三次以上查无实据的政府采购投诉；</w:t>
      </w:r>
    </w:p>
    <w:p>
      <w:pPr>
        <w:pageBreakBefore w:val="0"/>
        <w:kinsoku/>
        <w:wordWrap/>
        <w:overflowPunct/>
        <w:topLinePunct w:val="0"/>
        <w:bidi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七、严格遵守信用信息公示相关规定，向社会公示信用信息；</w:t>
      </w:r>
    </w:p>
    <w:p>
      <w:pPr>
        <w:pageBreakBefore w:val="0"/>
        <w:kinsoku/>
        <w:wordWrap/>
        <w:overflowPunct/>
        <w:topLinePunct w:val="0"/>
        <w:bidi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八、在“信用中国”和“中国政府采购网”网站中无违法违规、较重或严重失信记录；</w:t>
      </w:r>
    </w:p>
    <w:p>
      <w:pPr>
        <w:pageBreakBefore w:val="0"/>
        <w:kinsoku/>
        <w:wordWrap/>
        <w:overflowPunct/>
        <w:topLinePunct w:val="0"/>
        <w:bidi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九、如违反承诺，自愿接受管理部门依法给予的行政处罚，同意将违反承诺的行为作为不良记录记入信用档案，依法依规进行信息公示，并承担所产生的一切法律责任和经济损失。</w:t>
      </w:r>
    </w:p>
    <w:p>
      <w:pPr>
        <w:pageBreakBefore w:val="0"/>
        <w:kinsoku/>
        <w:wordWrap/>
        <w:overflowPunct/>
        <w:topLinePunct w:val="0"/>
        <w:bidi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十、本承诺书自签订之日起生效。</w:t>
      </w:r>
    </w:p>
    <w:p>
      <w:pPr>
        <w:pageBreakBefore w:val="0"/>
        <w:kinsoku/>
        <w:wordWrap/>
        <w:overflowPunct/>
        <w:topLinePunct w:val="0"/>
        <w:bidi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 （注：法定代表人或负责人、主体名称发生变更的应当重新做出承诺。）</w:t>
      </w:r>
    </w:p>
    <w:p>
      <w:pPr>
        <w:pageBreakBefore w:val="0"/>
        <w:kinsoku/>
        <w:wordWrap/>
        <w:overflowPunct/>
        <w:topLinePunct w:val="0"/>
        <w:bidi w:val="0"/>
        <w:spacing w:line="360" w:lineRule="auto"/>
        <w:jc w:val="center"/>
        <w:outlineLvl w:val="9"/>
        <w:rPr>
          <w:rFonts w:ascii="宋体" w:hAnsi="宋体" w:cs="宋体"/>
          <w:color w:val="auto"/>
          <w:szCs w:val="21"/>
          <w:highlight w:val="none"/>
        </w:rPr>
      </w:pPr>
      <w:r>
        <w:rPr>
          <w:rFonts w:hint="eastAsia" w:ascii="宋体" w:hAnsi="宋体" w:cs="宋体"/>
          <w:color w:val="auto"/>
          <w:szCs w:val="21"/>
          <w:highlight w:val="none"/>
        </w:rPr>
        <w:t xml:space="preserve">                                           承诺单位（签章）：           </w:t>
      </w:r>
    </w:p>
    <w:p>
      <w:pPr>
        <w:pageBreakBefore w:val="0"/>
        <w:kinsoku/>
        <w:wordWrap/>
        <w:overflowPunct/>
        <w:topLinePunct w:val="0"/>
        <w:bidi w:val="0"/>
        <w:spacing w:line="360" w:lineRule="auto"/>
        <w:jc w:val="center"/>
        <w:outlineLvl w:val="9"/>
        <w:rPr>
          <w:rFonts w:ascii="宋体" w:hAnsi="宋体" w:cs="宋体"/>
          <w:color w:val="auto"/>
          <w:szCs w:val="21"/>
          <w:highlight w:val="none"/>
        </w:rPr>
      </w:pPr>
      <w:r>
        <w:rPr>
          <w:rFonts w:hint="eastAsia" w:ascii="宋体" w:hAnsi="宋体" w:cs="宋体"/>
          <w:color w:val="auto"/>
          <w:szCs w:val="21"/>
          <w:highlight w:val="none"/>
        </w:rPr>
        <w:t>　　　　　　　　　   　  法定代表人（负责人）</w:t>
      </w:r>
      <w:r>
        <w:rPr>
          <w:rFonts w:hint="eastAsia" w:ascii="宋体" w:hAnsi="宋体" w:cs="宋体"/>
          <w:color w:val="auto"/>
          <w:szCs w:val="21"/>
          <w:highlight w:val="none"/>
          <w:lang w:val="en-US" w:eastAsia="zh-CN"/>
        </w:rPr>
        <w:t>签字或签章</w:t>
      </w:r>
      <w:r>
        <w:rPr>
          <w:rFonts w:hint="eastAsia" w:ascii="宋体" w:hAnsi="宋体" w:cs="宋体"/>
          <w:color w:val="auto"/>
          <w:szCs w:val="21"/>
          <w:highlight w:val="none"/>
        </w:rPr>
        <w:t>：</w:t>
      </w:r>
    </w:p>
    <w:p>
      <w:pPr>
        <w:pStyle w:val="29"/>
        <w:pageBreakBefore w:val="0"/>
        <w:kinsoku/>
        <w:wordWrap/>
        <w:overflowPunct/>
        <w:topLinePunct w:val="0"/>
        <w:bidi w:val="0"/>
        <w:outlineLvl w:val="9"/>
        <w:rPr>
          <w:rFonts w:hint="eastAsia" w:asciiTheme="minorEastAsia" w:hAnsiTheme="minorEastAsia" w:eastAsiaTheme="minorEastAsia"/>
          <w:color w:val="auto"/>
          <w:highlight w:val="none"/>
        </w:rPr>
      </w:pPr>
    </w:p>
    <w:p>
      <w:pPr>
        <w:pStyle w:val="29"/>
        <w:pageBreakBefore w:val="0"/>
        <w:kinsoku/>
        <w:wordWrap/>
        <w:overflowPunct/>
        <w:topLinePunct w:val="0"/>
        <w:bidi w:val="0"/>
        <w:outlineLvl w:val="9"/>
        <w:rPr>
          <w:rFonts w:hint="eastAsia" w:asciiTheme="minorEastAsia" w:hAnsiTheme="minorEastAsia" w:eastAsiaTheme="minorEastAsia"/>
          <w:color w:val="auto"/>
          <w:highlight w:val="none"/>
        </w:rPr>
      </w:pPr>
    </w:p>
    <w:p>
      <w:pPr>
        <w:pageBreakBefore w:val="0"/>
        <w:kinsoku/>
        <w:wordWrap/>
        <w:overflowPunct/>
        <w:topLinePunct w:val="0"/>
        <w:bidi w:val="0"/>
        <w:outlineLvl w:val="9"/>
        <w:rPr>
          <w:rFonts w:hint="eastAsia" w:ascii="宋体" w:hAnsi="宋体" w:cs="宋体"/>
          <w:color w:val="auto"/>
          <w:sz w:val="32"/>
          <w:szCs w:val="32"/>
          <w:highlight w:val="none"/>
        </w:rPr>
      </w:pPr>
      <w:r>
        <w:rPr>
          <w:rFonts w:hint="eastAsia" w:ascii="宋体" w:hAnsi="宋体" w:cs="宋体"/>
          <w:color w:val="auto"/>
          <w:sz w:val="32"/>
          <w:szCs w:val="32"/>
          <w:highlight w:val="none"/>
        </w:rPr>
        <w:br w:type="page"/>
      </w:r>
    </w:p>
    <w:p>
      <w:pPr>
        <w:pageBreakBefore w:val="0"/>
        <w:kinsoku/>
        <w:wordWrap/>
        <w:overflowPunct/>
        <w:topLinePunct w:val="0"/>
        <w:bidi w:val="0"/>
        <w:spacing w:line="360" w:lineRule="auto"/>
        <w:jc w:val="center"/>
        <w:outlineLvl w:val="9"/>
        <w:rPr>
          <w:rFonts w:ascii="宋体" w:hAnsi="宋体" w:cs="宋体"/>
          <w:color w:val="auto"/>
          <w:sz w:val="32"/>
          <w:szCs w:val="32"/>
          <w:highlight w:val="none"/>
        </w:rPr>
      </w:pPr>
      <w:r>
        <w:rPr>
          <w:rFonts w:hint="eastAsia" w:ascii="宋体" w:hAnsi="宋体" w:cs="宋体"/>
          <w:color w:val="auto"/>
          <w:sz w:val="32"/>
          <w:szCs w:val="32"/>
          <w:highlight w:val="none"/>
        </w:rPr>
        <w:t>三、开标一览表</w:t>
      </w:r>
    </w:p>
    <w:p>
      <w:pPr>
        <w:pageBreakBefore w:val="0"/>
        <w:kinsoku/>
        <w:wordWrap/>
        <w:overflowPunct/>
        <w:topLinePunct w:val="0"/>
        <w:bidi w:val="0"/>
        <w:spacing w:line="360" w:lineRule="auto"/>
        <w:outlineLvl w:val="9"/>
        <w:rPr>
          <w:color w:val="auto"/>
          <w:highlight w:val="none"/>
        </w:rPr>
      </w:pPr>
    </w:p>
    <w:p>
      <w:pPr>
        <w:pageBreakBefore w:val="0"/>
        <w:kinsoku/>
        <w:wordWrap/>
        <w:overflowPunct/>
        <w:topLinePunct w:val="0"/>
        <w:bidi w:val="0"/>
        <w:spacing w:line="360" w:lineRule="auto"/>
        <w:ind w:firstLine="480"/>
        <w:outlineLvl w:val="9"/>
        <w:rPr>
          <w:rFonts w:asciiTheme="minorEastAsia" w:hAnsiTheme="minorEastAsia" w:eastAsiaTheme="minorEastAsia"/>
          <w:color w:val="auto"/>
          <w:szCs w:val="21"/>
          <w:highlight w:val="none"/>
        </w:rPr>
      </w:pPr>
      <w:r>
        <w:rPr>
          <w:rFonts w:hint="eastAsia" w:ascii="宋体" w:hAnsi="宋体"/>
          <w:color w:val="auto"/>
          <w:szCs w:val="21"/>
          <w:highlight w:val="none"/>
        </w:rPr>
        <w:t>投标人全称（加盖公章）：</w:t>
      </w:r>
    </w:p>
    <w:p>
      <w:pPr>
        <w:pageBreakBefore w:val="0"/>
        <w:kinsoku/>
        <w:wordWrap/>
        <w:overflowPunct/>
        <w:topLinePunct w:val="0"/>
        <w:bidi w:val="0"/>
        <w:spacing w:line="360" w:lineRule="auto"/>
        <w:ind w:firstLine="480"/>
        <w:outlineLvl w:val="9"/>
        <w:rPr>
          <w:color w:val="auto"/>
          <w:szCs w:val="21"/>
          <w:highlight w:val="none"/>
        </w:rPr>
      </w:pPr>
      <w:r>
        <w:rPr>
          <w:rFonts w:hint="eastAsia" w:asciiTheme="minorEastAsia" w:hAnsiTheme="minorEastAsia" w:eastAsiaTheme="minorEastAsia"/>
          <w:color w:val="auto"/>
          <w:szCs w:val="21"/>
          <w:highlight w:val="none"/>
        </w:rPr>
        <w:t>项目名称：</w:t>
      </w:r>
    </w:p>
    <w:p>
      <w:pPr>
        <w:pageBreakBefore w:val="0"/>
        <w:kinsoku/>
        <w:wordWrap/>
        <w:overflowPunct/>
        <w:topLinePunct w:val="0"/>
        <w:bidi w:val="0"/>
        <w:spacing w:line="360" w:lineRule="auto"/>
        <w:ind w:firstLine="480"/>
        <w:outlineLvl w:val="9"/>
        <w:rPr>
          <w:rFonts w:ascii="宋体" w:hAnsi="宋体"/>
          <w:color w:val="auto"/>
          <w:szCs w:val="21"/>
          <w:highlight w:val="none"/>
        </w:rPr>
      </w:pPr>
      <w:r>
        <w:rPr>
          <w:rFonts w:hint="eastAsia" w:asciiTheme="minorEastAsia" w:hAnsiTheme="minorEastAsia" w:eastAsiaTheme="minorEastAsia"/>
          <w:color w:val="auto"/>
          <w:szCs w:val="21"/>
          <w:highlight w:val="none"/>
        </w:rPr>
        <w:t>项目编号：</w:t>
      </w:r>
    </w:p>
    <w:p>
      <w:pPr>
        <w:pageBreakBefore w:val="0"/>
        <w:kinsoku/>
        <w:wordWrap/>
        <w:overflowPunct/>
        <w:topLinePunct w:val="0"/>
        <w:bidi w:val="0"/>
        <w:spacing w:line="360" w:lineRule="auto"/>
        <w:ind w:firstLine="480"/>
        <w:outlineLvl w:val="9"/>
        <w:rPr>
          <w:rFonts w:ascii="宋体" w:hAnsi="宋体"/>
          <w:color w:val="auto"/>
          <w:szCs w:val="21"/>
          <w:highlight w:val="none"/>
        </w:rPr>
      </w:pPr>
      <w:r>
        <w:rPr>
          <w:rFonts w:hint="eastAsia" w:asciiTheme="minorEastAsia" w:hAnsiTheme="minorEastAsia" w:eastAsiaTheme="minorEastAsia"/>
          <w:color w:val="auto"/>
          <w:szCs w:val="21"/>
          <w:highlight w:val="none"/>
        </w:rPr>
        <w:t xml:space="preserve">分包号(如有)： </w:t>
      </w:r>
    </w:p>
    <w:p>
      <w:pPr>
        <w:spacing w:line="360" w:lineRule="auto"/>
        <w:ind w:firstLine="480"/>
        <w:rPr>
          <w:rFonts w:ascii="宋体" w:hAnsi="宋体"/>
          <w:color w:val="auto"/>
          <w:szCs w:val="21"/>
          <w:highlight w:val="none"/>
        </w:rPr>
      </w:pPr>
      <w:r>
        <w:rPr>
          <w:rFonts w:hint="eastAsia" w:asciiTheme="minorEastAsia" w:hAnsiTheme="minorEastAsia" w:eastAsiaTheme="minorEastAsia"/>
          <w:color w:val="auto"/>
          <w:szCs w:val="21"/>
          <w:highlight w:val="none"/>
        </w:rPr>
        <w:t xml:space="preserve">                       </w:t>
      </w:r>
    </w:p>
    <w:tbl>
      <w:tblPr>
        <w:tblStyle w:val="37"/>
        <w:tblW w:w="85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8556" w:type="dxa"/>
            <w:vAlign w:val="center"/>
          </w:tcPr>
          <w:p>
            <w:pPr>
              <w:spacing w:line="360" w:lineRule="auto"/>
              <w:rPr>
                <w:rFonts w:ascii="宋体" w:hAnsi="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投标报价</w:t>
            </w:r>
            <w:r>
              <w:rPr>
                <w:rFonts w:hint="eastAsia" w:ascii="宋体" w:hAnsi="宋体" w:cs="宋体"/>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8556" w:type="dxa"/>
            <w:vAlign w:val="center"/>
          </w:tcPr>
          <w:p>
            <w:pPr>
              <w:pStyle w:val="64"/>
              <w:spacing w:before="0" w:after="0" w:line="360" w:lineRule="auto"/>
              <w:ind w:firstLine="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u w:val="none"/>
                <w:lang w:val="en-US" w:eastAsia="zh-CN"/>
              </w:rPr>
              <w:t>销售额的</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 xml:space="preserve"> %（其中基本管理费</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 xml:space="preserve"> %，品牌使用费</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w:t>
            </w:r>
          </w:p>
          <w:p>
            <w:pPr>
              <w:pStyle w:val="64"/>
              <w:spacing w:before="0" w:after="0" w:line="360" w:lineRule="auto"/>
              <w:ind w:firstLine="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设计费</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元/平方米</w:t>
            </w:r>
          </w:p>
        </w:tc>
      </w:tr>
    </w:tbl>
    <w:p>
      <w:pPr>
        <w:spacing w:line="360" w:lineRule="auto"/>
        <w:rPr>
          <w:rFonts w:ascii="宋体" w:hAnsi="宋体"/>
          <w:color w:val="auto"/>
          <w:szCs w:val="21"/>
          <w:highlight w:val="none"/>
        </w:rPr>
      </w:pPr>
    </w:p>
    <w:p>
      <w:pPr>
        <w:spacing w:line="360" w:lineRule="auto"/>
        <w:ind w:firstLine="480"/>
        <w:rPr>
          <w:rFonts w:ascii="宋体" w:hAnsi="宋体"/>
          <w:color w:val="auto"/>
          <w:sz w:val="32"/>
          <w:szCs w:val="32"/>
          <w:highlight w:val="none"/>
        </w:rPr>
      </w:pPr>
      <w:r>
        <w:rPr>
          <w:rFonts w:hint="eastAsia" w:asciiTheme="minorEastAsia" w:hAnsiTheme="minorEastAsia" w:eastAsiaTheme="minorEastAsia"/>
          <w:color w:val="auto"/>
          <w:szCs w:val="21"/>
          <w:highlight w:val="none"/>
        </w:rPr>
        <w:t xml:space="preserve">                                              日期：  </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年</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月</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日</w:t>
      </w:r>
    </w:p>
    <w:p>
      <w:pPr>
        <w:pStyle w:val="15"/>
        <w:spacing w:line="360" w:lineRule="auto"/>
        <w:ind w:firstLine="640"/>
        <w:rPr>
          <w:rFonts w:ascii="宋体" w:hAnsi="宋体"/>
          <w:color w:val="auto"/>
          <w:sz w:val="32"/>
          <w:szCs w:val="32"/>
          <w:highlight w:val="none"/>
        </w:rPr>
      </w:pPr>
    </w:p>
    <w:p>
      <w:pPr>
        <w:pStyle w:val="15"/>
        <w:spacing w:line="360" w:lineRule="auto"/>
        <w:ind w:firstLine="640"/>
        <w:rPr>
          <w:rFonts w:ascii="宋体" w:hAnsi="宋体"/>
          <w:color w:val="auto"/>
          <w:sz w:val="32"/>
          <w:szCs w:val="32"/>
          <w:highlight w:val="none"/>
        </w:rPr>
      </w:pPr>
    </w:p>
    <w:p>
      <w:pPr>
        <w:spacing w:line="360" w:lineRule="auto"/>
        <w:ind w:firstLine="480"/>
        <w:rPr>
          <w:rFonts w:ascii="宋体" w:hAnsi="宋体"/>
          <w:color w:val="auto"/>
          <w:szCs w:val="21"/>
          <w:highlight w:val="none"/>
        </w:rPr>
      </w:pPr>
      <w:r>
        <w:rPr>
          <w:rFonts w:hint="eastAsia" w:ascii="宋体" w:hAnsi="宋体"/>
          <w:color w:val="auto"/>
          <w:szCs w:val="21"/>
          <w:highlight w:val="none"/>
        </w:rPr>
        <w:t>填写说明：</w:t>
      </w:r>
    </w:p>
    <w:p>
      <w:pPr>
        <w:numPr>
          <w:ilvl w:val="0"/>
          <w:numId w:val="51"/>
        </w:numPr>
        <w:spacing w:line="360" w:lineRule="auto"/>
        <w:ind w:firstLine="480"/>
        <w:rPr>
          <w:rFonts w:hint="eastAsia" w:ascii="宋体" w:hAnsi="宋体"/>
          <w:i/>
          <w:color w:val="auto"/>
          <w:szCs w:val="21"/>
          <w:highlight w:val="none"/>
        </w:rPr>
      </w:pPr>
      <w:r>
        <w:rPr>
          <w:rFonts w:hint="eastAsia" w:ascii="宋体" w:hAnsi="宋体"/>
          <w:bCs/>
          <w:i/>
          <w:iCs/>
          <w:color w:val="auto"/>
          <w:szCs w:val="21"/>
          <w:highlight w:val="none"/>
          <w:u w:val="single"/>
        </w:rPr>
        <w:t>开标一览表必须加盖投标人公章（复印件无效）</w:t>
      </w:r>
      <w:r>
        <w:rPr>
          <w:rFonts w:hint="eastAsia" w:ascii="宋体" w:hAnsi="宋体"/>
          <w:i/>
          <w:color w:val="auto"/>
          <w:szCs w:val="21"/>
          <w:highlight w:val="none"/>
        </w:rPr>
        <w:t>。</w:t>
      </w:r>
    </w:p>
    <w:p>
      <w:pPr>
        <w:pStyle w:val="47"/>
        <w:keepNext/>
        <w:keepLines/>
        <w:widowControl w:val="0"/>
        <w:numPr>
          <w:ilvl w:val="0"/>
          <w:numId w:val="0"/>
        </w:numPr>
        <w:spacing w:before="260" w:after="260" w:line="413" w:lineRule="auto"/>
        <w:jc w:val="both"/>
        <w:outlineLvl w:val="2"/>
        <w:rPr>
          <w:color w:val="auto"/>
          <w:highlight w:val="none"/>
        </w:rPr>
      </w:pPr>
    </w:p>
    <w:p>
      <w:pPr>
        <w:rPr>
          <w:color w:val="auto"/>
          <w:highlight w:val="none"/>
        </w:rPr>
      </w:pPr>
    </w:p>
    <w:p>
      <w:pPr>
        <w:pStyle w:val="47"/>
        <w:rPr>
          <w:color w:val="auto"/>
          <w:highlight w:val="none"/>
        </w:rPr>
      </w:pPr>
    </w:p>
    <w:p>
      <w:pPr>
        <w:rPr>
          <w:color w:val="auto"/>
          <w:highlight w:val="none"/>
        </w:rPr>
      </w:pPr>
    </w:p>
    <w:p>
      <w:pPr>
        <w:pStyle w:val="47"/>
        <w:rPr>
          <w:color w:val="auto"/>
          <w:highlight w:val="none"/>
        </w:rPr>
      </w:pPr>
    </w:p>
    <w:p>
      <w:pPr>
        <w:rPr>
          <w:color w:val="auto"/>
          <w:highlight w:val="none"/>
        </w:rPr>
      </w:pPr>
    </w:p>
    <w:p>
      <w:pPr>
        <w:rPr>
          <w:color w:val="auto"/>
          <w:highlight w:val="none"/>
        </w:rPr>
      </w:pPr>
    </w:p>
    <w:p>
      <w:pPr>
        <w:pStyle w:val="47"/>
        <w:jc w:val="center"/>
        <w:rPr>
          <w:rFonts w:hint="eastAsia" w:ascii="宋体" w:hAnsi="宋体" w:eastAsia="宋体" w:cs="宋体"/>
          <w:b w:val="0"/>
          <w:color w:val="auto"/>
          <w:kern w:val="2"/>
          <w:sz w:val="32"/>
          <w:szCs w:val="32"/>
          <w:highlight w:val="none"/>
          <w:lang w:val="en-US" w:eastAsia="zh-CN" w:bidi="ar-SA"/>
        </w:rPr>
      </w:pPr>
      <w:r>
        <w:rPr>
          <w:rFonts w:hint="eastAsia" w:ascii="宋体" w:hAnsi="宋体" w:eastAsia="宋体" w:cs="宋体"/>
          <w:b w:val="0"/>
          <w:color w:val="auto"/>
          <w:kern w:val="2"/>
          <w:sz w:val="32"/>
          <w:szCs w:val="32"/>
          <w:highlight w:val="none"/>
          <w:lang w:val="en-US" w:eastAsia="zh-CN" w:bidi="ar-SA"/>
        </w:rPr>
        <w:t>设计费分项报价</w:t>
      </w:r>
    </w:p>
    <w:p>
      <w:pPr>
        <w:pageBreakBefore w:val="0"/>
        <w:kinsoku/>
        <w:wordWrap/>
        <w:overflowPunct/>
        <w:topLinePunct w:val="0"/>
        <w:bidi w:val="0"/>
        <w:spacing w:line="360" w:lineRule="auto"/>
        <w:ind w:firstLine="480"/>
        <w:outlineLvl w:val="9"/>
        <w:rPr>
          <w:rFonts w:asciiTheme="minorEastAsia" w:hAnsiTheme="minorEastAsia" w:eastAsiaTheme="minorEastAsia"/>
          <w:color w:val="auto"/>
          <w:szCs w:val="21"/>
          <w:highlight w:val="none"/>
        </w:rPr>
      </w:pPr>
      <w:r>
        <w:rPr>
          <w:rFonts w:hint="eastAsia" w:ascii="宋体" w:hAnsi="宋体"/>
          <w:color w:val="auto"/>
          <w:szCs w:val="21"/>
          <w:highlight w:val="none"/>
        </w:rPr>
        <w:t>投标人全称（加盖公章）：</w:t>
      </w:r>
    </w:p>
    <w:p>
      <w:pPr>
        <w:pageBreakBefore w:val="0"/>
        <w:kinsoku/>
        <w:wordWrap/>
        <w:overflowPunct/>
        <w:topLinePunct w:val="0"/>
        <w:bidi w:val="0"/>
        <w:spacing w:line="360" w:lineRule="auto"/>
        <w:ind w:firstLine="480"/>
        <w:outlineLvl w:val="9"/>
        <w:rPr>
          <w:color w:val="auto"/>
          <w:szCs w:val="21"/>
          <w:highlight w:val="none"/>
        </w:rPr>
      </w:pPr>
      <w:r>
        <w:rPr>
          <w:rFonts w:hint="eastAsia" w:asciiTheme="minorEastAsia" w:hAnsiTheme="minorEastAsia" w:eastAsiaTheme="minorEastAsia"/>
          <w:color w:val="auto"/>
          <w:szCs w:val="21"/>
          <w:highlight w:val="none"/>
        </w:rPr>
        <w:t>项目名称：</w:t>
      </w:r>
    </w:p>
    <w:p>
      <w:pPr>
        <w:pageBreakBefore w:val="0"/>
        <w:kinsoku/>
        <w:wordWrap/>
        <w:overflowPunct/>
        <w:topLinePunct w:val="0"/>
        <w:bidi w:val="0"/>
        <w:spacing w:line="360" w:lineRule="auto"/>
        <w:ind w:firstLine="480"/>
        <w:outlineLvl w:val="9"/>
        <w:rPr>
          <w:rFonts w:ascii="宋体" w:hAnsi="宋体"/>
          <w:color w:val="auto"/>
          <w:szCs w:val="21"/>
          <w:highlight w:val="none"/>
        </w:rPr>
      </w:pPr>
      <w:r>
        <w:rPr>
          <w:rFonts w:hint="eastAsia" w:asciiTheme="minorEastAsia" w:hAnsiTheme="minorEastAsia" w:eastAsiaTheme="minorEastAsia"/>
          <w:color w:val="auto"/>
          <w:szCs w:val="21"/>
          <w:highlight w:val="none"/>
        </w:rPr>
        <w:t>项目编号：</w:t>
      </w:r>
    </w:p>
    <w:p>
      <w:pPr>
        <w:pageBreakBefore w:val="0"/>
        <w:kinsoku/>
        <w:wordWrap/>
        <w:overflowPunct/>
        <w:topLinePunct w:val="0"/>
        <w:bidi w:val="0"/>
        <w:spacing w:line="360" w:lineRule="auto"/>
        <w:ind w:firstLine="480"/>
        <w:outlineLvl w:val="9"/>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w:t>
      </w:r>
    </w:p>
    <w:tbl>
      <w:tblPr>
        <w:tblStyle w:val="104"/>
        <w:tblW w:w="0" w:type="auto"/>
        <w:tblInd w:w="7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7"/>
        <w:gridCol w:w="938"/>
        <w:gridCol w:w="1466"/>
        <w:gridCol w:w="1755"/>
        <w:gridCol w:w="2216"/>
        <w:gridCol w:w="16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3091" w:type="dxa"/>
            <w:gridSpan w:val="3"/>
          </w:tcPr>
          <w:p>
            <w:pPr>
              <w:pStyle w:val="65"/>
              <w:spacing w:before="9"/>
              <w:rPr>
                <w:b/>
                <w:color w:val="auto"/>
                <w:sz w:val="20"/>
                <w:highlight w:val="none"/>
              </w:rPr>
            </w:pPr>
          </w:p>
          <w:p>
            <w:pPr>
              <w:pStyle w:val="65"/>
              <w:spacing w:before="1"/>
              <w:ind w:left="1102" w:right="1098"/>
              <w:jc w:val="center"/>
              <w:rPr>
                <w:color w:val="auto"/>
                <w:sz w:val="21"/>
                <w:highlight w:val="none"/>
              </w:rPr>
            </w:pPr>
            <w:r>
              <w:rPr>
                <w:color w:val="auto"/>
                <w:sz w:val="21"/>
                <w:highlight w:val="none"/>
              </w:rPr>
              <w:t>设计内容</w:t>
            </w:r>
          </w:p>
        </w:tc>
        <w:tc>
          <w:tcPr>
            <w:tcW w:w="1755" w:type="dxa"/>
          </w:tcPr>
          <w:p>
            <w:pPr>
              <w:pStyle w:val="65"/>
              <w:spacing w:before="64"/>
              <w:ind w:left="224" w:right="221"/>
              <w:jc w:val="center"/>
              <w:rPr>
                <w:color w:val="auto"/>
                <w:sz w:val="21"/>
                <w:highlight w:val="none"/>
              </w:rPr>
            </w:pPr>
            <w:r>
              <w:rPr>
                <w:color w:val="auto"/>
                <w:sz w:val="21"/>
                <w:highlight w:val="none"/>
              </w:rPr>
              <w:t>暂定建筑规模</w:t>
            </w:r>
          </w:p>
          <w:p>
            <w:pPr>
              <w:pStyle w:val="65"/>
              <w:spacing w:before="132"/>
              <w:ind w:left="224" w:right="216"/>
              <w:jc w:val="center"/>
              <w:rPr>
                <w:color w:val="auto"/>
                <w:sz w:val="21"/>
                <w:highlight w:val="none"/>
              </w:rPr>
            </w:pPr>
            <w:r>
              <w:rPr>
                <w:color w:val="auto"/>
                <w:sz w:val="21"/>
                <w:highlight w:val="none"/>
              </w:rPr>
              <w:t>（㎡）</w:t>
            </w:r>
          </w:p>
        </w:tc>
        <w:tc>
          <w:tcPr>
            <w:tcW w:w="2216" w:type="dxa"/>
          </w:tcPr>
          <w:p>
            <w:pPr>
              <w:pStyle w:val="65"/>
              <w:spacing w:before="64"/>
              <w:ind w:left="686"/>
              <w:rPr>
                <w:color w:val="auto"/>
                <w:sz w:val="21"/>
                <w:highlight w:val="none"/>
              </w:rPr>
            </w:pPr>
            <w:r>
              <w:rPr>
                <w:color w:val="auto"/>
                <w:sz w:val="21"/>
                <w:highlight w:val="none"/>
              </w:rPr>
              <w:t>综合单价</w:t>
            </w:r>
          </w:p>
          <w:p>
            <w:pPr>
              <w:pStyle w:val="65"/>
              <w:spacing w:before="132"/>
              <w:ind w:left="633"/>
              <w:rPr>
                <w:color w:val="auto"/>
                <w:sz w:val="21"/>
                <w:highlight w:val="none"/>
              </w:rPr>
            </w:pPr>
            <w:r>
              <w:rPr>
                <w:color w:val="auto"/>
                <w:sz w:val="21"/>
                <w:highlight w:val="none"/>
              </w:rPr>
              <w:t>（元/㎡）</w:t>
            </w:r>
          </w:p>
        </w:tc>
        <w:tc>
          <w:tcPr>
            <w:tcW w:w="1668" w:type="dxa"/>
          </w:tcPr>
          <w:p>
            <w:pPr>
              <w:pStyle w:val="65"/>
              <w:spacing w:before="9"/>
              <w:rPr>
                <w:b/>
                <w:color w:val="auto"/>
                <w:sz w:val="20"/>
                <w:highlight w:val="none"/>
              </w:rPr>
            </w:pPr>
          </w:p>
          <w:p>
            <w:pPr>
              <w:pStyle w:val="65"/>
              <w:spacing w:before="1"/>
              <w:ind w:left="308"/>
              <w:rPr>
                <w:color w:val="auto"/>
                <w:sz w:val="21"/>
                <w:highlight w:val="none"/>
              </w:rPr>
            </w:pPr>
            <w:r>
              <w:rPr>
                <w:color w:val="auto"/>
                <w:sz w:val="21"/>
                <w:highlight w:val="none"/>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091" w:type="dxa"/>
            <w:gridSpan w:val="3"/>
          </w:tcPr>
          <w:p>
            <w:pPr>
              <w:pStyle w:val="65"/>
              <w:spacing w:before="65"/>
              <w:ind w:left="1102" w:right="1098"/>
              <w:jc w:val="center"/>
              <w:rPr>
                <w:color w:val="auto"/>
                <w:sz w:val="21"/>
                <w:highlight w:val="none"/>
              </w:rPr>
            </w:pPr>
            <w:r>
              <w:rPr>
                <w:color w:val="auto"/>
                <w:sz w:val="21"/>
                <w:highlight w:val="none"/>
              </w:rPr>
              <w:t>设计总包</w:t>
            </w:r>
          </w:p>
        </w:tc>
        <w:tc>
          <w:tcPr>
            <w:tcW w:w="1755" w:type="dxa"/>
          </w:tcPr>
          <w:p>
            <w:pPr>
              <w:pStyle w:val="65"/>
              <w:spacing w:before="65"/>
              <w:ind w:left="224" w:right="215"/>
              <w:jc w:val="center"/>
              <w:rPr>
                <w:color w:val="auto"/>
                <w:sz w:val="21"/>
                <w:highlight w:val="none"/>
              </w:rPr>
            </w:pPr>
          </w:p>
        </w:tc>
        <w:tc>
          <w:tcPr>
            <w:tcW w:w="2216" w:type="dxa"/>
          </w:tcPr>
          <w:p>
            <w:pPr>
              <w:pStyle w:val="65"/>
              <w:rPr>
                <w:rFonts w:ascii="Times New Roman"/>
                <w:color w:val="auto"/>
                <w:sz w:val="20"/>
                <w:highlight w:val="none"/>
              </w:rPr>
            </w:pPr>
          </w:p>
        </w:tc>
        <w:tc>
          <w:tcPr>
            <w:tcW w:w="1668" w:type="dxa"/>
          </w:tcPr>
          <w:p>
            <w:pPr>
              <w:pStyle w:val="6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687" w:type="dxa"/>
            <w:vMerge w:val="restart"/>
          </w:tcPr>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rPr>
                <w:b/>
                <w:color w:val="auto"/>
                <w:sz w:val="20"/>
                <w:highlight w:val="none"/>
              </w:rPr>
            </w:pPr>
          </w:p>
          <w:p>
            <w:pPr>
              <w:pStyle w:val="65"/>
              <w:spacing w:before="165"/>
              <w:ind w:left="132"/>
              <w:rPr>
                <w:color w:val="auto"/>
                <w:sz w:val="21"/>
                <w:highlight w:val="none"/>
              </w:rPr>
            </w:pPr>
            <w:r>
              <w:rPr>
                <w:color w:val="auto"/>
                <w:sz w:val="21"/>
                <w:highlight w:val="none"/>
              </w:rPr>
              <w:t>其中</w:t>
            </w:r>
          </w:p>
        </w:tc>
        <w:tc>
          <w:tcPr>
            <w:tcW w:w="2404" w:type="dxa"/>
            <w:gridSpan w:val="2"/>
          </w:tcPr>
          <w:p>
            <w:pPr>
              <w:pStyle w:val="65"/>
              <w:spacing w:before="66"/>
              <w:ind w:left="130" w:right="122"/>
              <w:jc w:val="center"/>
              <w:rPr>
                <w:color w:val="auto"/>
                <w:sz w:val="21"/>
                <w:highlight w:val="none"/>
              </w:rPr>
            </w:pPr>
            <w:r>
              <w:rPr>
                <w:color w:val="auto"/>
                <w:sz w:val="21"/>
                <w:highlight w:val="none"/>
              </w:rPr>
              <w:t>建筑设计</w:t>
            </w:r>
          </w:p>
          <w:p>
            <w:pPr>
              <w:pStyle w:val="65"/>
              <w:spacing w:before="31"/>
              <w:ind w:left="130" w:right="124"/>
              <w:jc w:val="center"/>
              <w:rPr>
                <w:color w:val="auto"/>
                <w:sz w:val="21"/>
                <w:highlight w:val="none"/>
                <w:lang w:eastAsia="zh-CN"/>
              </w:rPr>
            </w:pPr>
            <w:r>
              <w:rPr>
                <w:color w:val="auto"/>
                <w:sz w:val="21"/>
                <w:highlight w:val="none"/>
                <w:lang w:eastAsia="zh-CN"/>
              </w:rPr>
              <w:t>（方案至施工图设计）</w:t>
            </w:r>
          </w:p>
        </w:tc>
        <w:tc>
          <w:tcPr>
            <w:tcW w:w="1755" w:type="dxa"/>
          </w:tcPr>
          <w:p>
            <w:pPr>
              <w:pStyle w:val="65"/>
              <w:ind w:left="224" w:right="215"/>
              <w:jc w:val="center"/>
              <w:rPr>
                <w:color w:val="auto"/>
                <w:sz w:val="21"/>
                <w:highlight w:val="none"/>
                <w:lang w:eastAsia="zh-CN"/>
              </w:rPr>
            </w:pPr>
          </w:p>
        </w:tc>
        <w:tc>
          <w:tcPr>
            <w:tcW w:w="2216" w:type="dxa"/>
          </w:tcPr>
          <w:p>
            <w:pPr>
              <w:pStyle w:val="65"/>
              <w:rPr>
                <w:rFonts w:ascii="Times New Roman"/>
                <w:color w:val="auto"/>
                <w:sz w:val="20"/>
                <w:highlight w:val="none"/>
                <w:lang w:eastAsia="zh-CN"/>
              </w:rPr>
            </w:pPr>
          </w:p>
        </w:tc>
        <w:tc>
          <w:tcPr>
            <w:tcW w:w="1668" w:type="dxa"/>
          </w:tcPr>
          <w:p>
            <w:pPr>
              <w:pStyle w:val="65"/>
              <w:rPr>
                <w:rFonts w:ascii="Times New Roman"/>
                <w:color w:val="auto"/>
                <w:sz w:val="2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87" w:type="dxa"/>
            <w:vMerge w:val="continue"/>
            <w:tcBorders>
              <w:top w:val="nil"/>
            </w:tcBorders>
          </w:tcPr>
          <w:p>
            <w:pPr>
              <w:rPr>
                <w:color w:val="auto"/>
                <w:sz w:val="2"/>
                <w:szCs w:val="2"/>
                <w:highlight w:val="none"/>
                <w:lang w:eastAsia="zh-CN"/>
              </w:rPr>
            </w:pPr>
          </w:p>
        </w:tc>
        <w:tc>
          <w:tcPr>
            <w:tcW w:w="938" w:type="dxa"/>
            <w:vMerge w:val="restart"/>
          </w:tcPr>
          <w:p>
            <w:pPr>
              <w:pStyle w:val="65"/>
              <w:spacing w:before="6"/>
              <w:rPr>
                <w:b/>
                <w:color w:val="auto"/>
                <w:sz w:val="21"/>
                <w:highlight w:val="none"/>
                <w:lang w:eastAsia="zh-CN"/>
              </w:rPr>
            </w:pPr>
          </w:p>
          <w:p>
            <w:pPr>
              <w:pStyle w:val="65"/>
              <w:spacing w:line="357" w:lineRule="auto"/>
              <w:ind w:left="259" w:right="143" w:hanging="106"/>
              <w:rPr>
                <w:color w:val="auto"/>
                <w:sz w:val="21"/>
                <w:highlight w:val="none"/>
              </w:rPr>
            </w:pPr>
            <w:r>
              <w:rPr>
                <w:color w:val="auto"/>
                <w:sz w:val="21"/>
                <w:highlight w:val="none"/>
              </w:rPr>
              <w:t>精装修设计</w:t>
            </w:r>
          </w:p>
        </w:tc>
        <w:tc>
          <w:tcPr>
            <w:tcW w:w="1466" w:type="dxa"/>
          </w:tcPr>
          <w:p>
            <w:pPr>
              <w:pStyle w:val="65"/>
              <w:spacing w:before="64"/>
              <w:ind w:left="291" w:right="283"/>
              <w:jc w:val="center"/>
              <w:rPr>
                <w:color w:val="auto"/>
                <w:sz w:val="21"/>
                <w:highlight w:val="none"/>
              </w:rPr>
            </w:pPr>
            <w:r>
              <w:rPr>
                <w:color w:val="auto"/>
                <w:sz w:val="21"/>
                <w:highlight w:val="none"/>
              </w:rPr>
              <w:t>售楼处</w:t>
            </w:r>
          </w:p>
        </w:tc>
        <w:tc>
          <w:tcPr>
            <w:tcW w:w="1755" w:type="dxa"/>
          </w:tcPr>
          <w:p>
            <w:pPr>
              <w:pStyle w:val="65"/>
              <w:spacing w:before="64"/>
              <w:ind w:left="224" w:right="217"/>
              <w:jc w:val="center"/>
              <w:rPr>
                <w:color w:val="auto"/>
                <w:sz w:val="21"/>
                <w:highlight w:val="none"/>
              </w:rPr>
            </w:pPr>
          </w:p>
        </w:tc>
        <w:tc>
          <w:tcPr>
            <w:tcW w:w="2216" w:type="dxa"/>
          </w:tcPr>
          <w:p>
            <w:pPr>
              <w:pStyle w:val="65"/>
              <w:rPr>
                <w:rFonts w:ascii="Times New Roman"/>
                <w:color w:val="auto"/>
                <w:sz w:val="20"/>
                <w:highlight w:val="none"/>
              </w:rPr>
            </w:pPr>
          </w:p>
        </w:tc>
        <w:tc>
          <w:tcPr>
            <w:tcW w:w="1668" w:type="dxa"/>
          </w:tcPr>
          <w:p>
            <w:pPr>
              <w:pStyle w:val="6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87" w:type="dxa"/>
            <w:vMerge w:val="continue"/>
            <w:tcBorders>
              <w:top w:val="nil"/>
            </w:tcBorders>
          </w:tcPr>
          <w:p>
            <w:pPr>
              <w:rPr>
                <w:color w:val="auto"/>
                <w:sz w:val="2"/>
                <w:szCs w:val="2"/>
                <w:highlight w:val="none"/>
              </w:rPr>
            </w:pPr>
          </w:p>
        </w:tc>
        <w:tc>
          <w:tcPr>
            <w:tcW w:w="938" w:type="dxa"/>
            <w:vMerge w:val="continue"/>
            <w:tcBorders>
              <w:top w:val="nil"/>
            </w:tcBorders>
          </w:tcPr>
          <w:p>
            <w:pPr>
              <w:rPr>
                <w:color w:val="auto"/>
                <w:sz w:val="2"/>
                <w:szCs w:val="2"/>
                <w:highlight w:val="none"/>
              </w:rPr>
            </w:pPr>
          </w:p>
        </w:tc>
        <w:tc>
          <w:tcPr>
            <w:tcW w:w="1466" w:type="dxa"/>
          </w:tcPr>
          <w:p>
            <w:pPr>
              <w:pStyle w:val="65"/>
              <w:spacing w:before="64"/>
              <w:ind w:left="291" w:right="283"/>
              <w:jc w:val="center"/>
              <w:rPr>
                <w:color w:val="auto"/>
                <w:sz w:val="21"/>
                <w:highlight w:val="none"/>
              </w:rPr>
            </w:pPr>
            <w:r>
              <w:rPr>
                <w:color w:val="auto"/>
                <w:sz w:val="21"/>
                <w:highlight w:val="none"/>
              </w:rPr>
              <w:t>样板房</w:t>
            </w:r>
          </w:p>
        </w:tc>
        <w:tc>
          <w:tcPr>
            <w:tcW w:w="1755" w:type="dxa"/>
          </w:tcPr>
          <w:p>
            <w:pPr>
              <w:pStyle w:val="65"/>
              <w:spacing w:before="64"/>
              <w:ind w:left="224" w:right="212"/>
              <w:jc w:val="center"/>
              <w:rPr>
                <w:color w:val="auto"/>
                <w:sz w:val="21"/>
                <w:highlight w:val="none"/>
              </w:rPr>
            </w:pPr>
          </w:p>
        </w:tc>
        <w:tc>
          <w:tcPr>
            <w:tcW w:w="2216" w:type="dxa"/>
          </w:tcPr>
          <w:p>
            <w:pPr>
              <w:pStyle w:val="65"/>
              <w:rPr>
                <w:rFonts w:ascii="Times New Roman"/>
                <w:color w:val="auto"/>
                <w:sz w:val="20"/>
                <w:highlight w:val="none"/>
              </w:rPr>
            </w:pPr>
          </w:p>
        </w:tc>
        <w:tc>
          <w:tcPr>
            <w:tcW w:w="1668" w:type="dxa"/>
          </w:tcPr>
          <w:p>
            <w:pPr>
              <w:pStyle w:val="6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687" w:type="dxa"/>
            <w:vMerge w:val="continue"/>
            <w:tcBorders>
              <w:top w:val="nil"/>
            </w:tcBorders>
          </w:tcPr>
          <w:p>
            <w:pPr>
              <w:rPr>
                <w:color w:val="auto"/>
                <w:sz w:val="2"/>
                <w:szCs w:val="2"/>
                <w:highlight w:val="none"/>
              </w:rPr>
            </w:pPr>
          </w:p>
        </w:tc>
        <w:tc>
          <w:tcPr>
            <w:tcW w:w="938" w:type="dxa"/>
            <w:vMerge w:val="continue"/>
            <w:tcBorders>
              <w:top w:val="nil"/>
            </w:tcBorders>
          </w:tcPr>
          <w:p>
            <w:pPr>
              <w:rPr>
                <w:color w:val="auto"/>
                <w:sz w:val="2"/>
                <w:szCs w:val="2"/>
                <w:highlight w:val="none"/>
              </w:rPr>
            </w:pPr>
          </w:p>
        </w:tc>
        <w:tc>
          <w:tcPr>
            <w:tcW w:w="1466" w:type="dxa"/>
          </w:tcPr>
          <w:p>
            <w:pPr>
              <w:pStyle w:val="65"/>
              <w:spacing w:before="65"/>
              <w:ind w:left="291" w:right="285"/>
              <w:jc w:val="center"/>
              <w:rPr>
                <w:color w:val="auto"/>
                <w:sz w:val="21"/>
                <w:highlight w:val="none"/>
              </w:rPr>
            </w:pPr>
            <w:r>
              <w:rPr>
                <w:color w:val="auto"/>
                <w:sz w:val="21"/>
                <w:highlight w:val="none"/>
              </w:rPr>
              <w:t>其他公区</w:t>
            </w:r>
          </w:p>
        </w:tc>
        <w:tc>
          <w:tcPr>
            <w:tcW w:w="1755" w:type="dxa"/>
          </w:tcPr>
          <w:p>
            <w:pPr>
              <w:pStyle w:val="65"/>
              <w:spacing w:before="65"/>
              <w:ind w:left="224" w:right="217"/>
              <w:jc w:val="center"/>
              <w:rPr>
                <w:color w:val="auto"/>
                <w:sz w:val="21"/>
                <w:highlight w:val="none"/>
              </w:rPr>
            </w:pPr>
          </w:p>
        </w:tc>
        <w:tc>
          <w:tcPr>
            <w:tcW w:w="2216" w:type="dxa"/>
          </w:tcPr>
          <w:p>
            <w:pPr>
              <w:pStyle w:val="65"/>
              <w:rPr>
                <w:rFonts w:ascii="Times New Roman"/>
                <w:color w:val="auto"/>
                <w:sz w:val="20"/>
                <w:highlight w:val="none"/>
              </w:rPr>
            </w:pPr>
          </w:p>
        </w:tc>
        <w:tc>
          <w:tcPr>
            <w:tcW w:w="1668" w:type="dxa"/>
          </w:tcPr>
          <w:p>
            <w:pPr>
              <w:pStyle w:val="6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87" w:type="dxa"/>
            <w:vMerge w:val="continue"/>
            <w:tcBorders>
              <w:top w:val="nil"/>
            </w:tcBorders>
          </w:tcPr>
          <w:p>
            <w:pPr>
              <w:rPr>
                <w:color w:val="auto"/>
                <w:sz w:val="2"/>
                <w:szCs w:val="2"/>
                <w:highlight w:val="none"/>
              </w:rPr>
            </w:pPr>
          </w:p>
        </w:tc>
        <w:tc>
          <w:tcPr>
            <w:tcW w:w="2404" w:type="dxa"/>
            <w:gridSpan w:val="2"/>
          </w:tcPr>
          <w:p>
            <w:pPr>
              <w:pStyle w:val="65"/>
              <w:spacing w:before="65"/>
              <w:ind w:left="650"/>
              <w:rPr>
                <w:color w:val="auto"/>
                <w:sz w:val="21"/>
                <w:highlight w:val="none"/>
              </w:rPr>
            </w:pPr>
            <w:r>
              <w:rPr>
                <w:rFonts w:hint="eastAsia" w:ascii="Times New Roman" w:hAnsi="Times New Roman"/>
                <w:color w:val="auto"/>
                <w:sz w:val="21"/>
                <w:highlight w:val="none"/>
                <w:lang w:eastAsia="zh-CN"/>
              </w:rPr>
              <w:t>PC</w:t>
            </w:r>
            <w:r>
              <w:rPr>
                <w:color w:val="auto"/>
                <w:sz w:val="21"/>
                <w:highlight w:val="none"/>
              </w:rPr>
              <w:t xml:space="preserve"> 深化设计</w:t>
            </w:r>
          </w:p>
        </w:tc>
        <w:tc>
          <w:tcPr>
            <w:tcW w:w="1755" w:type="dxa"/>
          </w:tcPr>
          <w:p>
            <w:pPr>
              <w:pStyle w:val="65"/>
              <w:spacing w:before="65"/>
              <w:ind w:left="224" w:right="215"/>
              <w:jc w:val="center"/>
              <w:rPr>
                <w:color w:val="auto"/>
                <w:sz w:val="21"/>
                <w:highlight w:val="none"/>
              </w:rPr>
            </w:pPr>
          </w:p>
        </w:tc>
        <w:tc>
          <w:tcPr>
            <w:tcW w:w="2216" w:type="dxa"/>
          </w:tcPr>
          <w:p>
            <w:pPr>
              <w:pStyle w:val="65"/>
              <w:rPr>
                <w:rFonts w:ascii="Times New Roman"/>
                <w:color w:val="auto"/>
                <w:sz w:val="20"/>
                <w:highlight w:val="none"/>
              </w:rPr>
            </w:pPr>
          </w:p>
        </w:tc>
        <w:tc>
          <w:tcPr>
            <w:tcW w:w="1668" w:type="dxa"/>
          </w:tcPr>
          <w:p>
            <w:pPr>
              <w:pStyle w:val="6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87" w:type="dxa"/>
            <w:vMerge w:val="continue"/>
            <w:tcBorders>
              <w:top w:val="nil"/>
            </w:tcBorders>
          </w:tcPr>
          <w:p>
            <w:pPr>
              <w:rPr>
                <w:color w:val="auto"/>
                <w:sz w:val="2"/>
                <w:szCs w:val="2"/>
                <w:highlight w:val="none"/>
              </w:rPr>
            </w:pPr>
          </w:p>
        </w:tc>
        <w:tc>
          <w:tcPr>
            <w:tcW w:w="2404" w:type="dxa"/>
            <w:gridSpan w:val="2"/>
          </w:tcPr>
          <w:p>
            <w:pPr>
              <w:pStyle w:val="65"/>
              <w:spacing w:before="65"/>
              <w:ind w:left="782"/>
              <w:rPr>
                <w:color w:val="auto"/>
                <w:sz w:val="21"/>
                <w:highlight w:val="none"/>
              </w:rPr>
            </w:pPr>
            <w:r>
              <w:rPr>
                <w:color w:val="auto"/>
                <w:sz w:val="21"/>
                <w:highlight w:val="none"/>
              </w:rPr>
              <w:t>景观设计</w:t>
            </w:r>
          </w:p>
        </w:tc>
        <w:tc>
          <w:tcPr>
            <w:tcW w:w="1755" w:type="dxa"/>
          </w:tcPr>
          <w:p>
            <w:pPr>
              <w:pStyle w:val="65"/>
              <w:spacing w:before="65"/>
              <w:ind w:left="7"/>
              <w:jc w:val="center"/>
              <w:rPr>
                <w:color w:val="auto"/>
                <w:sz w:val="21"/>
                <w:highlight w:val="none"/>
              </w:rPr>
            </w:pPr>
          </w:p>
        </w:tc>
        <w:tc>
          <w:tcPr>
            <w:tcW w:w="2216" w:type="dxa"/>
          </w:tcPr>
          <w:p>
            <w:pPr>
              <w:pStyle w:val="65"/>
              <w:rPr>
                <w:rFonts w:ascii="Times New Roman"/>
                <w:color w:val="auto"/>
                <w:sz w:val="20"/>
                <w:highlight w:val="none"/>
              </w:rPr>
            </w:pPr>
          </w:p>
        </w:tc>
        <w:tc>
          <w:tcPr>
            <w:tcW w:w="1668" w:type="dxa"/>
          </w:tcPr>
          <w:p>
            <w:pPr>
              <w:pStyle w:val="6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87" w:type="dxa"/>
            <w:vMerge w:val="continue"/>
            <w:tcBorders>
              <w:top w:val="nil"/>
            </w:tcBorders>
          </w:tcPr>
          <w:p>
            <w:pPr>
              <w:rPr>
                <w:color w:val="auto"/>
                <w:sz w:val="2"/>
                <w:szCs w:val="2"/>
                <w:highlight w:val="none"/>
              </w:rPr>
            </w:pPr>
          </w:p>
        </w:tc>
        <w:tc>
          <w:tcPr>
            <w:tcW w:w="2404" w:type="dxa"/>
            <w:gridSpan w:val="2"/>
          </w:tcPr>
          <w:p>
            <w:pPr>
              <w:pStyle w:val="65"/>
              <w:spacing w:before="66"/>
              <w:ind w:left="571"/>
              <w:rPr>
                <w:color w:val="auto"/>
                <w:sz w:val="21"/>
                <w:highlight w:val="none"/>
              </w:rPr>
            </w:pPr>
            <w:r>
              <w:rPr>
                <w:color w:val="auto"/>
                <w:sz w:val="21"/>
                <w:highlight w:val="none"/>
              </w:rPr>
              <w:t>其他专项设计</w:t>
            </w:r>
          </w:p>
        </w:tc>
        <w:tc>
          <w:tcPr>
            <w:tcW w:w="1755" w:type="dxa"/>
          </w:tcPr>
          <w:p>
            <w:pPr>
              <w:pStyle w:val="65"/>
              <w:spacing w:before="66"/>
              <w:ind w:left="7"/>
              <w:jc w:val="center"/>
              <w:rPr>
                <w:color w:val="auto"/>
                <w:sz w:val="21"/>
                <w:highlight w:val="none"/>
              </w:rPr>
            </w:pPr>
            <w:r>
              <w:rPr>
                <w:color w:val="auto"/>
                <w:w w:val="99"/>
                <w:sz w:val="21"/>
                <w:highlight w:val="none"/>
              </w:rPr>
              <w:t>/</w:t>
            </w:r>
          </w:p>
        </w:tc>
        <w:tc>
          <w:tcPr>
            <w:tcW w:w="2216" w:type="dxa"/>
          </w:tcPr>
          <w:p>
            <w:pPr>
              <w:pStyle w:val="65"/>
              <w:rPr>
                <w:rFonts w:ascii="Times New Roman"/>
                <w:color w:val="auto"/>
                <w:sz w:val="20"/>
                <w:highlight w:val="none"/>
              </w:rPr>
            </w:pPr>
          </w:p>
        </w:tc>
        <w:tc>
          <w:tcPr>
            <w:tcW w:w="1668" w:type="dxa"/>
          </w:tcPr>
          <w:p>
            <w:pPr>
              <w:pStyle w:val="65"/>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9" w:hRule="atLeast"/>
        </w:trPr>
        <w:tc>
          <w:tcPr>
            <w:tcW w:w="8730" w:type="dxa"/>
            <w:gridSpan w:val="6"/>
          </w:tcPr>
          <w:p>
            <w:pPr>
              <w:pStyle w:val="65"/>
              <w:spacing w:before="109"/>
              <w:ind w:left="108"/>
              <w:rPr>
                <w:rFonts w:hint="eastAsia" w:ascii="华文细黑" w:hAnsi="华文细黑" w:eastAsia="华文细黑" w:cs="华文细黑"/>
                <w:color w:val="auto"/>
                <w:sz w:val="21"/>
                <w:highlight w:val="none"/>
              </w:rPr>
            </w:pPr>
            <w:r>
              <w:rPr>
                <w:rFonts w:hint="eastAsia" w:ascii="华文细黑" w:hAnsi="华文细黑" w:eastAsia="华文细黑" w:cs="华文细黑"/>
                <w:color w:val="auto"/>
                <w:sz w:val="21"/>
                <w:highlight w:val="none"/>
              </w:rPr>
              <w:t>说明：</w:t>
            </w:r>
          </w:p>
          <w:p>
            <w:pPr>
              <w:pStyle w:val="65"/>
              <w:numPr>
                <w:ilvl w:val="0"/>
                <w:numId w:val="0"/>
              </w:numPr>
              <w:tabs>
                <w:tab w:val="left" w:pos="633"/>
                <w:tab w:val="left" w:pos="3991"/>
              </w:tabs>
              <w:spacing w:before="132"/>
              <w:ind w:left="632" w:leftChars="0" w:hanging="525" w:firstLineChars="0"/>
              <w:rPr>
                <w:rFonts w:hint="eastAsia" w:ascii="华文细黑" w:hAnsi="华文细黑" w:eastAsia="华文细黑" w:cs="华文细黑"/>
                <w:color w:val="auto"/>
                <w:sz w:val="21"/>
                <w:szCs w:val="21"/>
                <w:highlight w:val="none"/>
                <w:lang w:eastAsia="zh-CN"/>
              </w:rPr>
            </w:pPr>
            <w:r>
              <w:rPr>
                <w:rFonts w:hint="eastAsia" w:ascii="华文细黑" w:hAnsi="华文细黑" w:eastAsia="华文细黑" w:cs="华文细黑"/>
                <w:color w:val="auto"/>
                <w:spacing w:val="-1"/>
                <w:w w:val="99"/>
                <w:kern w:val="0"/>
                <w:sz w:val="21"/>
                <w:szCs w:val="21"/>
                <w:highlight w:val="none"/>
                <w:lang w:val="en-US" w:eastAsia="zh-CN" w:bidi="ar-SA"/>
              </w:rPr>
              <w:t>（1）</w:t>
            </w:r>
            <w:r>
              <w:rPr>
                <w:rFonts w:hint="eastAsia" w:ascii="华文细黑" w:hAnsi="华文细黑" w:eastAsia="华文细黑" w:cs="华文细黑"/>
                <w:color w:val="auto"/>
                <w:sz w:val="21"/>
                <w:szCs w:val="21"/>
                <w:highlight w:val="none"/>
                <w:lang w:eastAsia="zh-CN"/>
              </w:rPr>
              <w:t>本项目设计范围为</w:t>
            </w:r>
            <w:r>
              <w:rPr>
                <w:rFonts w:hint="eastAsia" w:ascii="华文细黑" w:hAnsi="华文细黑" w:eastAsia="华文细黑" w:cs="华文细黑"/>
                <w:color w:val="auto"/>
                <w:sz w:val="21"/>
                <w:szCs w:val="21"/>
                <w:highlight w:val="none"/>
                <w:u w:val="single"/>
                <w:lang w:eastAsia="zh-CN"/>
              </w:rPr>
              <w:t xml:space="preserve"> </w:t>
            </w:r>
            <w:r>
              <w:rPr>
                <w:rFonts w:hint="eastAsia" w:ascii="华文细黑" w:hAnsi="华文细黑" w:eastAsia="华文细黑" w:cs="华文细黑"/>
                <w:color w:val="auto"/>
                <w:sz w:val="21"/>
                <w:szCs w:val="21"/>
                <w:highlight w:val="none"/>
                <w:u w:val="single"/>
                <w:lang w:eastAsia="zh-CN"/>
              </w:rPr>
              <w:tab/>
            </w:r>
            <w:r>
              <w:rPr>
                <w:rFonts w:hint="eastAsia" w:ascii="华文细黑" w:hAnsi="华文细黑" w:eastAsia="华文细黑" w:cs="华文细黑"/>
                <w:color w:val="auto"/>
                <w:sz w:val="21"/>
                <w:szCs w:val="21"/>
                <w:highlight w:val="none"/>
                <w:lang w:eastAsia="zh-CN"/>
              </w:rPr>
              <w:t>项目设计总包及基于相关专利的咨询和技术服务。</w:t>
            </w:r>
          </w:p>
          <w:p>
            <w:pPr>
              <w:pStyle w:val="65"/>
              <w:numPr>
                <w:ilvl w:val="0"/>
                <w:numId w:val="0"/>
              </w:numPr>
              <w:tabs>
                <w:tab w:val="left" w:pos="633"/>
              </w:tabs>
              <w:spacing w:before="132" w:line="357" w:lineRule="auto"/>
              <w:ind w:left="108" w:leftChars="0" w:right="104" w:rightChars="0" w:firstLine="0" w:firstLineChars="0"/>
              <w:rPr>
                <w:rFonts w:hint="eastAsia" w:ascii="华文细黑" w:hAnsi="华文细黑" w:eastAsia="华文细黑" w:cs="华文细黑"/>
                <w:color w:val="auto"/>
                <w:sz w:val="21"/>
                <w:szCs w:val="21"/>
                <w:highlight w:val="none"/>
                <w:lang w:eastAsia="zh-CN"/>
              </w:rPr>
            </w:pPr>
            <w:r>
              <w:rPr>
                <w:rFonts w:hint="eastAsia" w:ascii="华文细黑" w:hAnsi="华文细黑" w:eastAsia="华文细黑" w:cs="华文细黑"/>
                <w:color w:val="auto"/>
                <w:spacing w:val="-1"/>
                <w:w w:val="99"/>
                <w:kern w:val="0"/>
                <w:sz w:val="21"/>
                <w:szCs w:val="21"/>
                <w:highlight w:val="none"/>
                <w:lang w:val="en-US" w:eastAsia="zh-CN" w:bidi="ar-SA"/>
              </w:rPr>
              <w:t>（2）</w:t>
            </w:r>
            <w:r>
              <w:rPr>
                <w:rFonts w:hint="eastAsia" w:ascii="华文细黑" w:hAnsi="华文细黑" w:eastAsia="华文细黑" w:cs="华文细黑"/>
                <w:color w:val="auto"/>
                <w:w w:val="95"/>
                <w:sz w:val="21"/>
                <w:szCs w:val="21"/>
                <w:highlight w:val="none"/>
                <w:lang w:eastAsia="zh-CN"/>
              </w:rPr>
              <w:t xml:space="preserve">专项设计包括：精装修设计、景观设计、幕墙门窗深化设计、人防设计、基坑围护、PC  </w:t>
            </w:r>
            <w:r>
              <w:rPr>
                <w:rFonts w:hint="eastAsia" w:ascii="华文细黑" w:hAnsi="华文细黑" w:eastAsia="华文细黑" w:cs="华文细黑"/>
                <w:color w:val="auto"/>
                <w:sz w:val="21"/>
                <w:szCs w:val="21"/>
                <w:highlight w:val="none"/>
                <w:lang w:eastAsia="zh-CN"/>
              </w:rPr>
              <w:t>深化设计、钢结构设计（如有）、抗震支架及抗震设计审查（如有）、弱电智能化设计、室外管线及综合设计、BIM</w:t>
            </w:r>
            <w:r>
              <w:rPr>
                <w:rFonts w:hint="eastAsia" w:ascii="华文细黑" w:hAnsi="华文细黑" w:eastAsia="华文细黑" w:cs="华文细黑"/>
                <w:color w:val="auto"/>
                <w:spacing w:val="-8"/>
                <w:sz w:val="21"/>
                <w:szCs w:val="21"/>
                <w:highlight w:val="none"/>
                <w:lang w:eastAsia="zh-CN"/>
              </w:rPr>
              <w:t xml:space="preserve"> 设计、设计概算、泛光照明设计、标识标牌设计</w:t>
            </w:r>
            <w:r>
              <w:rPr>
                <w:rFonts w:hint="eastAsia" w:ascii="华文细黑" w:hAnsi="华文细黑" w:eastAsia="华文细黑" w:cs="华文细黑"/>
                <w:color w:val="auto"/>
                <w:sz w:val="21"/>
                <w:szCs w:val="21"/>
                <w:highlight w:val="none"/>
                <w:lang w:eastAsia="zh-CN"/>
              </w:rPr>
              <w:t>（含地库划线）、海绵城市设计、绿色建筑设计及环评、交评、能评、日照分析报告等。</w:t>
            </w:r>
          </w:p>
          <w:p>
            <w:pPr>
              <w:pStyle w:val="65"/>
              <w:numPr>
                <w:ilvl w:val="0"/>
                <w:numId w:val="0"/>
              </w:numPr>
              <w:tabs>
                <w:tab w:val="left" w:pos="633"/>
              </w:tabs>
              <w:spacing w:line="357" w:lineRule="auto"/>
              <w:ind w:left="108" w:leftChars="0" w:right="106" w:rightChars="0" w:firstLine="0" w:firstLineChars="0"/>
              <w:rPr>
                <w:rFonts w:hint="eastAsia" w:ascii="华文细黑" w:hAnsi="华文细黑" w:eastAsia="华文细黑" w:cs="华文细黑"/>
                <w:color w:val="auto"/>
                <w:sz w:val="21"/>
                <w:szCs w:val="21"/>
                <w:highlight w:val="none"/>
                <w:lang w:eastAsia="zh-CN"/>
              </w:rPr>
            </w:pPr>
            <w:r>
              <w:rPr>
                <w:rFonts w:hint="eastAsia" w:ascii="华文细黑" w:hAnsi="华文细黑" w:eastAsia="华文细黑" w:cs="华文细黑"/>
                <w:color w:val="auto"/>
                <w:spacing w:val="-1"/>
                <w:w w:val="99"/>
                <w:kern w:val="0"/>
                <w:sz w:val="21"/>
                <w:szCs w:val="21"/>
                <w:highlight w:val="none"/>
                <w:lang w:val="en-US" w:eastAsia="zh-CN" w:bidi="ar-SA"/>
              </w:rPr>
              <w:t>（3）</w:t>
            </w:r>
            <w:r>
              <w:rPr>
                <w:rFonts w:hint="eastAsia" w:ascii="华文细黑" w:hAnsi="华文细黑" w:eastAsia="华文细黑" w:cs="华文细黑"/>
                <w:color w:val="auto"/>
                <w:w w:val="95"/>
                <w:sz w:val="21"/>
                <w:szCs w:val="21"/>
                <w:highlight w:val="none"/>
                <w:lang w:eastAsia="zh-CN"/>
              </w:rPr>
              <w:t xml:space="preserve">专项设计不包含：勘察设计、项目能源规划、公用变电站、换热站、红线外道路设计、  </w:t>
            </w:r>
            <w:r>
              <w:rPr>
                <w:rFonts w:hint="eastAsia" w:ascii="华文细黑" w:hAnsi="华文细黑" w:eastAsia="华文细黑" w:cs="华文细黑"/>
                <w:color w:val="auto"/>
                <w:sz w:val="21"/>
                <w:szCs w:val="21"/>
                <w:highlight w:val="none"/>
                <w:lang w:eastAsia="zh-CN"/>
              </w:rPr>
              <w:t>施工图预算、竣工图编制等，以及当地行业主管部门有特殊要求的设计内容（如自来水、电力、</w:t>
            </w:r>
            <w:r>
              <w:rPr>
                <w:rFonts w:hint="eastAsia" w:ascii="华文细黑" w:hAnsi="华文细黑" w:eastAsia="华文细黑" w:cs="华文细黑"/>
                <w:color w:val="auto"/>
                <w:sz w:val="21"/>
                <w:szCs w:val="21"/>
                <w:highlight w:val="none"/>
                <w:lang w:val="en-US" w:eastAsia="zh-CN"/>
              </w:rPr>
              <w:t>燃气、</w:t>
            </w:r>
            <w:r>
              <w:rPr>
                <w:rFonts w:hint="eastAsia" w:ascii="华文细黑" w:hAnsi="华文细黑" w:eastAsia="华文细黑" w:cs="华文细黑"/>
                <w:color w:val="auto"/>
                <w:sz w:val="21"/>
                <w:szCs w:val="21"/>
                <w:highlight w:val="none"/>
                <w:lang w:eastAsia="zh-CN"/>
              </w:rPr>
              <w:t>通讯、数字电视配线等）。除（3）专项设计的工作不含在本合同的服务范围内 外，其余专项设计均包含在本合同服务范围内。</w:t>
            </w:r>
          </w:p>
          <w:p>
            <w:pPr>
              <w:pStyle w:val="65"/>
              <w:numPr>
                <w:ilvl w:val="0"/>
                <w:numId w:val="0"/>
              </w:numPr>
              <w:tabs>
                <w:tab w:val="left" w:pos="633"/>
              </w:tabs>
              <w:spacing w:line="357" w:lineRule="auto"/>
              <w:ind w:left="108" w:leftChars="0" w:right="106" w:rightChars="0" w:firstLine="0" w:firstLineChars="0"/>
              <w:rPr>
                <w:color w:val="auto"/>
                <w:sz w:val="21"/>
                <w:highlight w:val="none"/>
              </w:rPr>
            </w:pPr>
            <w:r>
              <w:rPr>
                <w:rFonts w:hint="eastAsia" w:ascii="华文细黑" w:hAnsi="华文细黑" w:eastAsia="华文细黑" w:cs="华文细黑"/>
                <w:color w:val="auto"/>
                <w:spacing w:val="-1"/>
                <w:w w:val="99"/>
                <w:kern w:val="0"/>
                <w:sz w:val="21"/>
                <w:szCs w:val="21"/>
                <w:highlight w:val="none"/>
                <w:lang w:val="en-US" w:eastAsia="zh-CN" w:bidi="ar-SA"/>
              </w:rPr>
              <w:t>（4）</w:t>
            </w:r>
            <w:r>
              <w:rPr>
                <w:rFonts w:hint="eastAsia" w:ascii="华文细黑" w:hAnsi="华文细黑" w:eastAsia="华文细黑" w:cs="华文细黑"/>
                <w:color w:val="auto"/>
                <w:w w:val="95"/>
                <w:sz w:val="21"/>
                <w:szCs w:val="21"/>
                <w:highlight w:val="none"/>
                <w:lang w:eastAsia="zh-CN"/>
              </w:rPr>
              <w:t>关于设计费的结算：本项目总包设计费为暂定，实际总包设计费用根据规划许可证正本核准的</w:t>
            </w:r>
            <w:r>
              <w:rPr>
                <w:rFonts w:hint="eastAsia" w:ascii="华文细黑" w:hAnsi="华文细黑" w:eastAsia="华文细黑" w:cs="华文细黑"/>
                <w:color w:val="auto"/>
                <w:sz w:val="21"/>
                <w:szCs w:val="21"/>
                <w:highlight w:val="none"/>
                <w:lang w:eastAsia="zh-CN"/>
              </w:rPr>
              <w:t>建筑面积（包含地上和地下建筑面积）及建筑设计综合单价结算建筑设计费总价；精装修设计、PC</w:t>
            </w:r>
            <w:r>
              <w:rPr>
                <w:rFonts w:hint="eastAsia" w:ascii="华文细黑" w:hAnsi="华文细黑" w:eastAsia="华文细黑" w:cs="华文细黑"/>
                <w:color w:val="auto"/>
                <w:spacing w:val="-8"/>
                <w:sz w:val="21"/>
                <w:szCs w:val="21"/>
                <w:highlight w:val="none"/>
                <w:lang w:eastAsia="zh-CN"/>
              </w:rPr>
              <w:t xml:space="preserve"> 深化设计根据实际设计面积据实结算；景观及其他专项设计为包干价，不再按实结</w:t>
            </w:r>
            <w:r>
              <w:rPr>
                <w:rFonts w:hint="eastAsia" w:ascii="华文细黑" w:hAnsi="华文细黑" w:eastAsia="华文细黑" w:cs="华文细黑"/>
                <w:color w:val="auto"/>
                <w:sz w:val="21"/>
                <w:szCs w:val="21"/>
                <w:highlight w:val="none"/>
              </w:rPr>
              <w:t>算。</w:t>
            </w:r>
          </w:p>
        </w:tc>
      </w:tr>
    </w:tbl>
    <w:p>
      <w:pPr>
        <w:spacing w:line="360" w:lineRule="auto"/>
        <w:rPr>
          <w:color w:val="auto"/>
          <w:highlight w:val="none"/>
        </w:rPr>
      </w:pPr>
    </w:p>
    <w:p>
      <w:pPr>
        <w:spacing w:line="360" w:lineRule="auto"/>
        <w:rPr>
          <w:color w:val="auto"/>
          <w:highlight w:val="none"/>
        </w:rPr>
      </w:pPr>
    </w:p>
    <w:p>
      <w:pPr>
        <w:spacing w:line="360" w:lineRule="auto"/>
        <w:jc w:val="right"/>
        <w:rPr>
          <w:rFonts w:hint="eastAsia" w:ascii="宋体" w:hAnsi="宋体" w:cs="宋体"/>
          <w:bCs w:val="0"/>
          <w:color w:val="auto"/>
          <w:kern w:val="2"/>
          <w:sz w:val="32"/>
          <w:szCs w:val="32"/>
          <w:highlight w:val="none"/>
          <w:lang w:val="en-US" w:eastAsia="zh-CN"/>
        </w:rPr>
      </w:pPr>
      <w:bookmarkStart w:id="205" w:name="_Toc109304978"/>
      <w:r>
        <w:rPr>
          <w:rFonts w:hint="eastAsia" w:asciiTheme="minorEastAsia" w:hAnsiTheme="minorEastAsia" w:eastAsiaTheme="minorEastAsia"/>
          <w:color w:val="auto"/>
          <w:szCs w:val="21"/>
          <w:highlight w:val="none"/>
        </w:rPr>
        <w:t xml:space="preserve">日期：  </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年</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月</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日</w:t>
      </w:r>
    </w:p>
    <w:p>
      <w:pPr>
        <w:pStyle w:val="8"/>
        <w:spacing w:line="360" w:lineRule="auto"/>
        <w:jc w:val="center"/>
        <w:rPr>
          <w:rFonts w:ascii="宋体" w:hAnsi="宋体" w:cs="宋体"/>
          <w:bCs w:val="0"/>
          <w:color w:val="auto"/>
          <w:highlight w:val="none"/>
        </w:rPr>
      </w:pPr>
      <w:r>
        <w:rPr>
          <w:rFonts w:hint="eastAsia" w:ascii="宋体" w:hAnsi="宋体" w:cs="宋体"/>
          <w:bCs w:val="0"/>
          <w:color w:val="auto"/>
          <w:kern w:val="2"/>
          <w:sz w:val="32"/>
          <w:szCs w:val="32"/>
          <w:highlight w:val="none"/>
          <w:lang w:val="en-US" w:eastAsia="zh-CN"/>
        </w:rPr>
        <w:t>四</w:t>
      </w:r>
      <w:r>
        <w:rPr>
          <w:rFonts w:hint="eastAsia" w:ascii="宋体" w:hAnsi="宋体" w:cs="宋体"/>
          <w:bCs w:val="0"/>
          <w:color w:val="auto"/>
          <w:kern w:val="2"/>
          <w:sz w:val="32"/>
          <w:szCs w:val="32"/>
          <w:highlight w:val="none"/>
        </w:rPr>
        <w:t>、技术参数响应及偏离表</w:t>
      </w:r>
      <w:bookmarkEnd w:id="205"/>
    </w:p>
    <w:p>
      <w:pPr>
        <w:spacing w:afterLines="100" w:line="360" w:lineRule="auto"/>
        <w:rPr>
          <w:color w:val="auto"/>
          <w:highlight w:val="none"/>
        </w:rPr>
      </w:pPr>
      <w:bookmarkStart w:id="206" w:name="_Hlt26955054"/>
      <w:bookmarkEnd w:id="206"/>
      <w:bookmarkStart w:id="207" w:name="_Toc109304979"/>
      <w:r>
        <w:rPr>
          <w:rFonts w:hint="eastAsia" w:ascii="宋体" w:hAnsi="宋体"/>
          <w:color w:val="auto"/>
          <w:szCs w:val="21"/>
          <w:highlight w:val="none"/>
        </w:rPr>
        <w:t>投标人全称（加盖公章）：</w:t>
      </w:r>
    </w:p>
    <w:tbl>
      <w:tblPr>
        <w:tblStyle w:val="37"/>
        <w:tblW w:w="89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551"/>
        <w:gridCol w:w="2701"/>
        <w:gridCol w:w="1458"/>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4"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2551"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采购要求</w:t>
            </w:r>
          </w:p>
        </w:tc>
        <w:tc>
          <w:tcPr>
            <w:tcW w:w="2701"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投标响应</w:t>
            </w:r>
          </w:p>
        </w:tc>
        <w:tc>
          <w:tcPr>
            <w:tcW w:w="1458"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超出、符合或偏离</w:t>
            </w:r>
          </w:p>
        </w:tc>
        <w:tc>
          <w:tcPr>
            <w:tcW w:w="121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spacing w:line="360" w:lineRule="auto"/>
              <w:jc w:val="center"/>
              <w:rPr>
                <w:rFonts w:ascii="宋体" w:hAnsi="宋体"/>
                <w:color w:val="auto"/>
                <w:szCs w:val="21"/>
                <w:highlight w:val="none"/>
              </w:rPr>
            </w:pPr>
          </w:p>
        </w:tc>
        <w:tc>
          <w:tcPr>
            <w:tcW w:w="2551" w:type="dxa"/>
          </w:tcPr>
          <w:p>
            <w:pPr>
              <w:spacing w:line="360" w:lineRule="auto"/>
              <w:jc w:val="center"/>
              <w:rPr>
                <w:rFonts w:ascii="宋体" w:hAnsi="宋体"/>
                <w:color w:val="auto"/>
                <w:szCs w:val="21"/>
                <w:highlight w:val="none"/>
              </w:rPr>
            </w:pPr>
          </w:p>
        </w:tc>
        <w:tc>
          <w:tcPr>
            <w:tcW w:w="2701" w:type="dxa"/>
          </w:tcPr>
          <w:p>
            <w:pPr>
              <w:spacing w:line="360" w:lineRule="auto"/>
              <w:jc w:val="center"/>
              <w:rPr>
                <w:rFonts w:ascii="宋体" w:hAnsi="宋体"/>
                <w:color w:val="auto"/>
                <w:szCs w:val="21"/>
                <w:highlight w:val="none"/>
              </w:rPr>
            </w:pPr>
          </w:p>
        </w:tc>
        <w:tc>
          <w:tcPr>
            <w:tcW w:w="1458" w:type="dxa"/>
          </w:tcPr>
          <w:p>
            <w:pPr>
              <w:spacing w:line="360" w:lineRule="auto"/>
              <w:jc w:val="center"/>
              <w:rPr>
                <w:rFonts w:ascii="宋体" w:hAnsi="宋体"/>
                <w:color w:val="auto"/>
                <w:szCs w:val="21"/>
                <w:highlight w:val="none"/>
              </w:rPr>
            </w:pPr>
          </w:p>
        </w:tc>
        <w:tc>
          <w:tcPr>
            <w:tcW w:w="1210" w:type="dxa"/>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spacing w:line="360" w:lineRule="auto"/>
              <w:jc w:val="center"/>
              <w:rPr>
                <w:rFonts w:ascii="宋体" w:hAnsi="宋体"/>
                <w:color w:val="auto"/>
                <w:szCs w:val="21"/>
                <w:highlight w:val="none"/>
              </w:rPr>
            </w:pPr>
          </w:p>
        </w:tc>
        <w:tc>
          <w:tcPr>
            <w:tcW w:w="2551" w:type="dxa"/>
          </w:tcPr>
          <w:p>
            <w:pPr>
              <w:spacing w:line="360" w:lineRule="auto"/>
              <w:jc w:val="center"/>
              <w:rPr>
                <w:rFonts w:ascii="宋体" w:hAnsi="宋体"/>
                <w:color w:val="auto"/>
                <w:szCs w:val="21"/>
                <w:highlight w:val="none"/>
              </w:rPr>
            </w:pPr>
          </w:p>
        </w:tc>
        <w:tc>
          <w:tcPr>
            <w:tcW w:w="2701" w:type="dxa"/>
          </w:tcPr>
          <w:p>
            <w:pPr>
              <w:spacing w:line="360" w:lineRule="auto"/>
              <w:jc w:val="center"/>
              <w:rPr>
                <w:rFonts w:ascii="宋体" w:hAnsi="宋体"/>
                <w:color w:val="auto"/>
                <w:szCs w:val="21"/>
                <w:highlight w:val="none"/>
              </w:rPr>
            </w:pPr>
          </w:p>
        </w:tc>
        <w:tc>
          <w:tcPr>
            <w:tcW w:w="1458" w:type="dxa"/>
          </w:tcPr>
          <w:p>
            <w:pPr>
              <w:spacing w:line="360" w:lineRule="auto"/>
              <w:jc w:val="center"/>
              <w:rPr>
                <w:rFonts w:ascii="宋体" w:hAnsi="宋体"/>
                <w:color w:val="auto"/>
                <w:szCs w:val="21"/>
                <w:highlight w:val="none"/>
              </w:rPr>
            </w:pPr>
          </w:p>
        </w:tc>
        <w:tc>
          <w:tcPr>
            <w:tcW w:w="1210" w:type="dxa"/>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spacing w:line="360" w:lineRule="auto"/>
              <w:jc w:val="center"/>
              <w:rPr>
                <w:rFonts w:ascii="宋体" w:hAnsi="宋体"/>
                <w:color w:val="auto"/>
                <w:szCs w:val="21"/>
                <w:highlight w:val="none"/>
              </w:rPr>
            </w:pPr>
          </w:p>
        </w:tc>
        <w:tc>
          <w:tcPr>
            <w:tcW w:w="2551" w:type="dxa"/>
          </w:tcPr>
          <w:p>
            <w:pPr>
              <w:spacing w:line="360" w:lineRule="auto"/>
              <w:jc w:val="center"/>
              <w:rPr>
                <w:rFonts w:ascii="宋体" w:hAnsi="宋体"/>
                <w:color w:val="auto"/>
                <w:szCs w:val="21"/>
                <w:highlight w:val="none"/>
              </w:rPr>
            </w:pPr>
          </w:p>
        </w:tc>
        <w:tc>
          <w:tcPr>
            <w:tcW w:w="2701" w:type="dxa"/>
          </w:tcPr>
          <w:p>
            <w:pPr>
              <w:spacing w:line="360" w:lineRule="auto"/>
              <w:jc w:val="center"/>
              <w:rPr>
                <w:rFonts w:ascii="宋体" w:hAnsi="宋体"/>
                <w:color w:val="auto"/>
                <w:szCs w:val="21"/>
                <w:highlight w:val="none"/>
              </w:rPr>
            </w:pPr>
          </w:p>
        </w:tc>
        <w:tc>
          <w:tcPr>
            <w:tcW w:w="1458" w:type="dxa"/>
          </w:tcPr>
          <w:p>
            <w:pPr>
              <w:spacing w:line="360" w:lineRule="auto"/>
              <w:jc w:val="center"/>
              <w:rPr>
                <w:rFonts w:ascii="宋体" w:hAnsi="宋体"/>
                <w:color w:val="auto"/>
                <w:szCs w:val="21"/>
                <w:highlight w:val="none"/>
              </w:rPr>
            </w:pPr>
          </w:p>
        </w:tc>
        <w:tc>
          <w:tcPr>
            <w:tcW w:w="1210" w:type="dxa"/>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spacing w:line="360" w:lineRule="auto"/>
              <w:jc w:val="center"/>
              <w:rPr>
                <w:rFonts w:ascii="宋体" w:hAnsi="宋体"/>
                <w:color w:val="auto"/>
                <w:szCs w:val="21"/>
                <w:highlight w:val="none"/>
              </w:rPr>
            </w:pPr>
          </w:p>
        </w:tc>
        <w:tc>
          <w:tcPr>
            <w:tcW w:w="2551" w:type="dxa"/>
          </w:tcPr>
          <w:p>
            <w:pPr>
              <w:spacing w:line="360" w:lineRule="auto"/>
              <w:jc w:val="center"/>
              <w:rPr>
                <w:rFonts w:ascii="宋体" w:hAnsi="宋体"/>
                <w:color w:val="auto"/>
                <w:szCs w:val="21"/>
                <w:highlight w:val="none"/>
              </w:rPr>
            </w:pPr>
          </w:p>
        </w:tc>
        <w:tc>
          <w:tcPr>
            <w:tcW w:w="2701" w:type="dxa"/>
          </w:tcPr>
          <w:p>
            <w:pPr>
              <w:spacing w:line="360" w:lineRule="auto"/>
              <w:jc w:val="center"/>
              <w:rPr>
                <w:rFonts w:ascii="宋体" w:hAnsi="宋体"/>
                <w:color w:val="auto"/>
                <w:szCs w:val="21"/>
                <w:highlight w:val="none"/>
              </w:rPr>
            </w:pPr>
          </w:p>
        </w:tc>
        <w:tc>
          <w:tcPr>
            <w:tcW w:w="1458" w:type="dxa"/>
          </w:tcPr>
          <w:p>
            <w:pPr>
              <w:spacing w:line="360" w:lineRule="auto"/>
              <w:jc w:val="center"/>
              <w:rPr>
                <w:rFonts w:ascii="宋体" w:hAnsi="宋体"/>
                <w:color w:val="auto"/>
                <w:szCs w:val="21"/>
                <w:highlight w:val="none"/>
              </w:rPr>
            </w:pPr>
          </w:p>
        </w:tc>
        <w:tc>
          <w:tcPr>
            <w:tcW w:w="1210" w:type="dxa"/>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spacing w:line="360" w:lineRule="auto"/>
              <w:jc w:val="center"/>
              <w:rPr>
                <w:rFonts w:ascii="宋体" w:hAnsi="宋体"/>
                <w:color w:val="auto"/>
                <w:szCs w:val="21"/>
                <w:highlight w:val="none"/>
              </w:rPr>
            </w:pPr>
          </w:p>
        </w:tc>
        <w:tc>
          <w:tcPr>
            <w:tcW w:w="2551" w:type="dxa"/>
          </w:tcPr>
          <w:p>
            <w:pPr>
              <w:spacing w:line="360" w:lineRule="auto"/>
              <w:jc w:val="center"/>
              <w:rPr>
                <w:rFonts w:ascii="宋体" w:hAnsi="宋体"/>
                <w:color w:val="auto"/>
                <w:szCs w:val="21"/>
                <w:highlight w:val="none"/>
              </w:rPr>
            </w:pPr>
          </w:p>
        </w:tc>
        <w:tc>
          <w:tcPr>
            <w:tcW w:w="2701" w:type="dxa"/>
          </w:tcPr>
          <w:p>
            <w:pPr>
              <w:spacing w:line="360" w:lineRule="auto"/>
              <w:jc w:val="center"/>
              <w:rPr>
                <w:rFonts w:ascii="宋体" w:hAnsi="宋体"/>
                <w:color w:val="auto"/>
                <w:szCs w:val="21"/>
                <w:highlight w:val="none"/>
              </w:rPr>
            </w:pPr>
          </w:p>
        </w:tc>
        <w:tc>
          <w:tcPr>
            <w:tcW w:w="1458" w:type="dxa"/>
          </w:tcPr>
          <w:p>
            <w:pPr>
              <w:spacing w:line="360" w:lineRule="auto"/>
              <w:jc w:val="center"/>
              <w:rPr>
                <w:rFonts w:ascii="宋体" w:hAnsi="宋体"/>
                <w:color w:val="auto"/>
                <w:szCs w:val="21"/>
                <w:highlight w:val="none"/>
              </w:rPr>
            </w:pPr>
          </w:p>
        </w:tc>
        <w:tc>
          <w:tcPr>
            <w:tcW w:w="1210" w:type="dxa"/>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spacing w:line="360" w:lineRule="auto"/>
              <w:jc w:val="center"/>
              <w:rPr>
                <w:rFonts w:ascii="宋体" w:hAnsi="宋体"/>
                <w:color w:val="auto"/>
                <w:szCs w:val="21"/>
                <w:highlight w:val="none"/>
              </w:rPr>
            </w:pPr>
          </w:p>
        </w:tc>
        <w:tc>
          <w:tcPr>
            <w:tcW w:w="2551" w:type="dxa"/>
          </w:tcPr>
          <w:p>
            <w:pPr>
              <w:spacing w:line="360" w:lineRule="auto"/>
              <w:jc w:val="center"/>
              <w:rPr>
                <w:rFonts w:ascii="宋体" w:hAnsi="宋体"/>
                <w:color w:val="auto"/>
                <w:szCs w:val="21"/>
                <w:highlight w:val="none"/>
              </w:rPr>
            </w:pPr>
          </w:p>
        </w:tc>
        <w:tc>
          <w:tcPr>
            <w:tcW w:w="2701" w:type="dxa"/>
          </w:tcPr>
          <w:p>
            <w:pPr>
              <w:spacing w:line="360" w:lineRule="auto"/>
              <w:jc w:val="center"/>
              <w:rPr>
                <w:rFonts w:ascii="宋体" w:hAnsi="宋体"/>
                <w:color w:val="auto"/>
                <w:szCs w:val="21"/>
                <w:highlight w:val="none"/>
              </w:rPr>
            </w:pPr>
          </w:p>
        </w:tc>
        <w:tc>
          <w:tcPr>
            <w:tcW w:w="1458" w:type="dxa"/>
          </w:tcPr>
          <w:p>
            <w:pPr>
              <w:spacing w:line="360" w:lineRule="auto"/>
              <w:jc w:val="center"/>
              <w:rPr>
                <w:rFonts w:ascii="宋体" w:hAnsi="宋体"/>
                <w:color w:val="auto"/>
                <w:szCs w:val="21"/>
                <w:highlight w:val="none"/>
              </w:rPr>
            </w:pPr>
          </w:p>
        </w:tc>
        <w:tc>
          <w:tcPr>
            <w:tcW w:w="1210" w:type="dxa"/>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spacing w:line="360" w:lineRule="auto"/>
              <w:jc w:val="center"/>
              <w:rPr>
                <w:rFonts w:ascii="宋体" w:hAnsi="宋体"/>
                <w:color w:val="auto"/>
                <w:szCs w:val="21"/>
                <w:highlight w:val="none"/>
              </w:rPr>
            </w:pPr>
          </w:p>
        </w:tc>
        <w:tc>
          <w:tcPr>
            <w:tcW w:w="2551" w:type="dxa"/>
          </w:tcPr>
          <w:p>
            <w:pPr>
              <w:spacing w:line="360" w:lineRule="auto"/>
              <w:jc w:val="center"/>
              <w:rPr>
                <w:rFonts w:ascii="宋体" w:hAnsi="宋体"/>
                <w:color w:val="auto"/>
                <w:szCs w:val="21"/>
                <w:highlight w:val="none"/>
              </w:rPr>
            </w:pPr>
          </w:p>
        </w:tc>
        <w:tc>
          <w:tcPr>
            <w:tcW w:w="2701" w:type="dxa"/>
          </w:tcPr>
          <w:p>
            <w:pPr>
              <w:spacing w:line="360" w:lineRule="auto"/>
              <w:jc w:val="center"/>
              <w:rPr>
                <w:rFonts w:ascii="宋体" w:hAnsi="宋体"/>
                <w:color w:val="auto"/>
                <w:szCs w:val="21"/>
                <w:highlight w:val="none"/>
              </w:rPr>
            </w:pPr>
          </w:p>
        </w:tc>
        <w:tc>
          <w:tcPr>
            <w:tcW w:w="1458" w:type="dxa"/>
          </w:tcPr>
          <w:p>
            <w:pPr>
              <w:spacing w:line="360" w:lineRule="auto"/>
              <w:jc w:val="center"/>
              <w:rPr>
                <w:rFonts w:ascii="宋体" w:hAnsi="宋体"/>
                <w:color w:val="auto"/>
                <w:szCs w:val="21"/>
                <w:highlight w:val="none"/>
              </w:rPr>
            </w:pPr>
          </w:p>
        </w:tc>
        <w:tc>
          <w:tcPr>
            <w:tcW w:w="1210" w:type="dxa"/>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spacing w:line="360" w:lineRule="auto"/>
              <w:jc w:val="center"/>
              <w:rPr>
                <w:rFonts w:ascii="宋体" w:hAnsi="宋体"/>
                <w:color w:val="auto"/>
                <w:szCs w:val="21"/>
                <w:highlight w:val="none"/>
              </w:rPr>
            </w:pPr>
          </w:p>
        </w:tc>
        <w:tc>
          <w:tcPr>
            <w:tcW w:w="2551" w:type="dxa"/>
          </w:tcPr>
          <w:p>
            <w:pPr>
              <w:spacing w:line="360" w:lineRule="auto"/>
              <w:jc w:val="center"/>
              <w:rPr>
                <w:rFonts w:ascii="宋体" w:hAnsi="宋体"/>
                <w:color w:val="auto"/>
                <w:szCs w:val="21"/>
                <w:highlight w:val="none"/>
              </w:rPr>
            </w:pPr>
          </w:p>
        </w:tc>
        <w:tc>
          <w:tcPr>
            <w:tcW w:w="2701" w:type="dxa"/>
          </w:tcPr>
          <w:p>
            <w:pPr>
              <w:spacing w:line="360" w:lineRule="auto"/>
              <w:jc w:val="center"/>
              <w:rPr>
                <w:rFonts w:ascii="宋体" w:hAnsi="宋体"/>
                <w:color w:val="auto"/>
                <w:szCs w:val="21"/>
                <w:highlight w:val="none"/>
              </w:rPr>
            </w:pPr>
          </w:p>
        </w:tc>
        <w:tc>
          <w:tcPr>
            <w:tcW w:w="1458" w:type="dxa"/>
          </w:tcPr>
          <w:p>
            <w:pPr>
              <w:spacing w:line="360" w:lineRule="auto"/>
              <w:jc w:val="center"/>
              <w:rPr>
                <w:rFonts w:ascii="宋体" w:hAnsi="宋体"/>
                <w:color w:val="auto"/>
                <w:szCs w:val="21"/>
                <w:highlight w:val="none"/>
              </w:rPr>
            </w:pPr>
          </w:p>
        </w:tc>
        <w:tc>
          <w:tcPr>
            <w:tcW w:w="1210" w:type="dxa"/>
          </w:tcPr>
          <w:p>
            <w:pPr>
              <w:spacing w:line="360" w:lineRule="auto"/>
              <w:jc w:val="center"/>
              <w:rPr>
                <w:rFonts w:ascii="宋体" w:hAnsi="宋体"/>
                <w:color w:val="auto"/>
                <w:szCs w:val="21"/>
                <w:highlight w:val="none"/>
              </w:rPr>
            </w:pPr>
          </w:p>
        </w:tc>
      </w:tr>
    </w:tbl>
    <w:p>
      <w:pPr>
        <w:spacing w:line="360" w:lineRule="auto"/>
        <w:rPr>
          <w:rFonts w:ascii="宋体" w:hAnsi="宋体"/>
          <w:color w:val="auto"/>
          <w:sz w:val="24"/>
          <w:szCs w:val="24"/>
          <w:highlight w:val="none"/>
        </w:rPr>
      </w:pPr>
    </w:p>
    <w:p>
      <w:pPr>
        <w:spacing w:line="360" w:lineRule="auto"/>
        <w:rPr>
          <w:rFonts w:ascii="宋体" w:hAnsi="宋体" w:eastAsia="微软雅黑"/>
          <w:color w:val="auto"/>
          <w:szCs w:val="21"/>
          <w:highlight w:val="none"/>
        </w:rPr>
      </w:pPr>
      <w:r>
        <w:rPr>
          <w:rFonts w:hint="eastAsia" w:ascii="宋体" w:hAnsi="宋体"/>
          <w:color w:val="auto"/>
          <w:szCs w:val="21"/>
          <w:highlight w:val="none"/>
        </w:rPr>
        <w:t>法定代表人或授权代表签字：</w:t>
      </w:r>
    </w:p>
    <w:p>
      <w:pPr>
        <w:spacing w:line="360" w:lineRule="auto"/>
        <w:rPr>
          <w:rFonts w:asciiTheme="minorEastAsia" w:hAnsiTheme="minorEastAsia" w:eastAsiaTheme="minorEastAsia"/>
          <w:color w:val="auto"/>
          <w:sz w:val="24"/>
          <w:szCs w:val="24"/>
          <w:highlight w:val="none"/>
        </w:rPr>
      </w:pPr>
    </w:p>
    <w:p>
      <w:pPr>
        <w:spacing w:line="360" w:lineRule="auto"/>
        <w:rPr>
          <w:rFonts w:ascii="宋体" w:hAnsi="宋体"/>
          <w:color w:val="auto"/>
          <w:sz w:val="24"/>
          <w:szCs w:val="24"/>
          <w:highlight w:val="none"/>
        </w:rPr>
      </w:pPr>
      <w:r>
        <w:rPr>
          <w:rFonts w:hint="eastAsia" w:asciiTheme="minorEastAsia" w:hAnsiTheme="minorEastAsia" w:eastAsiaTheme="minorEastAsia"/>
          <w:color w:val="auto"/>
          <w:sz w:val="24"/>
          <w:szCs w:val="24"/>
          <w:highlight w:val="none"/>
        </w:rPr>
        <w:t>注：</w:t>
      </w:r>
      <w:r>
        <w:rPr>
          <w:rFonts w:hint="eastAsia" w:ascii="Times New Roman" w:hAnsi="Times New Roman" w:eastAsiaTheme="minorEastAsia"/>
          <w:color w:val="auto"/>
          <w:sz w:val="24"/>
          <w:szCs w:val="24"/>
          <w:highlight w:val="none"/>
          <w:lang w:eastAsia="zh-CN"/>
        </w:rPr>
        <w:t>1</w:t>
      </w:r>
      <w:r>
        <w:rPr>
          <w:rFonts w:hint="eastAsia" w:asciiTheme="minorEastAsia" w:hAnsiTheme="minorEastAsia" w:eastAsiaTheme="minorEastAsia"/>
          <w:color w:val="auto"/>
          <w:sz w:val="24"/>
          <w:szCs w:val="24"/>
          <w:highlight w:val="none"/>
        </w:rPr>
        <w:t>、按照基本技术要求详细填列。</w:t>
      </w:r>
    </w:p>
    <w:p>
      <w:pPr>
        <w:spacing w:line="360" w:lineRule="auto"/>
        <w:ind w:firstLine="480"/>
        <w:rPr>
          <w:rFonts w:asciiTheme="minorEastAsia" w:hAnsiTheme="minorEastAsia" w:eastAsiaTheme="minorEastAsia"/>
          <w:color w:val="auto"/>
          <w:sz w:val="24"/>
          <w:szCs w:val="24"/>
          <w:highlight w:val="none"/>
        </w:rPr>
      </w:pPr>
      <w:r>
        <w:rPr>
          <w:rFonts w:hint="eastAsia" w:ascii="Times New Roman" w:hAnsi="Times New Roman" w:eastAsiaTheme="minorEastAsia"/>
          <w:color w:val="auto"/>
          <w:sz w:val="24"/>
          <w:szCs w:val="24"/>
          <w:highlight w:val="none"/>
          <w:lang w:eastAsia="zh-CN"/>
        </w:rPr>
        <w:t>2</w:t>
      </w:r>
      <w:r>
        <w:rPr>
          <w:rFonts w:hint="eastAsia" w:asciiTheme="minorEastAsia" w:hAnsiTheme="minorEastAsia" w:eastAsiaTheme="minorEastAsia"/>
          <w:color w:val="auto"/>
          <w:sz w:val="24"/>
          <w:szCs w:val="24"/>
          <w:highlight w:val="none"/>
        </w:rPr>
        <w:t>、行数不够，可自行添加。</w:t>
      </w:r>
    </w:p>
    <w:p>
      <w:pPr>
        <w:pStyle w:val="17"/>
        <w:spacing w:line="360" w:lineRule="auto"/>
        <w:rPr>
          <w:color w:val="auto"/>
          <w:highlight w:val="none"/>
        </w:rPr>
      </w:pPr>
    </w:p>
    <w:p>
      <w:pPr>
        <w:pStyle w:val="36"/>
        <w:spacing w:line="360" w:lineRule="auto"/>
        <w:rPr>
          <w:color w:val="auto"/>
          <w:highlight w:val="none"/>
        </w:rPr>
      </w:pPr>
    </w:p>
    <w:p>
      <w:pPr>
        <w:pStyle w:val="26"/>
        <w:spacing w:line="360" w:lineRule="auto"/>
        <w:rPr>
          <w:color w:val="auto"/>
          <w:highlight w:val="none"/>
        </w:rPr>
      </w:pPr>
    </w:p>
    <w:p>
      <w:pPr>
        <w:pStyle w:val="27"/>
        <w:spacing w:line="360" w:lineRule="auto"/>
        <w:rPr>
          <w:color w:val="auto"/>
          <w:highlight w:val="none"/>
        </w:rPr>
      </w:pPr>
    </w:p>
    <w:p>
      <w:pPr>
        <w:pStyle w:val="28"/>
        <w:spacing w:line="360" w:lineRule="auto"/>
        <w:rPr>
          <w:rFonts w:hint="default"/>
          <w:color w:val="auto"/>
          <w:highlight w:val="none"/>
        </w:rPr>
      </w:pPr>
    </w:p>
    <w:p>
      <w:pPr>
        <w:pStyle w:val="29"/>
        <w:spacing w:line="360" w:lineRule="auto"/>
        <w:rPr>
          <w:rFonts w:hint="default"/>
          <w:color w:val="auto"/>
          <w:highlight w:val="none"/>
        </w:rPr>
      </w:pPr>
    </w:p>
    <w:p>
      <w:pPr>
        <w:pStyle w:val="29"/>
        <w:spacing w:line="360" w:lineRule="auto"/>
        <w:rPr>
          <w:rFonts w:hint="default"/>
          <w:color w:val="auto"/>
          <w:highlight w:val="none"/>
        </w:rPr>
      </w:pPr>
    </w:p>
    <w:p>
      <w:pPr>
        <w:pStyle w:val="29"/>
        <w:spacing w:line="360" w:lineRule="auto"/>
        <w:rPr>
          <w:rFonts w:hint="default"/>
          <w:color w:val="auto"/>
          <w:highlight w:val="none"/>
        </w:rPr>
      </w:pPr>
    </w:p>
    <w:p>
      <w:pPr>
        <w:pStyle w:val="8"/>
        <w:spacing w:line="360" w:lineRule="auto"/>
        <w:jc w:val="center"/>
        <w:rPr>
          <w:rFonts w:ascii="宋体" w:hAnsi="宋体" w:cs="宋体"/>
          <w:bCs w:val="0"/>
          <w:color w:val="auto"/>
          <w:kern w:val="2"/>
          <w:sz w:val="32"/>
          <w:szCs w:val="32"/>
          <w:highlight w:val="none"/>
        </w:rPr>
      </w:pPr>
      <w:r>
        <w:rPr>
          <w:rFonts w:hint="eastAsia" w:ascii="宋体" w:hAnsi="宋体" w:cs="宋体"/>
          <w:bCs w:val="0"/>
          <w:color w:val="auto"/>
          <w:kern w:val="2"/>
          <w:sz w:val="32"/>
          <w:szCs w:val="32"/>
          <w:highlight w:val="none"/>
          <w:lang w:val="en-US" w:eastAsia="zh-CN"/>
        </w:rPr>
        <w:t>五</w:t>
      </w:r>
      <w:r>
        <w:rPr>
          <w:rFonts w:hint="eastAsia" w:ascii="宋体" w:hAnsi="宋体" w:cs="宋体"/>
          <w:bCs w:val="0"/>
          <w:color w:val="auto"/>
          <w:kern w:val="2"/>
          <w:sz w:val="32"/>
          <w:szCs w:val="32"/>
          <w:highlight w:val="none"/>
        </w:rPr>
        <w:t>、商务条款响应及偏离表</w:t>
      </w:r>
      <w:bookmarkEnd w:id="207"/>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投标人全称（加盖公章）：</w:t>
      </w:r>
    </w:p>
    <w:p>
      <w:pPr>
        <w:spacing w:line="360" w:lineRule="auto"/>
        <w:rPr>
          <w:color w:val="auto"/>
          <w:highlight w:val="none"/>
        </w:rPr>
      </w:pPr>
    </w:p>
    <w:tbl>
      <w:tblPr>
        <w:tblStyle w:val="37"/>
        <w:tblW w:w="854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38"/>
        <w:gridCol w:w="2502"/>
        <w:gridCol w:w="1837"/>
        <w:gridCol w:w="25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638" w:type="dxa"/>
            <w:tcBorders>
              <w:top w:val="single" w:color="auto" w:sz="4" w:space="0"/>
              <w:left w:val="single" w:color="auto" w:sz="4" w:space="0"/>
              <w:bottom w:val="single" w:color="auto" w:sz="4" w:space="0"/>
              <w:right w:val="single" w:color="auto" w:sz="4" w:space="0"/>
            </w:tcBorders>
          </w:tcPr>
          <w:p>
            <w:pPr>
              <w:spacing w:before="156" w:line="360" w:lineRule="auto"/>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2502" w:type="dxa"/>
            <w:tcBorders>
              <w:top w:val="single" w:color="auto" w:sz="4" w:space="0"/>
              <w:left w:val="single" w:color="auto" w:sz="4" w:space="0"/>
              <w:bottom w:val="single" w:color="auto" w:sz="4" w:space="0"/>
              <w:right w:val="single" w:color="auto" w:sz="4" w:space="0"/>
            </w:tcBorders>
          </w:tcPr>
          <w:p>
            <w:pPr>
              <w:spacing w:before="156" w:line="360" w:lineRule="auto"/>
              <w:ind w:firstLine="630" w:firstLineChars="300"/>
              <w:jc w:val="both"/>
              <w:rPr>
                <w:rFonts w:ascii="宋体" w:hAnsi="宋体" w:cs="宋体"/>
                <w:color w:val="auto"/>
                <w:szCs w:val="21"/>
                <w:highlight w:val="none"/>
              </w:rPr>
            </w:pP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rPr>
              <w:t>文件要求</w:t>
            </w:r>
          </w:p>
        </w:tc>
        <w:tc>
          <w:tcPr>
            <w:tcW w:w="1837" w:type="dxa"/>
            <w:tcBorders>
              <w:top w:val="single" w:color="auto" w:sz="4" w:space="0"/>
              <w:left w:val="single" w:color="auto" w:sz="4" w:space="0"/>
              <w:bottom w:val="single" w:color="auto" w:sz="4" w:space="0"/>
              <w:right w:val="single" w:color="auto" w:sz="4" w:space="0"/>
            </w:tcBorders>
          </w:tcPr>
          <w:p>
            <w:pPr>
              <w:spacing w:before="156" w:line="360" w:lineRule="auto"/>
              <w:jc w:val="center"/>
              <w:rPr>
                <w:rFonts w:ascii="宋体" w:hAnsi="宋体" w:cs="宋体"/>
                <w:color w:val="auto"/>
                <w:szCs w:val="21"/>
                <w:highlight w:val="none"/>
              </w:rPr>
            </w:pPr>
            <w:r>
              <w:rPr>
                <w:rFonts w:hint="eastAsia" w:ascii="宋体" w:hAnsi="宋体" w:cs="宋体"/>
                <w:color w:val="auto"/>
                <w:szCs w:val="21"/>
                <w:highlight w:val="none"/>
              </w:rPr>
              <w:t>是否响应</w:t>
            </w:r>
          </w:p>
        </w:tc>
        <w:tc>
          <w:tcPr>
            <w:tcW w:w="2563" w:type="dxa"/>
            <w:tcBorders>
              <w:top w:val="single" w:color="auto" w:sz="4" w:space="0"/>
              <w:left w:val="single" w:color="auto" w:sz="4" w:space="0"/>
              <w:bottom w:val="single" w:color="auto" w:sz="4" w:space="0"/>
              <w:right w:val="single" w:color="auto" w:sz="4" w:space="0"/>
            </w:tcBorders>
          </w:tcPr>
          <w:p>
            <w:pPr>
              <w:spacing w:before="156" w:line="360" w:lineRule="auto"/>
              <w:jc w:val="center"/>
              <w:rPr>
                <w:rFonts w:ascii="宋体" w:hAnsi="宋体" w:cs="宋体"/>
                <w:color w:val="auto"/>
                <w:szCs w:val="21"/>
                <w:highlight w:val="none"/>
              </w:rPr>
            </w:pPr>
            <w:r>
              <w:rPr>
                <w:rFonts w:hint="eastAsia" w:ascii="宋体" w:hAnsi="宋体" w:cs="宋体"/>
                <w:color w:val="auto"/>
                <w:szCs w:val="21"/>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38" w:type="dxa"/>
            <w:tcBorders>
              <w:top w:val="single" w:color="auto" w:sz="4" w:space="0"/>
              <w:left w:val="single" w:color="auto" w:sz="4" w:space="0"/>
              <w:bottom w:val="single" w:color="auto" w:sz="4" w:space="0"/>
              <w:right w:val="single" w:color="auto" w:sz="4" w:space="0"/>
            </w:tcBorders>
          </w:tcPr>
          <w:p>
            <w:pPr>
              <w:spacing w:before="156" w:line="360" w:lineRule="auto"/>
              <w:jc w:val="center"/>
              <w:rPr>
                <w:rFonts w:ascii="宋体" w:hAnsi="宋体" w:cs="宋体"/>
                <w:color w:val="auto"/>
                <w:szCs w:val="21"/>
                <w:highlight w:val="none"/>
              </w:rPr>
            </w:pPr>
            <w:r>
              <w:rPr>
                <w:rFonts w:hint="eastAsia" w:ascii="宋体" w:hAnsi="宋体" w:cs="宋体"/>
                <w:color w:val="auto"/>
                <w:szCs w:val="21"/>
                <w:highlight w:val="none"/>
              </w:rPr>
              <w:t>交付时间</w:t>
            </w:r>
          </w:p>
        </w:tc>
        <w:tc>
          <w:tcPr>
            <w:tcW w:w="2502" w:type="dxa"/>
            <w:tcBorders>
              <w:top w:val="single" w:color="auto" w:sz="4" w:space="0"/>
              <w:left w:val="single" w:color="auto" w:sz="4" w:space="0"/>
              <w:bottom w:val="single" w:color="auto" w:sz="4" w:space="0"/>
              <w:right w:val="single" w:color="auto" w:sz="4" w:space="0"/>
            </w:tcBorders>
          </w:tcPr>
          <w:p>
            <w:pPr>
              <w:spacing w:before="156" w:line="360" w:lineRule="auto"/>
              <w:jc w:val="center"/>
              <w:rPr>
                <w:rFonts w:ascii="宋体" w:hAnsi="宋体" w:cs="宋体"/>
                <w:color w:val="auto"/>
                <w:szCs w:val="21"/>
                <w:highlight w:val="none"/>
              </w:rPr>
            </w:pPr>
          </w:p>
        </w:tc>
        <w:tc>
          <w:tcPr>
            <w:tcW w:w="1837" w:type="dxa"/>
            <w:tcBorders>
              <w:top w:val="single" w:color="auto" w:sz="4" w:space="0"/>
              <w:left w:val="single" w:color="auto" w:sz="4" w:space="0"/>
              <w:bottom w:val="single" w:color="auto" w:sz="4" w:space="0"/>
              <w:right w:val="single" w:color="auto" w:sz="4" w:space="0"/>
            </w:tcBorders>
          </w:tcPr>
          <w:p>
            <w:pPr>
              <w:spacing w:before="156" w:line="360" w:lineRule="auto"/>
              <w:ind w:left="43"/>
              <w:jc w:val="center"/>
              <w:rPr>
                <w:rFonts w:ascii="宋体" w:hAnsi="宋体" w:cs="宋体"/>
                <w:color w:val="auto"/>
                <w:szCs w:val="21"/>
                <w:highlight w:val="none"/>
              </w:rPr>
            </w:pPr>
          </w:p>
        </w:tc>
        <w:tc>
          <w:tcPr>
            <w:tcW w:w="2563" w:type="dxa"/>
            <w:tcBorders>
              <w:top w:val="single" w:color="auto" w:sz="4" w:space="0"/>
              <w:left w:val="single" w:color="auto" w:sz="4" w:space="0"/>
              <w:bottom w:val="single" w:color="auto" w:sz="4" w:space="0"/>
              <w:right w:val="single" w:color="auto" w:sz="4" w:space="0"/>
            </w:tcBorders>
          </w:tcPr>
          <w:p>
            <w:pPr>
              <w:spacing w:before="156" w:line="360" w:lineRule="auto"/>
              <w:ind w:left="43"/>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38" w:type="dxa"/>
            <w:tcBorders>
              <w:top w:val="single" w:color="auto" w:sz="4" w:space="0"/>
              <w:left w:val="single" w:color="auto" w:sz="4" w:space="0"/>
              <w:bottom w:val="single" w:color="auto" w:sz="4" w:space="0"/>
              <w:right w:val="single" w:color="auto" w:sz="4" w:space="0"/>
            </w:tcBorders>
          </w:tcPr>
          <w:p>
            <w:pPr>
              <w:spacing w:before="156" w:line="360" w:lineRule="auto"/>
              <w:jc w:val="center"/>
              <w:rPr>
                <w:rFonts w:ascii="宋体" w:hAnsi="宋体" w:cs="宋体"/>
                <w:color w:val="auto"/>
                <w:szCs w:val="21"/>
                <w:highlight w:val="none"/>
              </w:rPr>
            </w:pPr>
            <w:r>
              <w:rPr>
                <w:rFonts w:hint="eastAsia" w:ascii="宋体" w:hAnsi="宋体" w:cs="宋体"/>
                <w:color w:val="auto"/>
                <w:szCs w:val="21"/>
                <w:highlight w:val="none"/>
              </w:rPr>
              <w:t>交货方式</w:t>
            </w:r>
          </w:p>
        </w:tc>
        <w:tc>
          <w:tcPr>
            <w:tcW w:w="2502" w:type="dxa"/>
            <w:tcBorders>
              <w:top w:val="single" w:color="auto" w:sz="4" w:space="0"/>
              <w:left w:val="single" w:color="auto" w:sz="4" w:space="0"/>
              <w:bottom w:val="single" w:color="auto" w:sz="4" w:space="0"/>
              <w:right w:val="single" w:color="auto" w:sz="4" w:space="0"/>
            </w:tcBorders>
          </w:tcPr>
          <w:p>
            <w:pPr>
              <w:spacing w:before="156" w:line="360" w:lineRule="auto"/>
              <w:rPr>
                <w:rFonts w:ascii="宋体" w:hAnsi="宋体" w:cs="宋体"/>
                <w:color w:val="auto"/>
                <w:szCs w:val="21"/>
                <w:highlight w:val="none"/>
              </w:rPr>
            </w:pPr>
          </w:p>
        </w:tc>
        <w:tc>
          <w:tcPr>
            <w:tcW w:w="1837" w:type="dxa"/>
            <w:tcBorders>
              <w:top w:val="single" w:color="auto" w:sz="4" w:space="0"/>
              <w:left w:val="single" w:color="auto" w:sz="4" w:space="0"/>
              <w:bottom w:val="single" w:color="auto" w:sz="4" w:space="0"/>
              <w:right w:val="single" w:color="auto" w:sz="4" w:space="0"/>
            </w:tcBorders>
          </w:tcPr>
          <w:p>
            <w:pPr>
              <w:spacing w:before="156" w:line="360" w:lineRule="auto"/>
              <w:ind w:left="43"/>
              <w:jc w:val="center"/>
              <w:rPr>
                <w:rFonts w:ascii="宋体" w:hAnsi="宋体" w:cs="宋体"/>
                <w:color w:val="auto"/>
                <w:szCs w:val="21"/>
                <w:highlight w:val="none"/>
              </w:rPr>
            </w:pPr>
          </w:p>
        </w:tc>
        <w:tc>
          <w:tcPr>
            <w:tcW w:w="2563" w:type="dxa"/>
            <w:tcBorders>
              <w:top w:val="single" w:color="auto" w:sz="4" w:space="0"/>
              <w:left w:val="single" w:color="auto" w:sz="4" w:space="0"/>
              <w:bottom w:val="single" w:color="auto" w:sz="4" w:space="0"/>
              <w:right w:val="single" w:color="auto" w:sz="4" w:space="0"/>
            </w:tcBorders>
          </w:tcPr>
          <w:p>
            <w:pPr>
              <w:spacing w:before="156" w:line="360" w:lineRule="auto"/>
              <w:ind w:left="43"/>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638" w:type="dxa"/>
            <w:tcBorders>
              <w:top w:val="single" w:color="auto" w:sz="4" w:space="0"/>
              <w:left w:val="single" w:color="auto" w:sz="4" w:space="0"/>
              <w:bottom w:val="single" w:color="auto" w:sz="4" w:space="0"/>
              <w:right w:val="single" w:color="auto" w:sz="4" w:space="0"/>
            </w:tcBorders>
          </w:tcPr>
          <w:p>
            <w:pPr>
              <w:spacing w:before="156" w:line="360" w:lineRule="auto"/>
              <w:jc w:val="center"/>
              <w:rPr>
                <w:rFonts w:ascii="宋体" w:hAnsi="宋体" w:cs="宋体"/>
                <w:color w:val="auto"/>
                <w:szCs w:val="21"/>
                <w:highlight w:val="none"/>
              </w:rPr>
            </w:pPr>
            <w:r>
              <w:rPr>
                <w:rFonts w:hint="eastAsia" w:ascii="宋体" w:hAnsi="宋体" w:cs="宋体"/>
                <w:color w:val="auto"/>
                <w:szCs w:val="21"/>
                <w:highlight w:val="none"/>
              </w:rPr>
              <w:t>交货地点</w:t>
            </w:r>
          </w:p>
        </w:tc>
        <w:tc>
          <w:tcPr>
            <w:tcW w:w="2502" w:type="dxa"/>
            <w:tcBorders>
              <w:top w:val="single" w:color="auto" w:sz="4" w:space="0"/>
              <w:left w:val="single" w:color="auto" w:sz="4" w:space="0"/>
              <w:bottom w:val="single" w:color="auto" w:sz="4" w:space="0"/>
              <w:right w:val="single" w:color="auto" w:sz="4" w:space="0"/>
            </w:tcBorders>
          </w:tcPr>
          <w:p>
            <w:pPr>
              <w:spacing w:before="156" w:line="360" w:lineRule="auto"/>
              <w:rPr>
                <w:rFonts w:ascii="宋体" w:hAnsi="宋体" w:cs="宋体"/>
                <w:color w:val="auto"/>
                <w:szCs w:val="21"/>
                <w:highlight w:val="none"/>
              </w:rPr>
            </w:pPr>
          </w:p>
        </w:tc>
        <w:tc>
          <w:tcPr>
            <w:tcW w:w="1837" w:type="dxa"/>
            <w:tcBorders>
              <w:top w:val="single" w:color="auto" w:sz="4" w:space="0"/>
              <w:left w:val="single" w:color="auto" w:sz="4" w:space="0"/>
              <w:bottom w:val="single" w:color="auto" w:sz="4" w:space="0"/>
              <w:right w:val="single" w:color="auto" w:sz="4" w:space="0"/>
            </w:tcBorders>
          </w:tcPr>
          <w:p>
            <w:pPr>
              <w:spacing w:before="156" w:line="360" w:lineRule="auto"/>
              <w:ind w:left="43"/>
              <w:jc w:val="center"/>
              <w:rPr>
                <w:rFonts w:ascii="宋体" w:hAnsi="宋体" w:cs="宋体"/>
                <w:color w:val="auto"/>
                <w:szCs w:val="21"/>
                <w:highlight w:val="none"/>
              </w:rPr>
            </w:pPr>
          </w:p>
        </w:tc>
        <w:tc>
          <w:tcPr>
            <w:tcW w:w="2563" w:type="dxa"/>
            <w:tcBorders>
              <w:top w:val="single" w:color="auto" w:sz="4" w:space="0"/>
              <w:left w:val="single" w:color="auto" w:sz="4" w:space="0"/>
              <w:bottom w:val="single" w:color="auto" w:sz="4" w:space="0"/>
              <w:right w:val="single" w:color="auto" w:sz="4" w:space="0"/>
            </w:tcBorders>
          </w:tcPr>
          <w:p>
            <w:pPr>
              <w:spacing w:before="156" w:line="360" w:lineRule="auto"/>
              <w:ind w:left="43"/>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38" w:type="dxa"/>
            <w:tcBorders>
              <w:top w:val="single" w:color="auto" w:sz="4" w:space="0"/>
              <w:left w:val="single" w:color="auto" w:sz="4" w:space="0"/>
              <w:bottom w:val="single" w:color="auto" w:sz="4" w:space="0"/>
              <w:right w:val="single" w:color="auto" w:sz="4" w:space="0"/>
            </w:tcBorders>
          </w:tcPr>
          <w:p>
            <w:pPr>
              <w:spacing w:before="156" w:line="360" w:lineRule="auto"/>
              <w:jc w:val="center"/>
              <w:rPr>
                <w:rFonts w:ascii="宋体" w:hAnsi="宋体" w:cs="宋体"/>
                <w:color w:val="auto"/>
                <w:szCs w:val="21"/>
                <w:highlight w:val="none"/>
              </w:rPr>
            </w:pPr>
            <w:r>
              <w:rPr>
                <w:rFonts w:hint="eastAsia" w:ascii="宋体" w:hAnsi="宋体" w:cs="宋体"/>
                <w:color w:val="auto"/>
                <w:szCs w:val="21"/>
                <w:highlight w:val="none"/>
              </w:rPr>
              <w:t>付款方式</w:t>
            </w:r>
          </w:p>
        </w:tc>
        <w:tc>
          <w:tcPr>
            <w:tcW w:w="2502" w:type="dxa"/>
            <w:tcBorders>
              <w:top w:val="single" w:color="auto" w:sz="4" w:space="0"/>
              <w:left w:val="single" w:color="auto" w:sz="4" w:space="0"/>
              <w:bottom w:val="single" w:color="auto" w:sz="4" w:space="0"/>
              <w:right w:val="single" w:color="auto" w:sz="4" w:space="0"/>
            </w:tcBorders>
          </w:tcPr>
          <w:p>
            <w:pPr>
              <w:spacing w:before="156" w:line="360" w:lineRule="auto"/>
              <w:rPr>
                <w:rFonts w:ascii="宋体" w:hAnsi="宋体" w:cs="宋体"/>
                <w:color w:val="auto"/>
                <w:szCs w:val="21"/>
                <w:highlight w:val="none"/>
              </w:rPr>
            </w:pPr>
          </w:p>
        </w:tc>
        <w:tc>
          <w:tcPr>
            <w:tcW w:w="1837" w:type="dxa"/>
            <w:tcBorders>
              <w:top w:val="single" w:color="auto" w:sz="4" w:space="0"/>
              <w:left w:val="single" w:color="auto" w:sz="4" w:space="0"/>
              <w:bottom w:val="single" w:color="auto" w:sz="4" w:space="0"/>
              <w:right w:val="single" w:color="auto" w:sz="4" w:space="0"/>
            </w:tcBorders>
          </w:tcPr>
          <w:p>
            <w:pPr>
              <w:spacing w:before="156" w:line="360" w:lineRule="auto"/>
              <w:jc w:val="center"/>
              <w:rPr>
                <w:rFonts w:ascii="宋体" w:hAnsi="宋体" w:cs="宋体"/>
                <w:color w:val="auto"/>
                <w:szCs w:val="21"/>
                <w:highlight w:val="none"/>
              </w:rPr>
            </w:pPr>
          </w:p>
        </w:tc>
        <w:tc>
          <w:tcPr>
            <w:tcW w:w="2563" w:type="dxa"/>
            <w:tcBorders>
              <w:top w:val="single" w:color="auto" w:sz="4" w:space="0"/>
              <w:left w:val="single" w:color="auto" w:sz="4" w:space="0"/>
              <w:bottom w:val="single" w:color="auto" w:sz="4" w:space="0"/>
              <w:right w:val="single" w:color="auto" w:sz="4" w:space="0"/>
            </w:tcBorders>
          </w:tcPr>
          <w:p>
            <w:pPr>
              <w:spacing w:before="156"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38" w:type="dxa"/>
            <w:tcBorders>
              <w:top w:val="single" w:color="auto" w:sz="4" w:space="0"/>
              <w:left w:val="single" w:color="auto" w:sz="4" w:space="0"/>
              <w:bottom w:val="single" w:color="auto" w:sz="4" w:space="0"/>
              <w:right w:val="single" w:color="auto" w:sz="4" w:space="0"/>
            </w:tcBorders>
          </w:tcPr>
          <w:p>
            <w:pPr>
              <w:spacing w:before="156" w:line="360" w:lineRule="auto"/>
              <w:jc w:val="center"/>
              <w:rPr>
                <w:rFonts w:ascii="宋体" w:hAnsi="宋体" w:cs="宋体"/>
                <w:color w:val="auto"/>
                <w:szCs w:val="21"/>
                <w:highlight w:val="none"/>
              </w:rPr>
            </w:pPr>
            <w:r>
              <w:rPr>
                <w:rFonts w:hint="eastAsia" w:ascii="宋体" w:hAnsi="宋体" w:cs="宋体"/>
                <w:color w:val="auto"/>
                <w:szCs w:val="21"/>
                <w:highlight w:val="none"/>
              </w:rPr>
              <w:t>其他</w:t>
            </w:r>
          </w:p>
        </w:tc>
        <w:tc>
          <w:tcPr>
            <w:tcW w:w="2502" w:type="dxa"/>
            <w:tcBorders>
              <w:top w:val="single" w:color="auto" w:sz="4" w:space="0"/>
              <w:left w:val="single" w:color="auto" w:sz="4" w:space="0"/>
              <w:bottom w:val="single" w:color="auto" w:sz="4" w:space="0"/>
              <w:right w:val="single" w:color="auto" w:sz="4" w:space="0"/>
            </w:tcBorders>
          </w:tcPr>
          <w:p>
            <w:pPr>
              <w:spacing w:before="156"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1837" w:type="dxa"/>
            <w:tcBorders>
              <w:top w:val="single" w:color="auto" w:sz="4" w:space="0"/>
              <w:left w:val="single" w:color="auto" w:sz="4" w:space="0"/>
              <w:bottom w:val="single" w:color="auto" w:sz="4" w:space="0"/>
              <w:right w:val="single" w:color="auto" w:sz="4" w:space="0"/>
            </w:tcBorders>
          </w:tcPr>
          <w:p>
            <w:pPr>
              <w:spacing w:before="156" w:line="360" w:lineRule="auto"/>
              <w:jc w:val="center"/>
              <w:rPr>
                <w:rFonts w:ascii="宋体" w:hAnsi="宋体" w:cs="宋体"/>
                <w:color w:val="auto"/>
                <w:szCs w:val="21"/>
                <w:highlight w:val="none"/>
              </w:rPr>
            </w:pPr>
          </w:p>
        </w:tc>
        <w:tc>
          <w:tcPr>
            <w:tcW w:w="2563" w:type="dxa"/>
            <w:tcBorders>
              <w:top w:val="single" w:color="auto" w:sz="4" w:space="0"/>
              <w:left w:val="single" w:color="auto" w:sz="4" w:space="0"/>
              <w:bottom w:val="single" w:color="auto" w:sz="4" w:space="0"/>
              <w:right w:val="single" w:color="auto" w:sz="4" w:space="0"/>
            </w:tcBorders>
          </w:tcPr>
          <w:p>
            <w:pPr>
              <w:spacing w:before="156" w:line="360" w:lineRule="auto"/>
              <w:jc w:val="center"/>
              <w:rPr>
                <w:rFonts w:ascii="宋体" w:hAnsi="宋体" w:cs="宋体"/>
                <w:color w:val="auto"/>
                <w:szCs w:val="21"/>
                <w:highlight w:val="none"/>
              </w:rPr>
            </w:pPr>
          </w:p>
        </w:tc>
      </w:tr>
    </w:tbl>
    <w:p>
      <w:pPr>
        <w:spacing w:line="360" w:lineRule="auto"/>
        <w:rPr>
          <w:rFonts w:ascii="宋体" w:hAnsi="宋体" w:cs="宋体"/>
          <w:color w:val="auto"/>
          <w:szCs w:val="21"/>
          <w:highlight w:val="none"/>
        </w:rPr>
      </w:pPr>
      <w:bookmarkStart w:id="208" w:name="_Hlt26782999"/>
      <w:bookmarkEnd w:id="208"/>
      <w:bookmarkStart w:id="209" w:name="_Hlt26609391"/>
      <w:bookmarkEnd w:id="209"/>
      <w:bookmarkStart w:id="210" w:name="_Hlt26580838"/>
      <w:bookmarkEnd w:id="210"/>
      <w:bookmarkStart w:id="211" w:name="_Hlt26955056"/>
      <w:bookmarkEnd w:id="211"/>
      <w:bookmarkStart w:id="212" w:name="_Hlt24879081"/>
      <w:bookmarkEnd w:id="212"/>
      <w:bookmarkStart w:id="213" w:name="_Hlt26671343"/>
      <w:bookmarkEnd w:id="213"/>
      <w:bookmarkStart w:id="214" w:name="_Hlt26955064"/>
      <w:bookmarkEnd w:id="214"/>
      <w:bookmarkStart w:id="215" w:name="_Hlt26671372"/>
      <w:bookmarkEnd w:id="215"/>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法定代表人或者授权代表（签字或盖章）：                    </w:t>
      </w:r>
    </w:p>
    <w:p>
      <w:pPr>
        <w:spacing w:line="360" w:lineRule="auto"/>
        <w:ind w:firstLine="211"/>
        <w:jc w:val="center"/>
        <w:rPr>
          <w:rFonts w:hint="eastAsia" w:ascii="宋体" w:hAnsi="宋体" w:cs="宋体"/>
          <w:b/>
          <w:color w:val="auto"/>
          <w:highlight w:val="none"/>
        </w:rPr>
      </w:pPr>
    </w:p>
    <w:p>
      <w:pPr>
        <w:spacing w:line="360" w:lineRule="auto"/>
        <w:ind w:firstLine="211"/>
        <w:jc w:val="center"/>
        <w:rPr>
          <w:rFonts w:hint="eastAsia" w:ascii="宋体" w:hAnsi="宋体" w:cs="宋体"/>
          <w:b/>
          <w:color w:val="auto"/>
          <w:highlight w:val="none"/>
        </w:rPr>
      </w:pPr>
    </w:p>
    <w:p>
      <w:pPr>
        <w:spacing w:line="360" w:lineRule="auto"/>
        <w:ind w:firstLine="211"/>
        <w:jc w:val="center"/>
        <w:rPr>
          <w:rFonts w:hint="eastAsia" w:ascii="宋体" w:hAnsi="宋体" w:cs="宋体"/>
          <w:b/>
          <w:color w:val="auto"/>
          <w:highlight w:val="none"/>
        </w:rPr>
      </w:pPr>
    </w:p>
    <w:p>
      <w:pPr>
        <w:spacing w:line="360" w:lineRule="auto"/>
        <w:ind w:firstLine="211"/>
        <w:jc w:val="center"/>
        <w:rPr>
          <w:rFonts w:hint="eastAsia" w:ascii="宋体" w:hAnsi="宋体" w:cs="宋体"/>
          <w:b/>
          <w:color w:val="auto"/>
          <w:highlight w:val="none"/>
        </w:rPr>
      </w:pPr>
    </w:p>
    <w:p>
      <w:pPr>
        <w:spacing w:line="360" w:lineRule="auto"/>
        <w:ind w:firstLine="211"/>
        <w:jc w:val="center"/>
        <w:rPr>
          <w:rFonts w:hint="eastAsia" w:ascii="宋体" w:hAnsi="宋体" w:cs="宋体"/>
          <w:b/>
          <w:color w:val="auto"/>
          <w:highlight w:val="none"/>
        </w:rPr>
      </w:pPr>
    </w:p>
    <w:p>
      <w:pPr>
        <w:spacing w:line="360" w:lineRule="auto"/>
        <w:ind w:firstLine="211"/>
        <w:jc w:val="center"/>
        <w:rPr>
          <w:rFonts w:hint="eastAsia" w:ascii="宋体" w:hAnsi="宋体" w:cs="宋体"/>
          <w:b/>
          <w:color w:val="auto"/>
          <w:highlight w:val="none"/>
        </w:rPr>
      </w:pPr>
    </w:p>
    <w:p>
      <w:pPr>
        <w:spacing w:line="360" w:lineRule="auto"/>
        <w:ind w:firstLine="211"/>
        <w:jc w:val="center"/>
        <w:rPr>
          <w:rFonts w:hint="eastAsia" w:ascii="宋体" w:hAnsi="宋体" w:cs="宋体"/>
          <w:b/>
          <w:color w:val="auto"/>
          <w:highlight w:val="none"/>
        </w:rPr>
      </w:pPr>
    </w:p>
    <w:p>
      <w:pPr>
        <w:spacing w:line="360" w:lineRule="auto"/>
        <w:ind w:firstLine="211"/>
        <w:jc w:val="center"/>
        <w:rPr>
          <w:rFonts w:hint="eastAsia" w:ascii="宋体" w:hAnsi="宋体" w:cs="宋体"/>
          <w:b/>
          <w:color w:val="auto"/>
          <w:highlight w:val="none"/>
        </w:rPr>
      </w:pPr>
    </w:p>
    <w:p>
      <w:pPr>
        <w:spacing w:line="360" w:lineRule="auto"/>
        <w:ind w:firstLine="211"/>
        <w:jc w:val="center"/>
        <w:rPr>
          <w:rFonts w:hint="eastAsia" w:ascii="宋体" w:hAnsi="宋体" w:cs="宋体"/>
          <w:b/>
          <w:color w:val="auto"/>
          <w:highlight w:val="none"/>
        </w:rPr>
      </w:pPr>
    </w:p>
    <w:p>
      <w:pPr>
        <w:spacing w:line="360" w:lineRule="auto"/>
        <w:ind w:firstLine="211"/>
        <w:jc w:val="center"/>
        <w:rPr>
          <w:rFonts w:hint="eastAsia" w:ascii="宋体" w:hAnsi="宋体" w:cs="宋体"/>
          <w:b/>
          <w:color w:val="auto"/>
          <w:highlight w:val="none"/>
        </w:rPr>
      </w:pPr>
    </w:p>
    <w:p>
      <w:pPr>
        <w:spacing w:line="360" w:lineRule="auto"/>
        <w:ind w:firstLine="211"/>
        <w:jc w:val="center"/>
        <w:rPr>
          <w:rFonts w:hint="eastAsia" w:ascii="宋体" w:hAnsi="宋体" w:cs="宋体"/>
          <w:b/>
          <w:color w:val="auto"/>
          <w:highlight w:val="none"/>
        </w:rPr>
      </w:pPr>
    </w:p>
    <w:p>
      <w:pPr>
        <w:spacing w:line="360" w:lineRule="auto"/>
        <w:ind w:firstLine="211"/>
        <w:jc w:val="center"/>
        <w:rPr>
          <w:rFonts w:hint="eastAsia" w:ascii="宋体" w:hAnsi="宋体" w:cs="宋体"/>
          <w:b/>
          <w:color w:val="auto"/>
          <w:highlight w:val="none"/>
        </w:rPr>
      </w:pPr>
    </w:p>
    <w:p>
      <w:pPr>
        <w:spacing w:line="360" w:lineRule="auto"/>
        <w:ind w:firstLine="211"/>
        <w:jc w:val="center"/>
        <w:rPr>
          <w:rFonts w:hint="eastAsia" w:ascii="宋体" w:hAnsi="宋体" w:cs="宋体"/>
          <w:b/>
          <w:color w:val="auto"/>
          <w:highlight w:val="none"/>
        </w:rPr>
      </w:pPr>
    </w:p>
    <w:p>
      <w:pPr>
        <w:spacing w:line="360" w:lineRule="auto"/>
        <w:ind w:firstLine="211"/>
        <w:jc w:val="center"/>
        <w:rPr>
          <w:rFonts w:hint="eastAsia" w:ascii="宋体" w:hAnsi="宋体" w:cs="宋体"/>
          <w:b/>
          <w:color w:val="auto"/>
          <w:highlight w:val="none"/>
        </w:rPr>
      </w:pPr>
    </w:p>
    <w:p>
      <w:pPr>
        <w:spacing w:line="360" w:lineRule="auto"/>
        <w:ind w:firstLine="211"/>
        <w:jc w:val="center"/>
        <w:rPr>
          <w:rFonts w:hint="eastAsia" w:ascii="宋体" w:hAnsi="宋体" w:cs="宋体"/>
          <w:b/>
          <w:color w:val="auto"/>
          <w:highlight w:val="none"/>
        </w:rPr>
      </w:pPr>
    </w:p>
    <w:p>
      <w:pPr>
        <w:spacing w:line="360" w:lineRule="auto"/>
        <w:ind w:firstLine="211"/>
        <w:jc w:val="center"/>
        <w:rPr>
          <w:rFonts w:hint="eastAsia" w:ascii="宋体" w:hAnsi="宋体" w:cs="宋体"/>
          <w:b/>
          <w:color w:val="auto"/>
          <w:highlight w:val="none"/>
        </w:rPr>
      </w:pPr>
    </w:p>
    <w:p>
      <w:pPr>
        <w:rPr>
          <w:rFonts w:hint="eastAsia" w:ascii="宋体" w:hAnsi="宋体" w:cs="宋体"/>
          <w:b/>
          <w:color w:val="auto"/>
          <w:highlight w:val="none"/>
        </w:rPr>
      </w:pPr>
      <w:r>
        <w:rPr>
          <w:rFonts w:hint="eastAsia" w:ascii="宋体" w:hAnsi="宋体" w:cs="宋体"/>
          <w:b/>
          <w:color w:val="auto"/>
          <w:highlight w:val="none"/>
        </w:rPr>
        <w:br w:type="page"/>
      </w:r>
    </w:p>
    <w:p>
      <w:pPr>
        <w:spacing w:line="360" w:lineRule="auto"/>
        <w:ind w:firstLine="211"/>
        <w:jc w:val="center"/>
        <w:rPr>
          <w:rFonts w:hint="eastAsia" w:ascii="宋体" w:hAnsi="宋体" w:cs="宋体"/>
          <w:b/>
          <w:color w:val="auto"/>
          <w:highlight w:val="none"/>
        </w:rPr>
      </w:pPr>
      <w:r>
        <w:rPr>
          <w:rFonts w:hint="eastAsia" w:ascii="宋体" w:hAnsi="宋体" w:cs="宋体"/>
          <w:b/>
          <w:color w:val="auto"/>
          <w:highlight w:val="none"/>
        </w:rPr>
        <w:t>联合体协议（如有）</w:t>
      </w:r>
    </w:p>
    <w:p>
      <w:pPr>
        <w:spacing w:line="360" w:lineRule="auto"/>
        <w:ind w:firstLine="211"/>
        <w:jc w:val="center"/>
        <w:rPr>
          <w:rFonts w:hint="eastAsia" w:ascii="宋体" w:hAnsi="宋体" w:cs="宋体"/>
          <w:b/>
          <w:color w:val="auto"/>
          <w:highlight w:val="none"/>
        </w:rPr>
      </w:pPr>
    </w:p>
    <w:p>
      <w:pPr>
        <w:spacing w:line="360" w:lineRule="auto"/>
        <w:rPr>
          <w:rFonts w:hint="eastAsia" w:ascii="宋体" w:hAnsi="宋体" w:cs="宋体"/>
          <w:color w:val="auto"/>
          <w:highlight w:val="none"/>
        </w:rPr>
      </w:pPr>
      <w:r>
        <w:rPr>
          <w:rFonts w:hint="eastAsia" w:ascii="宋体" w:hAnsi="宋体" w:cs="宋体"/>
          <w:color w:val="auto"/>
          <w:highlight w:val="none"/>
        </w:rPr>
        <w:t>（联合体中各供应商全称）在此达成以下协议：</w:t>
      </w:r>
    </w:p>
    <w:p>
      <w:pPr>
        <w:spacing w:line="360" w:lineRule="auto"/>
        <w:ind w:firstLine="645"/>
        <w:rPr>
          <w:rFonts w:hint="eastAsia" w:ascii="宋体" w:hAnsi="宋体" w:cs="宋体"/>
          <w:color w:val="auto"/>
          <w:highlight w:val="none"/>
        </w:rPr>
      </w:pPr>
      <w:r>
        <w:rPr>
          <w:rFonts w:hint="eastAsia" w:ascii="Times New Roman" w:hAnsi="Times New Roman" w:cs="宋体"/>
          <w:color w:val="auto"/>
          <w:highlight w:val="none"/>
          <w:lang w:eastAsia="zh-CN"/>
        </w:rPr>
        <w:t>1</w:t>
      </w:r>
      <w:r>
        <w:rPr>
          <w:rFonts w:hint="eastAsia" w:ascii="宋体" w:hAnsi="宋体" w:cs="宋体"/>
          <w:color w:val="auto"/>
          <w:highlight w:val="none"/>
        </w:rPr>
        <w:t>、我们自愿组成联合体，参加（代理公司）组织的采购编号为（项目编号）（项目全称）的政府采购活动。</w:t>
      </w:r>
    </w:p>
    <w:p>
      <w:pPr>
        <w:spacing w:line="360" w:lineRule="auto"/>
        <w:ind w:firstLine="645"/>
        <w:rPr>
          <w:rFonts w:hint="eastAsia" w:ascii="宋体" w:hAnsi="宋体" w:cs="宋体"/>
          <w:color w:val="auto"/>
          <w:highlight w:val="none"/>
        </w:rPr>
      </w:pPr>
      <w:r>
        <w:rPr>
          <w:rFonts w:hint="eastAsia" w:ascii="Times New Roman" w:hAnsi="Times New Roman" w:cs="宋体"/>
          <w:color w:val="auto"/>
          <w:highlight w:val="none"/>
          <w:lang w:eastAsia="zh-CN"/>
        </w:rPr>
        <w:t>2</w:t>
      </w:r>
      <w:r>
        <w:rPr>
          <w:rFonts w:hint="eastAsia" w:ascii="宋体" w:hAnsi="宋体" w:cs="宋体"/>
          <w:color w:val="auto"/>
          <w:highlight w:val="none"/>
        </w:rPr>
        <w:t>、若我们联合成交，（供应商单位</w:t>
      </w:r>
      <w:r>
        <w:rPr>
          <w:rFonts w:hint="eastAsia" w:ascii="Times New Roman" w:hAnsi="Times New Roman" w:cs="宋体"/>
          <w:color w:val="auto"/>
          <w:highlight w:val="none"/>
          <w:lang w:eastAsia="zh-CN"/>
        </w:rPr>
        <w:t>1</w:t>
      </w:r>
      <w:r>
        <w:rPr>
          <w:rFonts w:hint="eastAsia" w:ascii="宋体" w:hAnsi="宋体" w:cs="宋体"/>
          <w:color w:val="auto"/>
          <w:highlight w:val="none"/>
        </w:rPr>
        <w:t>全称）实施项目中（工作内容）部分工作，并承担相应的责任。（供应商单位</w:t>
      </w:r>
      <w:r>
        <w:rPr>
          <w:rFonts w:hint="eastAsia" w:ascii="Times New Roman" w:hAnsi="Times New Roman" w:cs="宋体"/>
          <w:color w:val="auto"/>
          <w:highlight w:val="none"/>
          <w:lang w:eastAsia="zh-CN"/>
        </w:rPr>
        <w:t>2</w:t>
      </w:r>
      <w:r>
        <w:rPr>
          <w:rFonts w:hint="eastAsia" w:ascii="宋体" w:hAnsi="宋体" w:cs="宋体"/>
          <w:color w:val="auto"/>
          <w:highlight w:val="none"/>
        </w:rPr>
        <w:t>全称）实施项目中（工作内容）部分工作，并承担相应的责任……。（注：联合体中各供应商都应明示所承担的工作和相应的责任）。</w:t>
      </w:r>
    </w:p>
    <w:p>
      <w:pPr>
        <w:spacing w:line="360" w:lineRule="auto"/>
        <w:ind w:firstLine="645"/>
        <w:rPr>
          <w:rFonts w:hint="eastAsia" w:ascii="宋体" w:hAnsi="宋体" w:cs="宋体"/>
          <w:color w:val="auto"/>
          <w:highlight w:val="none"/>
        </w:rPr>
      </w:pPr>
      <w:r>
        <w:rPr>
          <w:rFonts w:hint="eastAsia" w:ascii="宋体" w:hAnsi="宋体" w:cs="宋体"/>
          <w:color w:val="auto"/>
          <w:sz w:val="24"/>
          <w:highlight w:val="none"/>
        </w:rPr>
        <w:t xml:space="preserve">                                       </w:t>
      </w:r>
      <w:r>
        <w:rPr>
          <w:rFonts w:hint="eastAsia" w:ascii="宋体" w:hAnsi="宋体" w:cs="宋体"/>
          <w:color w:val="auto"/>
          <w:highlight w:val="none"/>
        </w:rPr>
        <w:t xml:space="preserve"> </w:t>
      </w:r>
    </w:p>
    <w:p>
      <w:pPr>
        <w:spacing w:line="360" w:lineRule="auto"/>
        <w:ind w:firstLine="4620"/>
        <w:rPr>
          <w:rFonts w:hint="eastAsia" w:ascii="宋体" w:hAnsi="宋体" w:cs="宋体"/>
          <w:color w:val="auto"/>
          <w:highlight w:val="none"/>
        </w:rPr>
      </w:pPr>
      <w:r>
        <w:rPr>
          <w:rFonts w:hint="eastAsia" w:ascii="宋体" w:hAnsi="宋体" w:cs="宋体"/>
          <w:color w:val="auto"/>
          <w:highlight w:val="none"/>
        </w:rPr>
        <w:t>所有供应商全称：</w:t>
      </w:r>
    </w:p>
    <w:p>
      <w:pPr>
        <w:spacing w:line="360" w:lineRule="auto"/>
        <w:ind w:firstLine="645"/>
        <w:rPr>
          <w:rFonts w:hint="eastAsia" w:ascii="宋体" w:hAnsi="宋体" w:cs="宋体"/>
          <w:color w:val="auto"/>
          <w:highlight w:val="none"/>
        </w:rPr>
      </w:pPr>
      <w:r>
        <w:rPr>
          <w:rFonts w:hint="eastAsia" w:ascii="宋体" w:hAnsi="宋体" w:cs="宋体"/>
          <w:color w:val="auto"/>
          <w:highlight w:val="none"/>
        </w:rPr>
        <w:t xml:space="preserve">                                      法定代表人：  </w:t>
      </w:r>
    </w:p>
    <w:p>
      <w:pPr>
        <w:spacing w:line="360" w:lineRule="auto"/>
        <w:ind w:firstLine="4620"/>
        <w:rPr>
          <w:rFonts w:hint="eastAsia" w:ascii="宋体" w:hAnsi="宋体" w:cs="宋体"/>
          <w:color w:val="auto"/>
          <w:highlight w:val="none"/>
        </w:rPr>
      </w:pPr>
      <w:r>
        <w:rPr>
          <w:rFonts w:hint="eastAsia" w:ascii="宋体" w:hAnsi="宋体" w:cs="宋体"/>
          <w:color w:val="auto"/>
          <w:highlight w:val="none"/>
        </w:rPr>
        <w:t>日期：</w:t>
      </w:r>
    </w:p>
    <w:p>
      <w:pPr>
        <w:widowControl/>
        <w:spacing w:line="360" w:lineRule="auto"/>
        <w:jc w:val="left"/>
        <w:rPr>
          <w:rFonts w:ascii="宋体" w:hAnsi="宋体" w:cs="宋体"/>
          <w:b/>
          <w:color w:val="auto"/>
          <w:highlight w:val="none"/>
        </w:rPr>
      </w:pPr>
    </w:p>
    <w:p>
      <w:pPr>
        <w:pStyle w:val="17"/>
        <w:spacing w:line="360" w:lineRule="auto"/>
        <w:rPr>
          <w:color w:val="auto"/>
          <w:highlight w:val="none"/>
        </w:rPr>
      </w:pPr>
    </w:p>
    <w:p>
      <w:pPr>
        <w:pStyle w:val="36"/>
        <w:spacing w:line="360" w:lineRule="auto"/>
        <w:rPr>
          <w:color w:val="auto"/>
          <w:highlight w:val="none"/>
        </w:rPr>
      </w:pPr>
    </w:p>
    <w:p>
      <w:pPr>
        <w:pStyle w:val="26"/>
        <w:spacing w:line="360" w:lineRule="auto"/>
        <w:rPr>
          <w:color w:val="auto"/>
          <w:highlight w:val="none"/>
        </w:rPr>
      </w:pPr>
    </w:p>
    <w:p>
      <w:pPr>
        <w:pStyle w:val="27"/>
        <w:spacing w:line="360" w:lineRule="auto"/>
        <w:rPr>
          <w:color w:val="auto"/>
          <w:highlight w:val="none"/>
        </w:rPr>
      </w:pPr>
    </w:p>
    <w:p>
      <w:pPr>
        <w:pStyle w:val="28"/>
        <w:spacing w:line="360" w:lineRule="auto"/>
        <w:rPr>
          <w:rFonts w:hint="default"/>
          <w:color w:val="auto"/>
          <w:highlight w:val="none"/>
        </w:rPr>
      </w:pPr>
    </w:p>
    <w:p>
      <w:pPr>
        <w:pStyle w:val="29"/>
        <w:spacing w:line="360" w:lineRule="auto"/>
        <w:rPr>
          <w:rFonts w:hint="default"/>
          <w:color w:val="auto"/>
          <w:highlight w:val="none"/>
        </w:rPr>
      </w:pPr>
    </w:p>
    <w:p>
      <w:pPr>
        <w:pStyle w:val="29"/>
        <w:spacing w:line="360" w:lineRule="auto"/>
        <w:rPr>
          <w:rFonts w:hint="default"/>
          <w:color w:val="auto"/>
          <w:highlight w:val="none"/>
        </w:rPr>
      </w:pPr>
    </w:p>
    <w:p>
      <w:pPr>
        <w:pStyle w:val="29"/>
        <w:spacing w:line="360" w:lineRule="auto"/>
        <w:rPr>
          <w:rFonts w:hint="default"/>
          <w:color w:val="auto"/>
          <w:highlight w:val="none"/>
        </w:rPr>
      </w:pPr>
    </w:p>
    <w:p>
      <w:pPr>
        <w:pStyle w:val="29"/>
        <w:spacing w:line="360" w:lineRule="auto"/>
        <w:rPr>
          <w:rFonts w:hint="default"/>
          <w:color w:val="auto"/>
          <w:highlight w:val="none"/>
        </w:rPr>
      </w:pPr>
    </w:p>
    <w:p>
      <w:pPr>
        <w:pStyle w:val="29"/>
        <w:spacing w:line="360" w:lineRule="auto"/>
        <w:rPr>
          <w:rFonts w:hint="default"/>
          <w:color w:val="auto"/>
          <w:highlight w:val="none"/>
        </w:rPr>
      </w:pPr>
    </w:p>
    <w:p>
      <w:pPr>
        <w:pStyle w:val="29"/>
        <w:spacing w:line="360" w:lineRule="auto"/>
        <w:rPr>
          <w:rFonts w:hint="default"/>
          <w:color w:val="auto"/>
          <w:highlight w:val="none"/>
        </w:rPr>
      </w:pPr>
    </w:p>
    <w:p>
      <w:pPr>
        <w:pStyle w:val="29"/>
        <w:spacing w:line="360" w:lineRule="auto"/>
        <w:rPr>
          <w:rFonts w:hint="default"/>
          <w:color w:val="auto"/>
          <w:highlight w:val="none"/>
        </w:rPr>
      </w:pPr>
    </w:p>
    <w:p>
      <w:pPr>
        <w:pStyle w:val="29"/>
        <w:spacing w:line="360" w:lineRule="auto"/>
        <w:rPr>
          <w:rFonts w:hint="default"/>
          <w:color w:val="auto"/>
          <w:highlight w:val="none"/>
        </w:rPr>
      </w:pPr>
    </w:p>
    <w:p>
      <w:pPr>
        <w:pStyle w:val="29"/>
        <w:spacing w:line="360" w:lineRule="auto"/>
        <w:rPr>
          <w:rFonts w:hint="default"/>
          <w:color w:val="auto"/>
          <w:highlight w:val="none"/>
        </w:rPr>
      </w:pPr>
    </w:p>
    <w:p>
      <w:pPr>
        <w:widowControl/>
        <w:spacing w:line="360" w:lineRule="auto"/>
        <w:jc w:val="left"/>
        <w:rPr>
          <w:rFonts w:ascii="宋体" w:hAnsi="宋体" w:cs="宋体"/>
          <w:color w:val="auto"/>
          <w:highlight w:val="none"/>
        </w:rPr>
      </w:pPr>
    </w:p>
    <w:sectPr>
      <w:footerReference r:id="rId9" w:type="default"/>
      <w:pgSz w:w="11849" w:h="16792"/>
      <w:pgMar w:top="1417" w:right="850" w:bottom="1417" w:left="850" w:header="850" w:footer="850"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rdia New">
    <w:altName w:val="Segoe Print"/>
    <w:panose1 w:val="020B0304020202020204"/>
    <w:charset w:val="00"/>
    <w:family w:val="swiss"/>
    <w:pitch w:val="default"/>
    <w:sig w:usb0="00000000" w:usb1="00000000" w:usb2="00000000" w:usb3="00000000" w:csb0="00010001" w:csb1="00000000"/>
  </w:font>
  <w:font w:name="Segoe Print">
    <w:panose1 w:val="02000600000000000000"/>
    <w:charset w:val="00"/>
    <w:family w:val="auto"/>
    <w:pitch w:val="default"/>
    <w:sig w:usb0="0000028F" w:usb1="00000000" w:usb2="00000000" w:usb3="00000000" w:csb0="2000009F" w:csb1="47010000"/>
  </w:font>
  <w:font w:name="幼圆">
    <w:panose1 w:val="02010509060101010101"/>
    <w:charset w:val="86"/>
    <w:family w:val="modern"/>
    <w:pitch w:val="default"/>
    <w:sig w:usb0="00000001" w:usb1="080E0000" w:usb2="00000000" w:usb3="00000000" w:csb0="00040000" w:csb1="00000000"/>
  </w:font>
  <w:font w:name="楷体_GB2312">
    <w:altName w:val="楷体"/>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ind w:left="0"/>
      <w:rPr>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t xml:space="preserve">第 </w:t>
                          </w:r>
                          <w:r>
                            <w:fldChar w:fldCharType="begin"/>
                          </w:r>
                          <w:r>
                            <w:instrText xml:space="preserve"> PAGE  \* MERGEFORMAT </w:instrText>
                          </w:r>
                          <w:r>
                            <w:fldChar w:fldCharType="separate"/>
                          </w:r>
                          <w:r>
                            <w:t>15</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6"/>
                    </w:pPr>
                    <w:r>
                      <w:t xml:space="preserve">第 </w:t>
                    </w:r>
                    <w:r>
                      <w:fldChar w:fldCharType="begin"/>
                    </w:r>
                    <w:r>
                      <w:instrText xml:space="preserve"> PAGE  \* MERGEFORMAT </w:instrText>
                    </w:r>
                    <w:r>
                      <w:fldChar w:fldCharType="separate"/>
                    </w:r>
                    <w:r>
                      <w:t>15</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ind w:left="0"/>
      <w:rPr>
        <w:sz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6"/>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ind w:left="0"/>
      <w:rPr>
        <w:sz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6"/>
                    </w:pPr>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t xml:space="preserve">第 </w:t>
                          </w:r>
                          <w:r>
                            <w:fldChar w:fldCharType="begin"/>
                          </w:r>
                          <w:r>
                            <w:instrText xml:space="preserve"> PAGE  \* MERGEFORMAT </w:instrText>
                          </w:r>
                          <w:r>
                            <w:fldChar w:fldCharType="separate"/>
                          </w:r>
                          <w:r>
                            <w:t>77</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6"/>
                    </w:pPr>
                    <w:r>
                      <w:t xml:space="preserve">第 </w:t>
                    </w:r>
                    <w:r>
                      <w:fldChar w:fldCharType="begin"/>
                    </w:r>
                    <w:r>
                      <w:instrText xml:space="preserve"> PAGE  \* MERGEFORMAT </w:instrText>
                    </w:r>
                    <w:r>
                      <w:fldChar w:fldCharType="separate"/>
                    </w:r>
                    <w:r>
                      <w:t>77</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single" w:color="auto" w:sz="4" w:space="1"/>
      </w:pBdr>
      <w:rPr>
        <w:rFonts w:hint="default" w:eastAsia="宋体"/>
        <w:lang w:val="en-US" w:eastAsia="zh-CN"/>
      </w:rPr>
    </w:pPr>
    <w:r>
      <w:rPr>
        <w:rFonts w:hint="eastAsia" w:ascii="Times New Roman" w:hAnsi="Times New Roman"/>
        <w:lang w:eastAsia="zh-CN"/>
      </w:rPr>
      <w:t>GZ427</w:t>
    </w:r>
    <w:r>
      <w:rPr>
        <w:rFonts w:hint="eastAsia"/>
      </w:rPr>
      <w:t>、</w:t>
    </w:r>
    <w:r>
      <w:rPr>
        <w:rFonts w:hint="eastAsia" w:ascii="Times New Roman" w:hAnsi="Times New Roman"/>
        <w:lang w:eastAsia="zh-CN"/>
      </w:rPr>
      <w:t>428</w:t>
    </w:r>
    <w:r>
      <w:rPr>
        <w:rFonts w:hint="eastAsia"/>
      </w:rPr>
      <w:t>地块项目开发管理服务采购项目</w:t>
    </w:r>
    <w:r>
      <w:rPr>
        <w:rFonts w:hint="eastAsia"/>
        <w:lang w:val="en-US" w:eastAsia="zh-CN"/>
      </w:rPr>
      <w:t xml:space="preserve">                                                              </w:t>
    </w:r>
    <w:r>
      <w:rPr>
        <w:rFonts w:hint="eastAsia" w:ascii="Times New Roman" w:hAnsi="Times New Roman"/>
        <w:lang w:val="en-US" w:eastAsia="zh-CN"/>
      </w:rPr>
      <w:t>HXZY202301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C8C81D"/>
    <w:multiLevelType w:val="singleLevel"/>
    <w:tmpl w:val="91C8C81D"/>
    <w:lvl w:ilvl="0" w:tentative="0">
      <w:start w:val="3"/>
      <w:numFmt w:val="chineseCounting"/>
      <w:suff w:val="nothing"/>
      <w:lvlText w:val="%1、"/>
      <w:lvlJc w:val="left"/>
      <w:rPr>
        <w:rFonts w:hint="eastAsia"/>
      </w:rPr>
    </w:lvl>
  </w:abstractNum>
  <w:abstractNum w:abstractNumId="1">
    <w:nsid w:val="95B6C393"/>
    <w:multiLevelType w:val="singleLevel"/>
    <w:tmpl w:val="95B6C393"/>
    <w:lvl w:ilvl="0" w:tentative="0">
      <w:start w:val="1"/>
      <w:numFmt w:val="decimal"/>
      <w:suff w:val="nothing"/>
      <w:lvlText w:val="%1、"/>
      <w:lvlJc w:val="left"/>
    </w:lvl>
  </w:abstractNum>
  <w:abstractNum w:abstractNumId="2">
    <w:nsid w:val="EED56923"/>
    <w:multiLevelType w:val="multilevel"/>
    <w:tmpl w:val="EED56923"/>
    <w:lvl w:ilvl="0" w:tentative="0">
      <w:start w:val="1"/>
      <w:numFmt w:val="chineseCounting"/>
      <w:pStyle w:val="10"/>
      <w:suff w:val="nothing"/>
      <w:lvlText w:val="%1、"/>
      <w:lvlJc w:val="left"/>
      <w:pPr>
        <w:tabs>
          <w:tab w:val="left" w:pos="0"/>
        </w:tabs>
        <w:ind w:left="0" w:firstLine="0"/>
      </w:pPr>
      <w:rPr>
        <w:rFonts w:hint="eastAsia" w:ascii="宋体" w:hAnsi="宋体" w:eastAsia="宋体" w:cs="宋体"/>
        <w:b/>
        <w:bCs/>
        <w:sz w:val="21"/>
        <w:szCs w:val="21"/>
      </w:rPr>
    </w:lvl>
    <w:lvl w:ilvl="1" w:tentative="0">
      <w:start w:val="1"/>
      <w:numFmt w:val="decimal"/>
      <w:suff w:val="nothing"/>
      <w:lvlText w:val="%2、"/>
      <w:lvlJc w:val="left"/>
      <w:pPr>
        <w:tabs>
          <w:tab w:val="left" w:pos="420"/>
        </w:tabs>
        <w:ind w:left="0" w:firstLine="0"/>
      </w:pPr>
      <w:rPr>
        <w:rFonts w:hint="eastAsia" w:ascii="宋体" w:hAnsi="宋体" w:eastAsia="宋体" w:cs="宋体"/>
        <w:b/>
        <w:bCs/>
        <w:sz w:val="28"/>
        <w:szCs w:val="28"/>
      </w:rPr>
    </w:lvl>
    <w:lvl w:ilvl="2" w:tentative="0">
      <w:start w:val="1"/>
      <w:numFmt w:val="decimal"/>
      <w:suff w:val="nothing"/>
      <w:lvlText w:val="%2.%3、"/>
      <w:lvlJc w:val="left"/>
      <w:pPr>
        <w:tabs>
          <w:tab w:val="left" w:pos="0"/>
        </w:tabs>
        <w:ind w:left="0" w:firstLine="0"/>
      </w:pPr>
      <w:rPr>
        <w:rFonts w:hint="eastAsia" w:ascii="宋体" w:hAnsi="宋体" w:eastAsia="宋体" w:cs="宋体"/>
        <w:b/>
        <w:bCs/>
        <w:sz w:val="28"/>
        <w:szCs w:val="28"/>
      </w:rPr>
    </w:lvl>
    <w:lvl w:ilvl="3" w:tentative="0">
      <w:start w:val="1"/>
      <w:numFmt w:val="decimal"/>
      <w:suff w:val="nothing"/>
      <w:lvlText w:val="%2.%3.%4、"/>
      <w:lvlJc w:val="left"/>
      <w:pPr>
        <w:tabs>
          <w:tab w:val="left" w:pos="420"/>
        </w:tabs>
        <w:ind w:left="0" w:firstLine="0"/>
      </w:pPr>
      <w:rPr>
        <w:rFonts w:hint="eastAsia" w:ascii="宋体" w:hAnsi="宋体" w:eastAsia="宋体" w:cs="宋体"/>
        <w:b/>
        <w:bCs/>
        <w:sz w:val="28"/>
        <w:szCs w:val="28"/>
      </w:rPr>
    </w:lvl>
    <w:lvl w:ilvl="4" w:tentative="0">
      <w:start w:val="1"/>
      <w:numFmt w:val="decimal"/>
      <w:suff w:val="nothing"/>
      <w:lvlText w:val="%2.%3.%4.%5、"/>
      <w:lvlJc w:val="left"/>
      <w:pPr>
        <w:tabs>
          <w:tab w:val="left" w:pos="420"/>
        </w:tabs>
        <w:ind w:left="0" w:firstLine="0"/>
      </w:pPr>
      <w:rPr>
        <w:rFonts w:hint="eastAsia" w:ascii="宋体" w:hAnsi="宋体" w:eastAsia="宋体" w:cs="宋体"/>
        <w:b/>
        <w:bCs/>
        <w:sz w:val="28"/>
        <w:szCs w:val="28"/>
      </w:rPr>
    </w:lvl>
    <w:lvl w:ilvl="5" w:tentative="0">
      <w:start w:val="1"/>
      <w:numFmt w:val="decimal"/>
      <w:suff w:val="nothing"/>
      <w:lvlText w:val="%2.%3.%4.%5.%6、"/>
      <w:lvlJc w:val="left"/>
      <w:pPr>
        <w:tabs>
          <w:tab w:val="left" w:pos="420"/>
        </w:tabs>
        <w:ind w:left="0" w:firstLine="0"/>
      </w:pPr>
      <w:rPr>
        <w:rFonts w:hint="eastAsia" w:ascii="宋体" w:hAnsi="宋体" w:eastAsia="宋体" w:cs="宋体"/>
        <w:b/>
        <w:bCs/>
        <w:sz w:val="28"/>
        <w:szCs w:val="28"/>
      </w:rPr>
    </w:lvl>
    <w:lvl w:ilvl="6" w:tentative="0">
      <w:start w:val="1"/>
      <w:numFmt w:val="decimal"/>
      <w:suff w:val="nothing"/>
      <w:lvlText w:val="%2.%3.%4.%5.%6.%7、"/>
      <w:lvlJc w:val="left"/>
      <w:pPr>
        <w:tabs>
          <w:tab w:val="left" w:pos="420"/>
        </w:tabs>
        <w:ind w:left="0" w:firstLine="0"/>
      </w:pPr>
      <w:rPr>
        <w:rFonts w:hint="eastAsia" w:ascii="宋体" w:hAnsi="宋体" w:eastAsia="宋体" w:cs="宋体"/>
        <w:b/>
        <w:bCs/>
        <w:sz w:val="28"/>
        <w:szCs w:val="28"/>
      </w:rPr>
    </w:lvl>
    <w:lvl w:ilvl="7" w:tentative="0">
      <w:start w:val="1"/>
      <w:numFmt w:val="decimal"/>
      <w:suff w:val="nothing"/>
      <w:lvlText w:val="%2.%3.%4.%5.%6.%7.%8、"/>
      <w:lvlJc w:val="left"/>
      <w:pPr>
        <w:tabs>
          <w:tab w:val="left" w:pos="420"/>
        </w:tabs>
        <w:ind w:left="0" w:firstLine="0"/>
      </w:pPr>
      <w:rPr>
        <w:rFonts w:hint="eastAsia" w:ascii="宋体" w:hAnsi="宋体" w:eastAsia="宋体" w:cs="宋体"/>
        <w:b/>
        <w:bCs/>
        <w:sz w:val="28"/>
        <w:szCs w:val="28"/>
      </w:rPr>
    </w:lvl>
    <w:lvl w:ilvl="8" w:tentative="0">
      <w:start w:val="1"/>
      <w:numFmt w:val="decimal"/>
      <w:suff w:val="nothing"/>
      <w:lvlText w:val="%2.%3.%4.%5.%6.%7.%8.%9、"/>
      <w:lvlJc w:val="left"/>
      <w:pPr>
        <w:tabs>
          <w:tab w:val="left" w:pos="420"/>
        </w:tabs>
        <w:ind w:left="0" w:firstLine="0"/>
      </w:pPr>
      <w:rPr>
        <w:rFonts w:hint="eastAsia" w:ascii="宋体" w:hAnsi="宋体" w:eastAsia="宋体" w:cs="宋体"/>
        <w:b/>
        <w:bCs/>
        <w:sz w:val="28"/>
        <w:szCs w:val="28"/>
      </w:rPr>
    </w:lvl>
  </w:abstractNum>
  <w:abstractNum w:abstractNumId="3">
    <w:nsid w:val="FC6CA6EC"/>
    <w:multiLevelType w:val="singleLevel"/>
    <w:tmpl w:val="FC6CA6EC"/>
    <w:lvl w:ilvl="0" w:tentative="0">
      <w:start w:val="1"/>
      <w:numFmt w:val="bullet"/>
      <w:pStyle w:val="21"/>
      <w:lvlText w:val=""/>
      <w:lvlJc w:val="left"/>
      <w:pPr>
        <w:tabs>
          <w:tab w:val="left" w:pos="780"/>
        </w:tabs>
        <w:ind w:left="780" w:hanging="360"/>
      </w:pPr>
      <w:rPr>
        <w:rFonts w:hint="default" w:ascii="Wingdings" w:hAnsi="Wingdings"/>
      </w:rPr>
    </w:lvl>
  </w:abstractNum>
  <w:abstractNum w:abstractNumId="4">
    <w:nsid w:val="00904664"/>
    <w:multiLevelType w:val="multilevel"/>
    <w:tmpl w:val="00904664"/>
    <w:lvl w:ilvl="0" w:tentative="0">
      <w:start w:val="1"/>
      <w:numFmt w:val="decimal"/>
      <w:lvlText w:val="（%1）"/>
      <w:lvlJc w:val="left"/>
      <w:pPr>
        <w:ind w:left="529" w:hanging="525"/>
      </w:pPr>
      <w:rPr>
        <w:rFonts w:hint="default" w:ascii="宋体" w:hAnsi="宋体" w:eastAsia="宋体" w:cs="宋体"/>
        <w:spacing w:val="-1"/>
        <w:w w:val="99"/>
        <w:sz w:val="19"/>
        <w:szCs w:val="19"/>
      </w:rPr>
    </w:lvl>
    <w:lvl w:ilvl="1" w:tentative="0">
      <w:start w:val="0"/>
      <w:numFmt w:val="bullet"/>
      <w:lvlText w:val="•"/>
      <w:lvlJc w:val="left"/>
      <w:pPr>
        <w:ind w:left="1232" w:hanging="525"/>
      </w:pPr>
      <w:rPr>
        <w:rFonts w:hint="default"/>
      </w:rPr>
    </w:lvl>
    <w:lvl w:ilvl="2" w:tentative="0">
      <w:start w:val="0"/>
      <w:numFmt w:val="bullet"/>
      <w:lvlText w:val="•"/>
      <w:lvlJc w:val="left"/>
      <w:pPr>
        <w:ind w:left="1944" w:hanging="525"/>
      </w:pPr>
      <w:rPr>
        <w:rFonts w:hint="default"/>
      </w:rPr>
    </w:lvl>
    <w:lvl w:ilvl="3" w:tentative="0">
      <w:start w:val="0"/>
      <w:numFmt w:val="bullet"/>
      <w:lvlText w:val="•"/>
      <w:lvlJc w:val="left"/>
      <w:pPr>
        <w:ind w:left="2656" w:hanging="525"/>
      </w:pPr>
      <w:rPr>
        <w:rFonts w:hint="default"/>
      </w:rPr>
    </w:lvl>
    <w:lvl w:ilvl="4" w:tentative="0">
      <w:start w:val="0"/>
      <w:numFmt w:val="bullet"/>
      <w:lvlText w:val="•"/>
      <w:lvlJc w:val="left"/>
      <w:pPr>
        <w:ind w:left="3369" w:hanging="525"/>
      </w:pPr>
      <w:rPr>
        <w:rFonts w:hint="default"/>
      </w:rPr>
    </w:lvl>
    <w:lvl w:ilvl="5" w:tentative="0">
      <w:start w:val="0"/>
      <w:numFmt w:val="bullet"/>
      <w:lvlText w:val="•"/>
      <w:lvlJc w:val="left"/>
      <w:pPr>
        <w:ind w:left="4081" w:hanging="525"/>
      </w:pPr>
      <w:rPr>
        <w:rFonts w:hint="default"/>
      </w:rPr>
    </w:lvl>
    <w:lvl w:ilvl="6" w:tentative="0">
      <w:start w:val="0"/>
      <w:numFmt w:val="bullet"/>
      <w:lvlText w:val="•"/>
      <w:lvlJc w:val="left"/>
      <w:pPr>
        <w:ind w:left="4793" w:hanging="525"/>
      </w:pPr>
      <w:rPr>
        <w:rFonts w:hint="default"/>
      </w:rPr>
    </w:lvl>
    <w:lvl w:ilvl="7" w:tentative="0">
      <w:start w:val="0"/>
      <w:numFmt w:val="bullet"/>
      <w:lvlText w:val="•"/>
      <w:lvlJc w:val="left"/>
      <w:pPr>
        <w:ind w:left="5506" w:hanging="525"/>
      </w:pPr>
      <w:rPr>
        <w:rFonts w:hint="default"/>
      </w:rPr>
    </w:lvl>
    <w:lvl w:ilvl="8" w:tentative="0">
      <w:start w:val="0"/>
      <w:numFmt w:val="bullet"/>
      <w:lvlText w:val="•"/>
      <w:lvlJc w:val="left"/>
      <w:pPr>
        <w:ind w:left="6218" w:hanging="525"/>
      </w:pPr>
      <w:rPr>
        <w:rFonts w:hint="default"/>
      </w:rPr>
    </w:lvl>
  </w:abstractNum>
  <w:abstractNum w:abstractNumId="5">
    <w:nsid w:val="01AB25B0"/>
    <w:multiLevelType w:val="multilevel"/>
    <w:tmpl w:val="01AB25B0"/>
    <w:lvl w:ilvl="0" w:tentative="0">
      <w:start w:val="0"/>
      <w:numFmt w:val="bullet"/>
      <w:lvlText w:val=""/>
      <w:lvlJc w:val="left"/>
      <w:pPr>
        <w:ind w:left="526" w:hanging="420"/>
      </w:pPr>
      <w:rPr>
        <w:rFonts w:hint="default" w:ascii="Symbol" w:hAnsi="Symbol" w:eastAsia="Symbol" w:cs="Symbol"/>
        <w:w w:val="99"/>
        <w:sz w:val="21"/>
        <w:szCs w:val="21"/>
      </w:rPr>
    </w:lvl>
    <w:lvl w:ilvl="1" w:tentative="0">
      <w:start w:val="0"/>
      <w:numFmt w:val="bullet"/>
      <w:lvlText w:val="•"/>
      <w:lvlJc w:val="left"/>
      <w:pPr>
        <w:ind w:left="1133" w:hanging="420"/>
      </w:pPr>
      <w:rPr>
        <w:rFonts w:hint="default"/>
      </w:rPr>
    </w:lvl>
    <w:lvl w:ilvl="2" w:tentative="0">
      <w:start w:val="0"/>
      <w:numFmt w:val="bullet"/>
      <w:lvlText w:val="•"/>
      <w:lvlJc w:val="left"/>
      <w:pPr>
        <w:ind w:left="1746" w:hanging="420"/>
      </w:pPr>
      <w:rPr>
        <w:rFonts w:hint="default"/>
      </w:rPr>
    </w:lvl>
    <w:lvl w:ilvl="3" w:tentative="0">
      <w:start w:val="0"/>
      <w:numFmt w:val="bullet"/>
      <w:lvlText w:val="•"/>
      <w:lvlJc w:val="left"/>
      <w:pPr>
        <w:ind w:left="2359" w:hanging="420"/>
      </w:pPr>
      <w:rPr>
        <w:rFonts w:hint="default"/>
      </w:rPr>
    </w:lvl>
    <w:lvl w:ilvl="4" w:tentative="0">
      <w:start w:val="0"/>
      <w:numFmt w:val="bullet"/>
      <w:lvlText w:val="•"/>
      <w:lvlJc w:val="left"/>
      <w:pPr>
        <w:ind w:left="2972" w:hanging="420"/>
      </w:pPr>
      <w:rPr>
        <w:rFonts w:hint="default"/>
      </w:rPr>
    </w:lvl>
    <w:lvl w:ilvl="5" w:tentative="0">
      <w:start w:val="0"/>
      <w:numFmt w:val="bullet"/>
      <w:lvlText w:val="•"/>
      <w:lvlJc w:val="left"/>
      <w:pPr>
        <w:ind w:left="3586" w:hanging="420"/>
      </w:pPr>
      <w:rPr>
        <w:rFonts w:hint="default"/>
      </w:rPr>
    </w:lvl>
    <w:lvl w:ilvl="6" w:tentative="0">
      <w:start w:val="0"/>
      <w:numFmt w:val="bullet"/>
      <w:lvlText w:val="•"/>
      <w:lvlJc w:val="left"/>
      <w:pPr>
        <w:ind w:left="4199" w:hanging="420"/>
      </w:pPr>
      <w:rPr>
        <w:rFonts w:hint="default"/>
      </w:rPr>
    </w:lvl>
    <w:lvl w:ilvl="7" w:tentative="0">
      <w:start w:val="0"/>
      <w:numFmt w:val="bullet"/>
      <w:lvlText w:val="•"/>
      <w:lvlJc w:val="left"/>
      <w:pPr>
        <w:ind w:left="4812" w:hanging="420"/>
      </w:pPr>
      <w:rPr>
        <w:rFonts w:hint="default"/>
      </w:rPr>
    </w:lvl>
    <w:lvl w:ilvl="8" w:tentative="0">
      <w:start w:val="0"/>
      <w:numFmt w:val="bullet"/>
      <w:lvlText w:val="•"/>
      <w:lvlJc w:val="left"/>
      <w:pPr>
        <w:ind w:left="5425" w:hanging="420"/>
      </w:pPr>
      <w:rPr>
        <w:rFonts w:hint="default"/>
      </w:rPr>
    </w:lvl>
  </w:abstractNum>
  <w:abstractNum w:abstractNumId="6">
    <w:nsid w:val="09831C72"/>
    <w:multiLevelType w:val="multilevel"/>
    <w:tmpl w:val="09831C72"/>
    <w:lvl w:ilvl="0" w:tentative="0">
      <w:start w:val="0"/>
      <w:numFmt w:val="bullet"/>
      <w:lvlText w:val=""/>
      <w:lvlJc w:val="left"/>
      <w:pPr>
        <w:ind w:left="526" w:hanging="420"/>
      </w:pPr>
      <w:rPr>
        <w:rFonts w:hint="default" w:ascii="Symbol" w:hAnsi="Symbol" w:eastAsia="Symbol" w:cs="Symbol"/>
        <w:w w:val="99"/>
        <w:sz w:val="21"/>
        <w:szCs w:val="21"/>
      </w:rPr>
    </w:lvl>
    <w:lvl w:ilvl="1" w:tentative="0">
      <w:start w:val="0"/>
      <w:numFmt w:val="bullet"/>
      <w:lvlText w:val="•"/>
      <w:lvlJc w:val="left"/>
      <w:pPr>
        <w:ind w:left="1133" w:hanging="420"/>
      </w:pPr>
      <w:rPr>
        <w:rFonts w:hint="default"/>
      </w:rPr>
    </w:lvl>
    <w:lvl w:ilvl="2" w:tentative="0">
      <w:start w:val="0"/>
      <w:numFmt w:val="bullet"/>
      <w:lvlText w:val="•"/>
      <w:lvlJc w:val="left"/>
      <w:pPr>
        <w:ind w:left="1746" w:hanging="420"/>
      </w:pPr>
      <w:rPr>
        <w:rFonts w:hint="default"/>
      </w:rPr>
    </w:lvl>
    <w:lvl w:ilvl="3" w:tentative="0">
      <w:start w:val="0"/>
      <w:numFmt w:val="bullet"/>
      <w:lvlText w:val="•"/>
      <w:lvlJc w:val="left"/>
      <w:pPr>
        <w:ind w:left="2359" w:hanging="420"/>
      </w:pPr>
      <w:rPr>
        <w:rFonts w:hint="default"/>
      </w:rPr>
    </w:lvl>
    <w:lvl w:ilvl="4" w:tentative="0">
      <w:start w:val="0"/>
      <w:numFmt w:val="bullet"/>
      <w:lvlText w:val="•"/>
      <w:lvlJc w:val="left"/>
      <w:pPr>
        <w:ind w:left="2972" w:hanging="420"/>
      </w:pPr>
      <w:rPr>
        <w:rFonts w:hint="default"/>
      </w:rPr>
    </w:lvl>
    <w:lvl w:ilvl="5" w:tentative="0">
      <w:start w:val="0"/>
      <w:numFmt w:val="bullet"/>
      <w:lvlText w:val="•"/>
      <w:lvlJc w:val="left"/>
      <w:pPr>
        <w:ind w:left="3586" w:hanging="420"/>
      </w:pPr>
      <w:rPr>
        <w:rFonts w:hint="default"/>
      </w:rPr>
    </w:lvl>
    <w:lvl w:ilvl="6" w:tentative="0">
      <w:start w:val="0"/>
      <w:numFmt w:val="bullet"/>
      <w:lvlText w:val="•"/>
      <w:lvlJc w:val="left"/>
      <w:pPr>
        <w:ind w:left="4199" w:hanging="420"/>
      </w:pPr>
      <w:rPr>
        <w:rFonts w:hint="default"/>
      </w:rPr>
    </w:lvl>
    <w:lvl w:ilvl="7" w:tentative="0">
      <w:start w:val="0"/>
      <w:numFmt w:val="bullet"/>
      <w:lvlText w:val="•"/>
      <w:lvlJc w:val="left"/>
      <w:pPr>
        <w:ind w:left="4812" w:hanging="420"/>
      </w:pPr>
      <w:rPr>
        <w:rFonts w:hint="default"/>
      </w:rPr>
    </w:lvl>
    <w:lvl w:ilvl="8" w:tentative="0">
      <w:start w:val="0"/>
      <w:numFmt w:val="bullet"/>
      <w:lvlText w:val="•"/>
      <w:lvlJc w:val="left"/>
      <w:pPr>
        <w:ind w:left="5425" w:hanging="420"/>
      </w:pPr>
      <w:rPr>
        <w:rFonts w:hint="default"/>
      </w:rPr>
    </w:lvl>
  </w:abstractNum>
  <w:abstractNum w:abstractNumId="7">
    <w:nsid w:val="0AED60CF"/>
    <w:multiLevelType w:val="multilevel"/>
    <w:tmpl w:val="0AED60CF"/>
    <w:lvl w:ilvl="0" w:tentative="0">
      <w:start w:val="0"/>
      <w:numFmt w:val="bullet"/>
      <w:lvlText w:val=""/>
      <w:lvlJc w:val="left"/>
      <w:pPr>
        <w:ind w:left="526" w:hanging="420"/>
      </w:pPr>
      <w:rPr>
        <w:rFonts w:hint="default" w:ascii="Symbol" w:hAnsi="Symbol" w:eastAsia="Symbol" w:cs="Symbol"/>
        <w:w w:val="99"/>
        <w:sz w:val="21"/>
        <w:szCs w:val="21"/>
      </w:rPr>
    </w:lvl>
    <w:lvl w:ilvl="1" w:tentative="0">
      <w:start w:val="0"/>
      <w:numFmt w:val="bullet"/>
      <w:lvlText w:val="•"/>
      <w:lvlJc w:val="left"/>
      <w:pPr>
        <w:ind w:left="1133" w:hanging="420"/>
      </w:pPr>
      <w:rPr>
        <w:rFonts w:hint="default"/>
      </w:rPr>
    </w:lvl>
    <w:lvl w:ilvl="2" w:tentative="0">
      <w:start w:val="0"/>
      <w:numFmt w:val="bullet"/>
      <w:lvlText w:val="•"/>
      <w:lvlJc w:val="left"/>
      <w:pPr>
        <w:ind w:left="1746" w:hanging="420"/>
      </w:pPr>
      <w:rPr>
        <w:rFonts w:hint="default"/>
      </w:rPr>
    </w:lvl>
    <w:lvl w:ilvl="3" w:tentative="0">
      <w:start w:val="0"/>
      <w:numFmt w:val="bullet"/>
      <w:lvlText w:val="•"/>
      <w:lvlJc w:val="left"/>
      <w:pPr>
        <w:ind w:left="2359" w:hanging="420"/>
      </w:pPr>
      <w:rPr>
        <w:rFonts w:hint="default"/>
      </w:rPr>
    </w:lvl>
    <w:lvl w:ilvl="4" w:tentative="0">
      <w:start w:val="0"/>
      <w:numFmt w:val="bullet"/>
      <w:lvlText w:val="•"/>
      <w:lvlJc w:val="left"/>
      <w:pPr>
        <w:ind w:left="2972" w:hanging="420"/>
      </w:pPr>
      <w:rPr>
        <w:rFonts w:hint="default"/>
      </w:rPr>
    </w:lvl>
    <w:lvl w:ilvl="5" w:tentative="0">
      <w:start w:val="0"/>
      <w:numFmt w:val="bullet"/>
      <w:lvlText w:val="•"/>
      <w:lvlJc w:val="left"/>
      <w:pPr>
        <w:ind w:left="3586" w:hanging="420"/>
      </w:pPr>
      <w:rPr>
        <w:rFonts w:hint="default"/>
      </w:rPr>
    </w:lvl>
    <w:lvl w:ilvl="6" w:tentative="0">
      <w:start w:val="0"/>
      <w:numFmt w:val="bullet"/>
      <w:lvlText w:val="•"/>
      <w:lvlJc w:val="left"/>
      <w:pPr>
        <w:ind w:left="4199" w:hanging="420"/>
      </w:pPr>
      <w:rPr>
        <w:rFonts w:hint="default"/>
      </w:rPr>
    </w:lvl>
    <w:lvl w:ilvl="7" w:tentative="0">
      <w:start w:val="0"/>
      <w:numFmt w:val="bullet"/>
      <w:lvlText w:val="•"/>
      <w:lvlJc w:val="left"/>
      <w:pPr>
        <w:ind w:left="4812" w:hanging="420"/>
      </w:pPr>
      <w:rPr>
        <w:rFonts w:hint="default"/>
      </w:rPr>
    </w:lvl>
    <w:lvl w:ilvl="8" w:tentative="0">
      <w:start w:val="0"/>
      <w:numFmt w:val="bullet"/>
      <w:lvlText w:val="•"/>
      <w:lvlJc w:val="left"/>
      <w:pPr>
        <w:ind w:left="5425" w:hanging="420"/>
      </w:pPr>
      <w:rPr>
        <w:rFonts w:hint="default"/>
      </w:rPr>
    </w:lvl>
  </w:abstractNum>
  <w:abstractNum w:abstractNumId="8">
    <w:nsid w:val="0CD8F845"/>
    <w:multiLevelType w:val="singleLevel"/>
    <w:tmpl w:val="0CD8F845"/>
    <w:lvl w:ilvl="0" w:tentative="0">
      <w:start w:val="1"/>
      <w:numFmt w:val="decimal"/>
      <w:lvlText w:val="(%1)"/>
      <w:lvlJc w:val="left"/>
      <w:pPr>
        <w:tabs>
          <w:tab w:val="left" w:pos="420"/>
        </w:tabs>
        <w:ind w:left="425" w:leftChars="0" w:hanging="425" w:firstLineChars="0"/>
      </w:pPr>
      <w:rPr>
        <w:rFonts w:hint="default"/>
      </w:rPr>
    </w:lvl>
  </w:abstractNum>
  <w:abstractNum w:abstractNumId="9">
    <w:nsid w:val="0D3B396E"/>
    <w:multiLevelType w:val="multilevel"/>
    <w:tmpl w:val="0D3B396E"/>
    <w:lvl w:ilvl="0" w:tentative="0">
      <w:start w:val="0"/>
      <w:numFmt w:val="bullet"/>
      <w:lvlText w:val=""/>
      <w:lvlJc w:val="left"/>
      <w:pPr>
        <w:ind w:left="527" w:hanging="420"/>
      </w:pPr>
      <w:rPr>
        <w:rFonts w:hint="default" w:ascii="Symbol" w:hAnsi="Symbol" w:eastAsia="Symbol" w:cs="Symbol"/>
        <w:w w:val="99"/>
        <w:sz w:val="21"/>
        <w:szCs w:val="21"/>
      </w:rPr>
    </w:lvl>
    <w:lvl w:ilvl="1" w:tentative="0">
      <w:start w:val="0"/>
      <w:numFmt w:val="bullet"/>
      <w:lvlText w:val="•"/>
      <w:lvlJc w:val="left"/>
      <w:pPr>
        <w:ind w:left="1019" w:hanging="420"/>
      </w:pPr>
      <w:rPr>
        <w:rFonts w:hint="default"/>
      </w:rPr>
    </w:lvl>
    <w:lvl w:ilvl="2" w:tentative="0">
      <w:start w:val="0"/>
      <w:numFmt w:val="bullet"/>
      <w:lvlText w:val="•"/>
      <w:lvlJc w:val="left"/>
      <w:pPr>
        <w:ind w:left="1519" w:hanging="420"/>
      </w:pPr>
      <w:rPr>
        <w:rFonts w:hint="default"/>
      </w:rPr>
    </w:lvl>
    <w:lvl w:ilvl="3" w:tentative="0">
      <w:start w:val="0"/>
      <w:numFmt w:val="bullet"/>
      <w:lvlText w:val="•"/>
      <w:lvlJc w:val="left"/>
      <w:pPr>
        <w:ind w:left="2019" w:hanging="420"/>
      </w:pPr>
      <w:rPr>
        <w:rFonts w:hint="default"/>
      </w:rPr>
    </w:lvl>
    <w:lvl w:ilvl="4" w:tentative="0">
      <w:start w:val="0"/>
      <w:numFmt w:val="bullet"/>
      <w:lvlText w:val="•"/>
      <w:lvlJc w:val="left"/>
      <w:pPr>
        <w:ind w:left="2519" w:hanging="420"/>
      </w:pPr>
      <w:rPr>
        <w:rFonts w:hint="default"/>
      </w:rPr>
    </w:lvl>
    <w:lvl w:ilvl="5" w:tentative="0">
      <w:start w:val="0"/>
      <w:numFmt w:val="bullet"/>
      <w:lvlText w:val="•"/>
      <w:lvlJc w:val="left"/>
      <w:pPr>
        <w:ind w:left="3019" w:hanging="420"/>
      </w:pPr>
      <w:rPr>
        <w:rFonts w:hint="default"/>
      </w:rPr>
    </w:lvl>
    <w:lvl w:ilvl="6" w:tentative="0">
      <w:start w:val="0"/>
      <w:numFmt w:val="bullet"/>
      <w:lvlText w:val="•"/>
      <w:lvlJc w:val="left"/>
      <w:pPr>
        <w:ind w:left="3518" w:hanging="420"/>
      </w:pPr>
      <w:rPr>
        <w:rFonts w:hint="default"/>
      </w:rPr>
    </w:lvl>
    <w:lvl w:ilvl="7" w:tentative="0">
      <w:start w:val="0"/>
      <w:numFmt w:val="bullet"/>
      <w:lvlText w:val="•"/>
      <w:lvlJc w:val="left"/>
      <w:pPr>
        <w:ind w:left="4018" w:hanging="420"/>
      </w:pPr>
      <w:rPr>
        <w:rFonts w:hint="default"/>
      </w:rPr>
    </w:lvl>
    <w:lvl w:ilvl="8" w:tentative="0">
      <w:start w:val="0"/>
      <w:numFmt w:val="bullet"/>
      <w:lvlText w:val="•"/>
      <w:lvlJc w:val="left"/>
      <w:pPr>
        <w:ind w:left="4518" w:hanging="420"/>
      </w:pPr>
      <w:rPr>
        <w:rFonts w:hint="default"/>
      </w:rPr>
    </w:lvl>
  </w:abstractNum>
  <w:abstractNum w:abstractNumId="10">
    <w:nsid w:val="0F5B5104"/>
    <w:multiLevelType w:val="multilevel"/>
    <w:tmpl w:val="0F5B5104"/>
    <w:lvl w:ilvl="0" w:tentative="0">
      <w:start w:val="0"/>
      <w:numFmt w:val="bullet"/>
      <w:lvlText w:val=""/>
      <w:lvlJc w:val="left"/>
      <w:pPr>
        <w:ind w:left="526" w:hanging="420"/>
      </w:pPr>
      <w:rPr>
        <w:rFonts w:hint="default" w:ascii="Symbol" w:hAnsi="Symbol" w:eastAsia="Symbol" w:cs="Symbol"/>
        <w:w w:val="99"/>
        <w:sz w:val="21"/>
        <w:szCs w:val="21"/>
      </w:rPr>
    </w:lvl>
    <w:lvl w:ilvl="1" w:tentative="0">
      <w:start w:val="0"/>
      <w:numFmt w:val="bullet"/>
      <w:lvlText w:val="•"/>
      <w:lvlJc w:val="left"/>
      <w:pPr>
        <w:ind w:left="1133" w:hanging="420"/>
      </w:pPr>
      <w:rPr>
        <w:rFonts w:hint="default"/>
      </w:rPr>
    </w:lvl>
    <w:lvl w:ilvl="2" w:tentative="0">
      <w:start w:val="0"/>
      <w:numFmt w:val="bullet"/>
      <w:lvlText w:val="•"/>
      <w:lvlJc w:val="left"/>
      <w:pPr>
        <w:ind w:left="1746" w:hanging="420"/>
      </w:pPr>
      <w:rPr>
        <w:rFonts w:hint="default"/>
      </w:rPr>
    </w:lvl>
    <w:lvl w:ilvl="3" w:tentative="0">
      <w:start w:val="0"/>
      <w:numFmt w:val="bullet"/>
      <w:lvlText w:val="•"/>
      <w:lvlJc w:val="left"/>
      <w:pPr>
        <w:ind w:left="2359" w:hanging="420"/>
      </w:pPr>
      <w:rPr>
        <w:rFonts w:hint="default"/>
      </w:rPr>
    </w:lvl>
    <w:lvl w:ilvl="4" w:tentative="0">
      <w:start w:val="0"/>
      <w:numFmt w:val="bullet"/>
      <w:lvlText w:val="•"/>
      <w:lvlJc w:val="left"/>
      <w:pPr>
        <w:ind w:left="2972" w:hanging="420"/>
      </w:pPr>
      <w:rPr>
        <w:rFonts w:hint="default"/>
      </w:rPr>
    </w:lvl>
    <w:lvl w:ilvl="5" w:tentative="0">
      <w:start w:val="0"/>
      <w:numFmt w:val="bullet"/>
      <w:lvlText w:val="•"/>
      <w:lvlJc w:val="left"/>
      <w:pPr>
        <w:ind w:left="3586" w:hanging="420"/>
      </w:pPr>
      <w:rPr>
        <w:rFonts w:hint="default"/>
      </w:rPr>
    </w:lvl>
    <w:lvl w:ilvl="6" w:tentative="0">
      <w:start w:val="0"/>
      <w:numFmt w:val="bullet"/>
      <w:lvlText w:val="•"/>
      <w:lvlJc w:val="left"/>
      <w:pPr>
        <w:ind w:left="4199" w:hanging="420"/>
      </w:pPr>
      <w:rPr>
        <w:rFonts w:hint="default"/>
      </w:rPr>
    </w:lvl>
    <w:lvl w:ilvl="7" w:tentative="0">
      <w:start w:val="0"/>
      <w:numFmt w:val="bullet"/>
      <w:lvlText w:val="•"/>
      <w:lvlJc w:val="left"/>
      <w:pPr>
        <w:ind w:left="4812" w:hanging="420"/>
      </w:pPr>
      <w:rPr>
        <w:rFonts w:hint="default"/>
      </w:rPr>
    </w:lvl>
    <w:lvl w:ilvl="8" w:tentative="0">
      <w:start w:val="0"/>
      <w:numFmt w:val="bullet"/>
      <w:lvlText w:val="•"/>
      <w:lvlJc w:val="left"/>
      <w:pPr>
        <w:ind w:left="5425" w:hanging="420"/>
      </w:pPr>
      <w:rPr>
        <w:rFonts w:hint="default"/>
      </w:rPr>
    </w:lvl>
  </w:abstractNum>
  <w:abstractNum w:abstractNumId="11">
    <w:nsid w:val="10DE4AC0"/>
    <w:multiLevelType w:val="multilevel"/>
    <w:tmpl w:val="10DE4AC0"/>
    <w:lvl w:ilvl="0" w:tentative="0">
      <w:start w:val="0"/>
      <w:numFmt w:val="bullet"/>
      <w:lvlText w:val=""/>
      <w:lvlJc w:val="left"/>
      <w:pPr>
        <w:ind w:left="527" w:hanging="420"/>
      </w:pPr>
      <w:rPr>
        <w:rFonts w:hint="default" w:ascii="Symbol" w:hAnsi="Symbol" w:eastAsia="Symbol" w:cs="Symbol"/>
        <w:w w:val="99"/>
        <w:sz w:val="21"/>
        <w:szCs w:val="21"/>
      </w:rPr>
    </w:lvl>
    <w:lvl w:ilvl="1" w:tentative="0">
      <w:start w:val="0"/>
      <w:numFmt w:val="bullet"/>
      <w:lvlText w:val="•"/>
      <w:lvlJc w:val="left"/>
      <w:pPr>
        <w:ind w:left="1019" w:hanging="420"/>
      </w:pPr>
      <w:rPr>
        <w:rFonts w:hint="default"/>
      </w:rPr>
    </w:lvl>
    <w:lvl w:ilvl="2" w:tentative="0">
      <w:start w:val="0"/>
      <w:numFmt w:val="bullet"/>
      <w:lvlText w:val="•"/>
      <w:lvlJc w:val="left"/>
      <w:pPr>
        <w:ind w:left="1519" w:hanging="420"/>
      </w:pPr>
      <w:rPr>
        <w:rFonts w:hint="default"/>
      </w:rPr>
    </w:lvl>
    <w:lvl w:ilvl="3" w:tentative="0">
      <w:start w:val="0"/>
      <w:numFmt w:val="bullet"/>
      <w:lvlText w:val="•"/>
      <w:lvlJc w:val="left"/>
      <w:pPr>
        <w:ind w:left="2019" w:hanging="420"/>
      </w:pPr>
      <w:rPr>
        <w:rFonts w:hint="default"/>
      </w:rPr>
    </w:lvl>
    <w:lvl w:ilvl="4" w:tentative="0">
      <w:start w:val="0"/>
      <w:numFmt w:val="bullet"/>
      <w:lvlText w:val="•"/>
      <w:lvlJc w:val="left"/>
      <w:pPr>
        <w:ind w:left="2519" w:hanging="420"/>
      </w:pPr>
      <w:rPr>
        <w:rFonts w:hint="default"/>
      </w:rPr>
    </w:lvl>
    <w:lvl w:ilvl="5" w:tentative="0">
      <w:start w:val="0"/>
      <w:numFmt w:val="bullet"/>
      <w:lvlText w:val="•"/>
      <w:lvlJc w:val="left"/>
      <w:pPr>
        <w:ind w:left="3019" w:hanging="420"/>
      </w:pPr>
      <w:rPr>
        <w:rFonts w:hint="default"/>
      </w:rPr>
    </w:lvl>
    <w:lvl w:ilvl="6" w:tentative="0">
      <w:start w:val="0"/>
      <w:numFmt w:val="bullet"/>
      <w:lvlText w:val="•"/>
      <w:lvlJc w:val="left"/>
      <w:pPr>
        <w:ind w:left="3518" w:hanging="420"/>
      </w:pPr>
      <w:rPr>
        <w:rFonts w:hint="default"/>
      </w:rPr>
    </w:lvl>
    <w:lvl w:ilvl="7" w:tentative="0">
      <w:start w:val="0"/>
      <w:numFmt w:val="bullet"/>
      <w:lvlText w:val="•"/>
      <w:lvlJc w:val="left"/>
      <w:pPr>
        <w:ind w:left="4018" w:hanging="420"/>
      </w:pPr>
      <w:rPr>
        <w:rFonts w:hint="default"/>
      </w:rPr>
    </w:lvl>
    <w:lvl w:ilvl="8" w:tentative="0">
      <w:start w:val="0"/>
      <w:numFmt w:val="bullet"/>
      <w:lvlText w:val="•"/>
      <w:lvlJc w:val="left"/>
      <w:pPr>
        <w:ind w:left="4518" w:hanging="420"/>
      </w:pPr>
      <w:rPr>
        <w:rFonts w:hint="default"/>
      </w:rPr>
    </w:lvl>
  </w:abstractNum>
  <w:abstractNum w:abstractNumId="12">
    <w:nsid w:val="12807803"/>
    <w:multiLevelType w:val="multilevel"/>
    <w:tmpl w:val="12807803"/>
    <w:lvl w:ilvl="0" w:tentative="0">
      <w:start w:val="0"/>
      <w:numFmt w:val="bullet"/>
      <w:lvlText w:val=""/>
      <w:lvlJc w:val="left"/>
      <w:pPr>
        <w:ind w:left="527" w:hanging="420"/>
      </w:pPr>
      <w:rPr>
        <w:rFonts w:hint="default" w:ascii="Symbol" w:hAnsi="Symbol" w:eastAsia="Symbol" w:cs="Symbol"/>
        <w:w w:val="99"/>
        <w:sz w:val="21"/>
        <w:szCs w:val="21"/>
      </w:rPr>
    </w:lvl>
    <w:lvl w:ilvl="1" w:tentative="0">
      <w:start w:val="0"/>
      <w:numFmt w:val="bullet"/>
      <w:lvlText w:val="•"/>
      <w:lvlJc w:val="left"/>
      <w:pPr>
        <w:ind w:left="1019" w:hanging="420"/>
      </w:pPr>
      <w:rPr>
        <w:rFonts w:hint="default"/>
      </w:rPr>
    </w:lvl>
    <w:lvl w:ilvl="2" w:tentative="0">
      <w:start w:val="0"/>
      <w:numFmt w:val="bullet"/>
      <w:lvlText w:val="•"/>
      <w:lvlJc w:val="left"/>
      <w:pPr>
        <w:ind w:left="1519" w:hanging="420"/>
      </w:pPr>
      <w:rPr>
        <w:rFonts w:hint="default"/>
      </w:rPr>
    </w:lvl>
    <w:lvl w:ilvl="3" w:tentative="0">
      <w:start w:val="0"/>
      <w:numFmt w:val="bullet"/>
      <w:lvlText w:val="•"/>
      <w:lvlJc w:val="left"/>
      <w:pPr>
        <w:ind w:left="2019" w:hanging="420"/>
      </w:pPr>
      <w:rPr>
        <w:rFonts w:hint="default"/>
      </w:rPr>
    </w:lvl>
    <w:lvl w:ilvl="4" w:tentative="0">
      <w:start w:val="0"/>
      <w:numFmt w:val="bullet"/>
      <w:lvlText w:val="•"/>
      <w:lvlJc w:val="left"/>
      <w:pPr>
        <w:ind w:left="2519" w:hanging="420"/>
      </w:pPr>
      <w:rPr>
        <w:rFonts w:hint="default"/>
      </w:rPr>
    </w:lvl>
    <w:lvl w:ilvl="5" w:tentative="0">
      <w:start w:val="0"/>
      <w:numFmt w:val="bullet"/>
      <w:lvlText w:val="•"/>
      <w:lvlJc w:val="left"/>
      <w:pPr>
        <w:ind w:left="3019" w:hanging="420"/>
      </w:pPr>
      <w:rPr>
        <w:rFonts w:hint="default"/>
      </w:rPr>
    </w:lvl>
    <w:lvl w:ilvl="6" w:tentative="0">
      <w:start w:val="0"/>
      <w:numFmt w:val="bullet"/>
      <w:lvlText w:val="•"/>
      <w:lvlJc w:val="left"/>
      <w:pPr>
        <w:ind w:left="3518" w:hanging="420"/>
      </w:pPr>
      <w:rPr>
        <w:rFonts w:hint="default"/>
      </w:rPr>
    </w:lvl>
    <w:lvl w:ilvl="7" w:tentative="0">
      <w:start w:val="0"/>
      <w:numFmt w:val="bullet"/>
      <w:lvlText w:val="•"/>
      <w:lvlJc w:val="left"/>
      <w:pPr>
        <w:ind w:left="4018" w:hanging="420"/>
      </w:pPr>
      <w:rPr>
        <w:rFonts w:hint="default"/>
      </w:rPr>
    </w:lvl>
    <w:lvl w:ilvl="8" w:tentative="0">
      <w:start w:val="0"/>
      <w:numFmt w:val="bullet"/>
      <w:lvlText w:val="•"/>
      <w:lvlJc w:val="left"/>
      <w:pPr>
        <w:ind w:left="4518" w:hanging="420"/>
      </w:pPr>
      <w:rPr>
        <w:rFonts w:hint="default"/>
      </w:rPr>
    </w:lvl>
  </w:abstractNum>
  <w:abstractNum w:abstractNumId="13">
    <w:nsid w:val="17413B62"/>
    <w:multiLevelType w:val="multilevel"/>
    <w:tmpl w:val="17413B62"/>
    <w:lvl w:ilvl="0" w:tentative="0">
      <w:start w:val="0"/>
      <w:numFmt w:val="bullet"/>
      <w:lvlText w:val=""/>
      <w:lvlJc w:val="left"/>
      <w:pPr>
        <w:ind w:left="526" w:hanging="420"/>
      </w:pPr>
      <w:rPr>
        <w:rFonts w:hint="default" w:ascii="Symbol" w:hAnsi="Symbol" w:eastAsia="Symbol" w:cs="Symbol"/>
        <w:w w:val="99"/>
        <w:sz w:val="21"/>
        <w:szCs w:val="21"/>
      </w:rPr>
    </w:lvl>
    <w:lvl w:ilvl="1" w:tentative="0">
      <w:start w:val="0"/>
      <w:numFmt w:val="bullet"/>
      <w:lvlText w:val="•"/>
      <w:lvlJc w:val="left"/>
      <w:pPr>
        <w:ind w:left="1133" w:hanging="420"/>
      </w:pPr>
      <w:rPr>
        <w:rFonts w:hint="default"/>
      </w:rPr>
    </w:lvl>
    <w:lvl w:ilvl="2" w:tentative="0">
      <w:start w:val="0"/>
      <w:numFmt w:val="bullet"/>
      <w:lvlText w:val="•"/>
      <w:lvlJc w:val="left"/>
      <w:pPr>
        <w:ind w:left="1746" w:hanging="420"/>
      </w:pPr>
      <w:rPr>
        <w:rFonts w:hint="default"/>
      </w:rPr>
    </w:lvl>
    <w:lvl w:ilvl="3" w:tentative="0">
      <w:start w:val="0"/>
      <w:numFmt w:val="bullet"/>
      <w:lvlText w:val="•"/>
      <w:lvlJc w:val="left"/>
      <w:pPr>
        <w:ind w:left="2359" w:hanging="420"/>
      </w:pPr>
      <w:rPr>
        <w:rFonts w:hint="default"/>
      </w:rPr>
    </w:lvl>
    <w:lvl w:ilvl="4" w:tentative="0">
      <w:start w:val="0"/>
      <w:numFmt w:val="bullet"/>
      <w:lvlText w:val="•"/>
      <w:lvlJc w:val="left"/>
      <w:pPr>
        <w:ind w:left="2972" w:hanging="420"/>
      </w:pPr>
      <w:rPr>
        <w:rFonts w:hint="default"/>
      </w:rPr>
    </w:lvl>
    <w:lvl w:ilvl="5" w:tentative="0">
      <w:start w:val="0"/>
      <w:numFmt w:val="bullet"/>
      <w:lvlText w:val="•"/>
      <w:lvlJc w:val="left"/>
      <w:pPr>
        <w:ind w:left="3586" w:hanging="420"/>
      </w:pPr>
      <w:rPr>
        <w:rFonts w:hint="default"/>
      </w:rPr>
    </w:lvl>
    <w:lvl w:ilvl="6" w:tentative="0">
      <w:start w:val="0"/>
      <w:numFmt w:val="bullet"/>
      <w:lvlText w:val="•"/>
      <w:lvlJc w:val="left"/>
      <w:pPr>
        <w:ind w:left="4199" w:hanging="420"/>
      </w:pPr>
      <w:rPr>
        <w:rFonts w:hint="default"/>
      </w:rPr>
    </w:lvl>
    <w:lvl w:ilvl="7" w:tentative="0">
      <w:start w:val="0"/>
      <w:numFmt w:val="bullet"/>
      <w:lvlText w:val="•"/>
      <w:lvlJc w:val="left"/>
      <w:pPr>
        <w:ind w:left="4812" w:hanging="420"/>
      </w:pPr>
      <w:rPr>
        <w:rFonts w:hint="default"/>
      </w:rPr>
    </w:lvl>
    <w:lvl w:ilvl="8" w:tentative="0">
      <w:start w:val="0"/>
      <w:numFmt w:val="bullet"/>
      <w:lvlText w:val="•"/>
      <w:lvlJc w:val="left"/>
      <w:pPr>
        <w:ind w:left="5425" w:hanging="420"/>
      </w:pPr>
      <w:rPr>
        <w:rFonts w:hint="default"/>
      </w:rPr>
    </w:lvl>
  </w:abstractNum>
  <w:abstractNum w:abstractNumId="14">
    <w:nsid w:val="18830650"/>
    <w:multiLevelType w:val="multilevel"/>
    <w:tmpl w:val="18830650"/>
    <w:lvl w:ilvl="0" w:tentative="0">
      <w:start w:val="0"/>
      <w:numFmt w:val="bullet"/>
      <w:lvlText w:val=""/>
      <w:lvlJc w:val="left"/>
      <w:pPr>
        <w:ind w:left="526" w:hanging="420"/>
      </w:pPr>
      <w:rPr>
        <w:rFonts w:hint="default" w:ascii="Symbol" w:hAnsi="Symbol" w:eastAsia="Symbol" w:cs="Symbol"/>
        <w:w w:val="99"/>
        <w:sz w:val="21"/>
        <w:szCs w:val="21"/>
      </w:rPr>
    </w:lvl>
    <w:lvl w:ilvl="1" w:tentative="0">
      <w:start w:val="0"/>
      <w:numFmt w:val="bullet"/>
      <w:lvlText w:val="•"/>
      <w:lvlJc w:val="left"/>
      <w:pPr>
        <w:ind w:left="1133" w:hanging="420"/>
      </w:pPr>
      <w:rPr>
        <w:rFonts w:hint="default"/>
      </w:rPr>
    </w:lvl>
    <w:lvl w:ilvl="2" w:tentative="0">
      <w:start w:val="0"/>
      <w:numFmt w:val="bullet"/>
      <w:lvlText w:val="•"/>
      <w:lvlJc w:val="left"/>
      <w:pPr>
        <w:ind w:left="1746" w:hanging="420"/>
      </w:pPr>
      <w:rPr>
        <w:rFonts w:hint="default"/>
      </w:rPr>
    </w:lvl>
    <w:lvl w:ilvl="3" w:tentative="0">
      <w:start w:val="0"/>
      <w:numFmt w:val="bullet"/>
      <w:lvlText w:val="•"/>
      <w:lvlJc w:val="left"/>
      <w:pPr>
        <w:ind w:left="2359" w:hanging="420"/>
      </w:pPr>
      <w:rPr>
        <w:rFonts w:hint="default"/>
      </w:rPr>
    </w:lvl>
    <w:lvl w:ilvl="4" w:tentative="0">
      <w:start w:val="0"/>
      <w:numFmt w:val="bullet"/>
      <w:lvlText w:val="•"/>
      <w:lvlJc w:val="left"/>
      <w:pPr>
        <w:ind w:left="2972" w:hanging="420"/>
      </w:pPr>
      <w:rPr>
        <w:rFonts w:hint="default"/>
      </w:rPr>
    </w:lvl>
    <w:lvl w:ilvl="5" w:tentative="0">
      <w:start w:val="0"/>
      <w:numFmt w:val="bullet"/>
      <w:lvlText w:val="•"/>
      <w:lvlJc w:val="left"/>
      <w:pPr>
        <w:ind w:left="3586" w:hanging="420"/>
      </w:pPr>
      <w:rPr>
        <w:rFonts w:hint="default"/>
      </w:rPr>
    </w:lvl>
    <w:lvl w:ilvl="6" w:tentative="0">
      <w:start w:val="0"/>
      <w:numFmt w:val="bullet"/>
      <w:lvlText w:val="•"/>
      <w:lvlJc w:val="left"/>
      <w:pPr>
        <w:ind w:left="4199" w:hanging="420"/>
      </w:pPr>
      <w:rPr>
        <w:rFonts w:hint="default"/>
      </w:rPr>
    </w:lvl>
    <w:lvl w:ilvl="7" w:tentative="0">
      <w:start w:val="0"/>
      <w:numFmt w:val="bullet"/>
      <w:lvlText w:val="•"/>
      <w:lvlJc w:val="left"/>
      <w:pPr>
        <w:ind w:left="4812" w:hanging="420"/>
      </w:pPr>
      <w:rPr>
        <w:rFonts w:hint="default"/>
      </w:rPr>
    </w:lvl>
    <w:lvl w:ilvl="8" w:tentative="0">
      <w:start w:val="0"/>
      <w:numFmt w:val="bullet"/>
      <w:lvlText w:val="•"/>
      <w:lvlJc w:val="left"/>
      <w:pPr>
        <w:ind w:left="5425" w:hanging="420"/>
      </w:pPr>
      <w:rPr>
        <w:rFonts w:hint="default"/>
      </w:rPr>
    </w:lvl>
  </w:abstractNum>
  <w:abstractNum w:abstractNumId="15">
    <w:nsid w:val="19C43224"/>
    <w:multiLevelType w:val="multilevel"/>
    <w:tmpl w:val="19C43224"/>
    <w:lvl w:ilvl="0" w:tentative="0">
      <w:start w:val="0"/>
      <w:numFmt w:val="bullet"/>
      <w:lvlText w:val=""/>
      <w:lvlJc w:val="left"/>
      <w:pPr>
        <w:ind w:left="527" w:hanging="420"/>
      </w:pPr>
      <w:rPr>
        <w:rFonts w:hint="default" w:ascii="Symbol" w:hAnsi="Symbol" w:eastAsia="Symbol" w:cs="Symbol"/>
        <w:w w:val="99"/>
        <w:sz w:val="21"/>
        <w:szCs w:val="21"/>
      </w:rPr>
    </w:lvl>
    <w:lvl w:ilvl="1" w:tentative="0">
      <w:start w:val="0"/>
      <w:numFmt w:val="bullet"/>
      <w:lvlText w:val="•"/>
      <w:lvlJc w:val="left"/>
      <w:pPr>
        <w:ind w:left="1019" w:hanging="420"/>
      </w:pPr>
      <w:rPr>
        <w:rFonts w:hint="default"/>
      </w:rPr>
    </w:lvl>
    <w:lvl w:ilvl="2" w:tentative="0">
      <w:start w:val="0"/>
      <w:numFmt w:val="bullet"/>
      <w:lvlText w:val="•"/>
      <w:lvlJc w:val="left"/>
      <w:pPr>
        <w:ind w:left="1519" w:hanging="420"/>
      </w:pPr>
      <w:rPr>
        <w:rFonts w:hint="default"/>
      </w:rPr>
    </w:lvl>
    <w:lvl w:ilvl="3" w:tentative="0">
      <w:start w:val="0"/>
      <w:numFmt w:val="bullet"/>
      <w:lvlText w:val="•"/>
      <w:lvlJc w:val="left"/>
      <w:pPr>
        <w:ind w:left="2019" w:hanging="420"/>
      </w:pPr>
      <w:rPr>
        <w:rFonts w:hint="default"/>
      </w:rPr>
    </w:lvl>
    <w:lvl w:ilvl="4" w:tentative="0">
      <w:start w:val="0"/>
      <w:numFmt w:val="bullet"/>
      <w:lvlText w:val="•"/>
      <w:lvlJc w:val="left"/>
      <w:pPr>
        <w:ind w:left="2519" w:hanging="420"/>
      </w:pPr>
      <w:rPr>
        <w:rFonts w:hint="default"/>
      </w:rPr>
    </w:lvl>
    <w:lvl w:ilvl="5" w:tentative="0">
      <w:start w:val="0"/>
      <w:numFmt w:val="bullet"/>
      <w:lvlText w:val="•"/>
      <w:lvlJc w:val="left"/>
      <w:pPr>
        <w:ind w:left="3019" w:hanging="420"/>
      </w:pPr>
      <w:rPr>
        <w:rFonts w:hint="default"/>
      </w:rPr>
    </w:lvl>
    <w:lvl w:ilvl="6" w:tentative="0">
      <w:start w:val="0"/>
      <w:numFmt w:val="bullet"/>
      <w:lvlText w:val="•"/>
      <w:lvlJc w:val="left"/>
      <w:pPr>
        <w:ind w:left="3518" w:hanging="420"/>
      </w:pPr>
      <w:rPr>
        <w:rFonts w:hint="default"/>
      </w:rPr>
    </w:lvl>
    <w:lvl w:ilvl="7" w:tentative="0">
      <w:start w:val="0"/>
      <w:numFmt w:val="bullet"/>
      <w:lvlText w:val="•"/>
      <w:lvlJc w:val="left"/>
      <w:pPr>
        <w:ind w:left="4018" w:hanging="420"/>
      </w:pPr>
      <w:rPr>
        <w:rFonts w:hint="default"/>
      </w:rPr>
    </w:lvl>
    <w:lvl w:ilvl="8" w:tentative="0">
      <w:start w:val="0"/>
      <w:numFmt w:val="bullet"/>
      <w:lvlText w:val="•"/>
      <w:lvlJc w:val="left"/>
      <w:pPr>
        <w:ind w:left="4518" w:hanging="420"/>
      </w:pPr>
      <w:rPr>
        <w:rFonts w:hint="default"/>
      </w:rPr>
    </w:lvl>
  </w:abstractNum>
  <w:abstractNum w:abstractNumId="16">
    <w:nsid w:val="21294987"/>
    <w:multiLevelType w:val="multilevel"/>
    <w:tmpl w:val="21294987"/>
    <w:lvl w:ilvl="0" w:tentative="0">
      <w:start w:val="0"/>
      <w:numFmt w:val="bullet"/>
      <w:lvlText w:val=""/>
      <w:lvlJc w:val="left"/>
      <w:pPr>
        <w:ind w:left="526" w:hanging="420"/>
      </w:pPr>
      <w:rPr>
        <w:rFonts w:hint="default" w:ascii="Symbol" w:hAnsi="Symbol" w:eastAsia="Symbol" w:cs="Symbol"/>
        <w:w w:val="99"/>
        <w:sz w:val="21"/>
        <w:szCs w:val="21"/>
      </w:rPr>
    </w:lvl>
    <w:lvl w:ilvl="1" w:tentative="0">
      <w:start w:val="0"/>
      <w:numFmt w:val="bullet"/>
      <w:lvlText w:val="•"/>
      <w:lvlJc w:val="left"/>
      <w:pPr>
        <w:ind w:left="1133" w:hanging="420"/>
      </w:pPr>
      <w:rPr>
        <w:rFonts w:hint="default"/>
      </w:rPr>
    </w:lvl>
    <w:lvl w:ilvl="2" w:tentative="0">
      <w:start w:val="0"/>
      <w:numFmt w:val="bullet"/>
      <w:lvlText w:val="•"/>
      <w:lvlJc w:val="left"/>
      <w:pPr>
        <w:ind w:left="1746" w:hanging="420"/>
      </w:pPr>
      <w:rPr>
        <w:rFonts w:hint="default"/>
      </w:rPr>
    </w:lvl>
    <w:lvl w:ilvl="3" w:tentative="0">
      <w:start w:val="0"/>
      <w:numFmt w:val="bullet"/>
      <w:lvlText w:val="•"/>
      <w:lvlJc w:val="left"/>
      <w:pPr>
        <w:ind w:left="2359" w:hanging="420"/>
      </w:pPr>
      <w:rPr>
        <w:rFonts w:hint="default"/>
      </w:rPr>
    </w:lvl>
    <w:lvl w:ilvl="4" w:tentative="0">
      <w:start w:val="0"/>
      <w:numFmt w:val="bullet"/>
      <w:lvlText w:val="•"/>
      <w:lvlJc w:val="left"/>
      <w:pPr>
        <w:ind w:left="2972" w:hanging="420"/>
      </w:pPr>
      <w:rPr>
        <w:rFonts w:hint="default"/>
      </w:rPr>
    </w:lvl>
    <w:lvl w:ilvl="5" w:tentative="0">
      <w:start w:val="0"/>
      <w:numFmt w:val="bullet"/>
      <w:lvlText w:val="•"/>
      <w:lvlJc w:val="left"/>
      <w:pPr>
        <w:ind w:left="3586" w:hanging="420"/>
      </w:pPr>
      <w:rPr>
        <w:rFonts w:hint="default"/>
      </w:rPr>
    </w:lvl>
    <w:lvl w:ilvl="6" w:tentative="0">
      <w:start w:val="0"/>
      <w:numFmt w:val="bullet"/>
      <w:lvlText w:val="•"/>
      <w:lvlJc w:val="left"/>
      <w:pPr>
        <w:ind w:left="4199" w:hanging="420"/>
      </w:pPr>
      <w:rPr>
        <w:rFonts w:hint="default"/>
      </w:rPr>
    </w:lvl>
    <w:lvl w:ilvl="7" w:tentative="0">
      <w:start w:val="0"/>
      <w:numFmt w:val="bullet"/>
      <w:lvlText w:val="•"/>
      <w:lvlJc w:val="left"/>
      <w:pPr>
        <w:ind w:left="4812" w:hanging="420"/>
      </w:pPr>
      <w:rPr>
        <w:rFonts w:hint="default"/>
      </w:rPr>
    </w:lvl>
    <w:lvl w:ilvl="8" w:tentative="0">
      <w:start w:val="0"/>
      <w:numFmt w:val="bullet"/>
      <w:lvlText w:val="•"/>
      <w:lvlJc w:val="left"/>
      <w:pPr>
        <w:ind w:left="5425" w:hanging="420"/>
      </w:pPr>
      <w:rPr>
        <w:rFonts w:hint="default"/>
      </w:rPr>
    </w:lvl>
  </w:abstractNum>
  <w:abstractNum w:abstractNumId="17">
    <w:nsid w:val="234D6FEC"/>
    <w:multiLevelType w:val="multilevel"/>
    <w:tmpl w:val="234D6FEC"/>
    <w:lvl w:ilvl="0" w:tentative="0">
      <w:start w:val="1"/>
      <w:numFmt w:val="decimal"/>
      <w:suff w:val="nothing"/>
      <w:lvlText w:val="（%1）"/>
      <w:lvlJc w:val="left"/>
      <w:pPr>
        <w:ind w:left="0" w:firstLine="142"/>
      </w:pPr>
      <w:rPr>
        <w:rFonts w:hint="default" w:ascii="宋体" w:hAnsi="宋体" w:eastAsia="宋体" w:cs="宋体"/>
        <w:spacing w:val="2"/>
        <w:w w:val="100"/>
        <w:sz w:val="20"/>
        <w:szCs w:val="20"/>
        <w:lang w:val="en-US"/>
      </w:rPr>
    </w:lvl>
    <w:lvl w:ilvl="1" w:tentative="0">
      <w:start w:val="0"/>
      <w:numFmt w:val="bullet"/>
      <w:lvlText w:val="•"/>
      <w:lvlJc w:val="left"/>
      <w:pPr>
        <w:ind w:left="1629" w:hanging="564"/>
      </w:pPr>
      <w:rPr>
        <w:rFonts w:hint="default"/>
      </w:rPr>
    </w:lvl>
    <w:lvl w:ilvl="2" w:tentative="0">
      <w:start w:val="0"/>
      <w:numFmt w:val="bullet"/>
      <w:lvlText w:val="•"/>
      <w:lvlJc w:val="left"/>
      <w:pPr>
        <w:ind w:left="2552" w:hanging="564"/>
      </w:pPr>
      <w:rPr>
        <w:rFonts w:hint="default"/>
      </w:rPr>
    </w:lvl>
    <w:lvl w:ilvl="3" w:tentative="0">
      <w:start w:val="0"/>
      <w:numFmt w:val="bullet"/>
      <w:lvlText w:val="•"/>
      <w:lvlJc w:val="left"/>
      <w:pPr>
        <w:ind w:left="3475" w:hanging="564"/>
      </w:pPr>
      <w:rPr>
        <w:rFonts w:hint="default"/>
      </w:rPr>
    </w:lvl>
    <w:lvl w:ilvl="4" w:tentative="0">
      <w:start w:val="0"/>
      <w:numFmt w:val="bullet"/>
      <w:lvlText w:val="•"/>
      <w:lvlJc w:val="left"/>
      <w:pPr>
        <w:ind w:left="4398" w:hanging="564"/>
      </w:pPr>
      <w:rPr>
        <w:rFonts w:hint="default"/>
      </w:rPr>
    </w:lvl>
    <w:lvl w:ilvl="5" w:tentative="0">
      <w:start w:val="0"/>
      <w:numFmt w:val="bullet"/>
      <w:lvlText w:val="•"/>
      <w:lvlJc w:val="left"/>
      <w:pPr>
        <w:ind w:left="5321" w:hanging="564"/>
      </w:pPr>
      <w:rPr>
        <w:rFonts w:hint="default"/>
      </w:rPr>
    </w:lvl>
    <w:lvl w:ilvl="6" w:tentative="0">
      <w:start w:val="0"/>
      <w:numFmt w:val="bullet"/>
      <w:lvlText w:val="•"/>
      <w:lvlJc w:val="left"/>
      <w:pPr>
        <w:ind w:left="6244" w:hanging="564"/>
      </w:pPr>
      <w:rPr>
        <w:rFonts w:hint="default"/>
      </w:rPr>
    </w:lvl>
    <w:lvl w:ilvl="7" w:tentative="0">
      <w:start w:val="0"/>
      <w:numFmt w:val="bullet"/>
      <w:lvlText w:val="•"/>
      <w:lvlJc w:val="left"/>
      <w:pPr>
        <w:ind w:left="7167" w:hanging="564"/>
      </w:pPr>
      <w:rPr>
        <w:rFonts w:hint="default"/>
      </w:rPr>
    </w:lvl>
    <w:lvl w:ilvl="8" w:tentative="0">
      <w:start w:val="0"/>
      <w:numFmt w:val="bullet"/>
      <w:lvlText w:val="•"/>
      <w:lvlJc w:val="left"/>
      <w:pPr>
        <w:ind w:left="8090" w:hanging="564"/>
      </w:pPr>
      <w:rPr>
        <w:rFonts w:hint="default"/>
      </w:rPr>
    </w:lvl>
  </w:abstractNum>
  <w:abstractNum w:abstractNumId="18">
    <w:nsid w:val="25B3AC38"/>
    <w:multiLevelType w:val="singleLevel"/>
    <w:tmpl w:val="25B3AC38"/>
    <w:lvl w:ilvl="0" w:tentative="0">
      <w:start w:val="2"/>
      <w:numFmt w:val="decimal"/>
      <w:lvlText w:val="%1."/>
      <w:lvlJc w:val="left"/>
      <w:pPr>
        <w:tabs>
          <w:tab w:val="left" w:pos="312"/>
        </w:tabs>
      </w:pPr>
    </w:lvl>
  </w:abstractNum>
  <w:abstractNum w:abstractNumId="19">
    <w:nsid w:val="2717053C"/>
    <w:multiLevelType w:val="singleLevel"/>
    <w:tmpl w:val="2717053C"/>
    <w:lvl w:ilvl="0" w:tentative="0">
      <w:start w:val="5"/>
      <w:numFmt w:val="decimal"/>
      <w:suff w:val="nothing"/>
      <w:lvlText w:val="%1、"/>
      <w:lvlJc w:val="left"/>
    </w:lvl>
  </w:abstractNum>
  <w:abstractNum w:abstractNumId="20">
    <w:nsid w:val="28696DED"/>
    <w:multiLevelType w:val="multilevel"/>
    <w:tmpl w:val="28696DED"/>
    <w:lvl w:ilvl="0" w:tentative="0">
      <w:start w:val="0"/>
      <w:numFmt w:val="bullet"/>
      <w:lvlText w:val=""/>
      <w:lvlJc w:val="left"/>
      <w:pPr>
        <w:ind w:left="526" w:hanging="420"/>
      </w:pPr>
      <w:rPr>
        <w:rFonts w:hint="default" w:ascii="Symbol" w:hAnsi="Symbol" w:eastAsia="Symbol" w:cs="Symbol"/>
        <w:w w:val="99"/>
        <w:sz w:val="21"/>
        <w:szCs w:val="21"/>
      </w:rPr>
    </w:lvl>
    <w:lvl w:ilvl="1" w:tentative="0">
      <w:start w:val="0"/>
      <w:numFmt w:val="bullet"/>
      <w:lvlText w:val="•"/>
      <w:lvlJc w:val="left"/>
      <w:pPr>
        <w:ind w:left="1133" w:hanging="420"/>
      </w:pPr>
      <w:rPr>
        <w:rFonts w:hint="default"/>
      </w:rPr>
    </w:lvl>
    <w:lvl w:ilvl="2" w:tentative="0">
      <w:start w:val="0"/>
      <w:numFmt w:val="bullet"/>
      <w:lvlText w:val="•"/>
      <w:lvlJc w:val="left"/>
      <w:pPr>
        <w:ind w:left="1746" w:hanging="420"/>
      </w:pPr>
      <w:rPr>
        <w:rFonts w:hint="default"/>
      </w:rPr>
    </w:lvl>
    <w:lvl w:ilvl="3" w:tentative="0">
      <w:start w:val="0"/>
      <w:numFmt w:val="bullet"/>
      <w:lvlText w:val="•"/>
      <w:lvlJc w:val="left"/>
      <w:pPr>
        <w:ind w:left="2359" w:hanging="420"/>
      </w:pPr>
      <w:rPr>
        <w:rFonts w:hint="default"/>
      </w:rPr>
    </w:lvl>
    <w:lvl w:ilvl="4" w:tentative="0">
      <w:start w:val="0"/>
      <w:numFmt w:val="bullet"/>
      <w:lvlText w:val="•"/>
      <w:lvlJc w:val="left"/>
      <w:pPr>
        <w:ind w:left="2972" w:hanging="420"/>
      </w:pPr>
      <w:rPr>
        <w:rFonts w:hint="default"/>
      </w:rPr>
    </w:lvl>
    <w:lvl w:ilvl="5" w:tentative="0">
      <w:start w:val="0"/>
      <w:numFmt w:val="bullet"/>
      <w:lvlText w:val="•"/>
      <w:lvlJc w:val="left"/>
      <w:pPr>
        <w:ind w:left="3586" w:hanging="420"/>
      </w:pPr>
      <w:rPr>
        <w:rFonts w:hint="default"/>
      </w:rPr>
    </w:lvl>
    <w:lvl w:ilvl="6" w:tentative="0">
      <w:start w:val="0"/>
      <w:numFmt w:val="bullet"/>
      <w:lvlText w:val="•"/>
      <w:lvlJc w:val="left"/>
      <w:pPr>
        <w:ind w:left="4199" w:hanging="420"/>
      </w:pPr>
      <w:rPr>
        <w:rFonts w:hint="default"/>
      </w:rPr>
    </w:lvl>
    <w:lvl w:ilvl="7" w:tentative="0">
      <w:start w:val="0"/>
      <w:numFmt w:val="bullet"/>
      <w:lvlText w:val="•"/>
      <w:lvlJc w:val="left"/>
      <w:pPr>
        <w:ind w:left="4812" w:hanging="420"/>
      </w:pPr>
      <w:rPr>
        <w:rFonts w:hint="default"/>
      </w:rPr>
    </w:lvl>
    <w:lvl w:ilvl="8" w:tentative="0">
      <w:start w:val="0"/>
      <w:numFmt w:val="bullet"/>
      <w:lvlText w:val="•"/>
      <w:lvlJc w:val="left"/>
      <w:pPr>
        <w:ind w:left="5425" w:hanging="420"/>
      </w:pPr>
      <w:rPr>
        <w:rFonts w:hint="default"/>
      </w:rPr>
    </w:lvl>
  </w:abstractNum>
  <w:abstractNum w:abstractNumId="21">
    <w:nsid w:val="2C1A206F"/>
    <w:multiLevelType w:val="multilevel"/>
    <w:tmpl w:val="2C1A206F"/>
    <w:lvl w:ilvl="0" w:tentative="0">
      <w:start w:val="0"/>
      <w:numFmt w:val="bullet"/>
      <w:lvlText w:val=""/>
      <w:lvlJc w:val="left"/>
      <w:pPr>
        <w:ind w:left="466" w:hanging="360"/>
      </w:pPr>
      <w:rPr>
        <w:rFonts w:hint="default" w:ascii="Symbol" w:hAnsi="Symbol" w:eastAsia="Symbol" w:cs="Symbol"/>
        <w:w w:val="99"/>
        <w:sz w:val="21"/>
        <w:szCs w:val="21"/>
      </w:rPr>
    </w:lvl>
    <w:lvl w:ilvl="1" w:tentative="0">
      <w:start w:val="0"/>
      <w:numFmt w:val="bullet"/>
      <w:lvlText w:val="•"/>
      <w:lvlJc w:val="left"/>
      <w:pPr>
        <w:ind w:left="1079" w:hanging="360"/>
      </w:pPr>
      <w:rPr>
        <w:rFonts w:hint="default"/>
      </w:rPr>
    </w:lvl>
    <w:lvl w:ilvl="2" w:tentative="0">
      <w:start w:val="0"/>
      <w:numFmt w:val="bullet"/>
      <w:lvlText w:val="•"/>
      <w:lvlJc w:val="left"/>
      <w:pPr>
        <w:ind w:left="1698" w:hanging="360"/>
      </w:pPr>
      <w:rPr>
        <w:rFonts w:hint="default"/>
      </w:rPr>
    </w:lvl>
    <w:lvl w:ilvl="3" w:tentative="0">
      <w:start w:val="0"/>
      <w:numFmt w:val="bullet"/>
      <w:lvlText w:val="•"/>
      <w:lvlJc w:val="left"/>
      <w:pPr>
        <w:ind w:left="2317" w:hanging="360"/>
      </w:pPr>
      <w:rPr>
        <w:rFonts w:hint="default"/>
      </w:rPr>
    </w:lvl>
    <w:lvl w:ilvl="4" w:tentative="0">
      <w:start w:val="0"/>
      <w:numFmt w:val="bullet"/>
      <w:lvlText w:val="•"/>
      <w:lvlJc w:val="left"/>
      <w:pPr>
        <w:ind w:left="2936" w:hanging="360"/>
      </w:pPr>
      <w:rPr>
        <w:rFonts w:hint="default"/>
      </w:rPr>
    </w:lvl>
    <w:lvl w:ilvl="5" w:tentative="0">
      <w:start w:val="0"/>
      <w:numFmt w:val="bullet"/>
      <w:lvlText w:val="•"/>
      <w:lvlJc w:val="left"/>
      <w:pPr>
        <w:ind w:left="3556" w:hanging="360"/>
      </w:pPr>
      <w:rPr>
        <w:rFonts w:hint="default"/>
      </w:rPr>
    </w:lvl>
    <w:lvl w:ilvl="6" w:tentative="0">
      <w:start w:val="0"/>
      <w:numFmt w:val="bullet"/>
      <w:lvlText w:val="•"/>
      <w:lvlJc w:val="left"/>
      <w:pPr>
        <w:ind w:left="4175" w:hanging="360"/>
      </w:pPr>
      <w:rPr>
        <w:rFonts w:hint="default"/>
      </w:rPr>
    </w:lvl>
    <w:lvl w:ilvl="7" w:tentative="0">
      <w:start w:val="0"/>
      <w:numFmt w:val="bullet"/>
      <w:lvlText w:val="•"/>
      <w:lvlJc w:val="left"/>
      <w:pPr>
        <w:ind w:left="4794" w:hanging="360"/>
      </w:pPr>
      <w:rPr>
        <w:rFonts w:hint="default"/>
      </w:rPr>
    </w:lvl>
    <w:lvl w:ilvl="8" w:tentative="0">
      <w:start w:val="0"/>
      <w:numFmt w:val="bullet"/>
      <w:lvlText w:val="•"/>
      <w:lvlJc w:val="left"/>
      <w:pPr>
        <w:ind w:left="5413" w:hanging="360"/>
      </w:pPr>
      <w:rPr>
        <w:rFonts w:hint="default"/>
      </w:rPr>
    </w:lvl>
  </w:abstractNum>
  <w:abstractNum w:abstractNumId="22">
    <w:nsid w:val="2CB30BF6"/>
    <w:multiLevelType w:val="multilevel"/>
    <w:tmpl w:val="2CB30BF6"/>
    <w:lvl w:ilvl="0" w:tentative="0">
      <w:start w:val="0"/>
      <w:numFmt w:val="bullet"/>
      <w:lvlText w:val=""/>
      <w:lvlJc w:val="left"/>
      <w:pPr>
        <w:ind w:left="527" w:hanging="420"/>
      </w:pPr>
      <w:rPr>
        <w:rFonts w:hint="default" w:ascii="Symbol" w:hAnsi="Symbol" w:eastAsia="Symbol" w:cs="Symbol"/>
        <w:w w:val="99"/>
        <w:sz w:val="21"/>
        <w:szCs w:val="21"/>
      </w:rPr>
    </w:lvl>
    <w:lvl w:ilvl="1" w:tentative="0">
      <w:start w:val="0"/>
      <w:numFmt w:val="bullet"/>
      <w:lvlText w:val="•"/>
      <w:lvlJc w:val="left"/>
      <w:pPr>
        <w:ind w:left="1019" w:hanging="420"/>
      </w:pPr>
      <w:rPr>
        <w:rFonts w:hint="default"/>
      </w:rPr>
    </w:lvl>
    <w:lvl w:ilvl="2" w:tentative="0">
      <w:start w:val="0"/>
      <w:numFmt w:val="bullet"/>
      <w:lvlText w:val="•"/>
      <w:lvlJc w:val="left"/>
      <w:pPr>
        <w:ind w:left="1519" w:hanging="420"/>
      </w:pPr>
      <w:rPr>
        <w:rFonts w:hint="default"/>
      </w:rPr>
    </w:lvl>
    <w:lvl w:ilvl="3" w:tentative="0">
      <w:start w:val="0"/>
      <w:numFmt w:val="bullet"/>
      <w:lvlText w:val="•"/>
      <w:lvlJc w:val="left"/>
      <w:pPr>
        <w:ind w:left="2019" w:hanging="420"/>
      </w:pPr>
      <w:rPr>
        <w:rFonts w:hint="default"/>
      </w:rPr>
    </w:lvl>
    <w:lvl w:ilvl="4" w:tentative="0">
      <w:start w:val="0"/>
      <w:numFmt w:val="bullet"/>
      <w:lvlText w:val="•"/>
      <w:lvlJc w:val="left"/>
      <w:pPr>
        <w:ind w:left="2519" w:hanging="420"/>
      </w:pPr>
      <w:rPr>
        <w:rFonts w:hint="default"/>
      </w:rPr>
    </w:lvl>
    <w:lvl w:ilvl="5" w:tentative="0">
      <w:start w:val="0"/>
      <w:numFmt w:val="bullet"/>
      <w:lvlText w:val="•"/>
      <w:lvlJc w:val="left"/>
      <w:pPr>
        <w:ind w:left="3019" w:hanging="420"/>
      </w:pPr>
      <w:rPr>
        <w:rFonts w:hint="default"/>
      </w:rPr>
    </w:lvl>
    <w:lvl w:ilvl="6" w:tentative="0">
      <w:start w:val="0"/>
      <w:numFmt w:val="bullet"/>
      <w:lvlText w:val="•"/>
      <w:lvlJc w:val="left"/>
      <w:pPr>
        <w:ind w:left="3518" w:hanging="420"/>
      </w:pPr>
      <w:rPr>
        <w:rFonts w:hint="default"/>
      </w:rPr>
    </w:lvl>
    <w:lvl w:ilvl="7" w:tentative="0">
      <w:start w:val="0"/>
      <w:numFmt w:val="bullet"/>
      <w:lvlText w:val="•"/>
      <w:lvlJc w:val="left"/>
      <w:pPr>
        <w:ind w:left="4018" w:hanging="420"/>
      </w:pPr>
      <w:rPr>
        <w:rFonts w:hint="default"/>
      </w:rPr>
    </w:lvl>
    <w:lvl w:ilvl="8" w:tentative="0">
      <w:start w:val="0"/>
      <w:numFmt w:val="bullet"/>
      <w:lvlText w:val="•"/>
      <w:lvlJc w:val="left"/>
      <w:pPr>
        <w:ind w:left="4518" w:hanging="420"/>
      </w:pPr>
      <w:rPr>
        <w:rFonts w:hint="default"/>
      </w:rPr>
    </w:lvl>
  </w:abstractNum>
  <w:abstractNum w:abstractNumId="23">
    <w:nsid w:val="2EEC565A"/>
    <w:multiLevelType w:val="multilevel"/>
    <w:tmpl w:val="2EEC565A"/>
    <w:lvl w:ilvl="0" w:tentative="0">
      <w:start w:val="0"/>
      <w:numFmt w:val="bullet"/>
      <w:lvlText w:val=""/>
      <w:lvlJc w:val="left"/>
      <w:pPr>
        <w:ind w:left="526" w:hanging="420"/>
      </w:pPr>
      <w:rPr>
        <w:rFonts w:hint="default" w:ascii="Symbol" w:hAnsi="Symbol" w:eastAsia="Symbol" w:cs="Symbol"/>
        <w:w w:val="99"/>
        <w:sz w:val="21"/>
        <w:szCs w:val="21"/>
      </w:rPr>
    </w:lvl>
    <w:lvl w:ilvl="1" w:tentative="0">
      <w:start w:val="0"/>
      <w:numFmt w:val="bullet"/>
      <w:lvlText w:val="•"/>
      <w:lvlJc w:val="left"/>
      <w:pPr>
        <w:ind w:left="1133" w:hanging="420"/>
      </w:pPr>
      <w:rPr>
        <w:rFonts w:hint="default"/>
      </w:rPr>
    </w:lvl>
    <w:lvl w:ilvl="2" w:tentative="0">
      <w:start w:val="0"/>
      <w:numFmt w:val="bullet"/>
      <w:lvlText w:val="•"/>
      <w:lvlJc w:val="left"/>
      <w:pPr>
        <w:ind w:left="1746" w:hanging="420"/>
      </w:pPr>
      <w:rPr>
        <w:rFonts w:hint="default"/>
      </w:rPr>
    </w:lvl>
    <w:lvl w:ilvl="3" w:tentative="0">
      <w:start w:val="0"/>
      <w:numFmt w:val="bullet"/>
      <w:lvlText w:val="•"/>
      <w:lvlJc w:val="left"/>
      <w:pPr>
        <w:ind w:left="2359" w:hanging="420"/>
      </w:pPr>
      <w:rPr>
        <w:rFonts w:hint="default"/>
      </w:rPr>
    </w:lvl>
    <w:lvl w:ilvl="4" w:tentative="0">
      <w:start w:val="0"/>
      <w:numFmt w:val="bullet"/>
      <w:lvlText w:val="•"/>
      <w:lvlJc w:val="left"/>
      <w:pPr>
        <w:ind w:left="2972" w:hanging="420"/>
      </w:pPr>
      <w:rPr>
        <w:rFonts w:hint="default"/>
      </w:rPr>
    </w:lvl>
    <w:lvl w:ilvl="5" w:tentative="0">
      <w:start w:val="0"/>
      <w:numFmt w:val="bullet"/>
      <w:lvlText w:val="•"/>
      <w:lvlJc w:val="left"/>
      <w:pPr>
        <w:ind w:left="3586" w:hanging="420"/>
      </w:pPr>
      <w:rPr>
        <w:rFonts w:hint="default"/>
      </w:rPr>
    </w:lvl>
    <w:lvl w:ilvl="6" w:tentative="0">
      <w:start w:val="0"/>
      <w:numFmt w:val="bullet"/>
      <w:lvlText w:val="•"/>
      <w:lvlJc w:val="left"/>
      <w:pPr>
        <w:ind w:left="4199" w:hanging="420"/>
      </w:pPr>
      <w:rPr>
        <w:rFonts w:hint="default"/>
      </w:rPr>
    </w:lvl>
    <w:lvl w:ilvl="7" w:tentative="0">
      <w:start w:val="0"/>
      <w:numFmt w:val="bullet"/>
      <w:lvlText w:val="•"/>
      <w:lvlJc w:val="left"/>
      <w:pPr>
        <w:ind w:left="4812" w:hanging="420"/>
      </w:pPr>
      <w:rPr>
        <w:rFonts w:hint="default"/>
      </w:rPr>
    </w:lvl>
    <w:lvl w:ilvl="8" w:tentative="0">
      <w:start w:val="0"/>
      <w:numFmt w:val="bullet"/>
      <w:lvlText w:val="•"/>
      <w:lvlJc w:val="left"/>
      <w:pPr>
        <w:ind w:left="5425" w:hanging="420"/>
      </w:pPr>
      <w:rPr>
        <w:rFonts w:hint="default"/>
      </w:rPr>
    </w:lvl>
  </w:abstractNum>
  <w:abstractNum w:abstractNumId="24">
    <w:nsid w:val="31E02263"/>
    <w:multiLevelType w:val="multilevel"/>
    <w:tmpl w:val="31E02263"/>
    <w:lvl w:ilvl="0" w:tentative="0">
      <w:start w:val="0"/>
      <w:numFmt w:val="bullet"/>
      <w:lvlText w:val=""/>
      <w:lvlJc w:val="left"/>
      <w:pPr>
        <w:ind w:left="526" w:hanging="420"/>
      </w:pPr>
      <w:rPr>
        <w:rFonts w:hint="default" w:ascii="Symbol" w:hAnsi="Symbol" w:eastAsia="Symbol" w:cs="Symbol"/>
        <w:w w:val="99"/>
        <w:sz w:val="21"/>
        <w:szCs w:val="21"/>
      </w:rPr>
    </w:lvl>
    <w:lvl w:ilvl="1" w:tentative="0">
      <w:start w:val="0"/>
      <w:numFmt w:val="bullet"/>
      <w:lvlText w:val="•"/>
      <w:lvlJc w:val="left"/>
      <w:pPr>
        <w:ind w:left="1133" w:hanging="420"/>
      </w:pPr>
      <w:rPr>
        <w:rFonts w:hint="default"/>
      </w:rPr>
    </w:lvl>
    <w:lvl w:ilvl="2" w:tentative="0">
      <w:start w:val="0"/>
      <w:numFmt w:val="bullet"/>
      <w:lvlText w:val="•"/>
      <w:lvlJc w:val="left"/>
      <w:pPr>
        <w:ind w:left="1746" w:hanging="420"/>
      </w:pPr>
      <w:rPr>
        <w:rFonts w:hint="default"/>
      </w:rPr>
    </w:lvl>
    <w:lvl w:ilvl="3" w:tentative="0">
      <w:start w:val="0"/>
      <w:numFmt w:val="bullet"/>
      <w:lvlText w:val="•"/>
      <w:lvlJc w:val="left"/>
      <w:pPr>
        <w:ind w:left="2359" w:hanging="420"/>
      </w:pPr>
      <w:rPr>
        <w:rFonts w:hint="default"/>
      </w:rPr>
    </w:lvl>
    <w:lvl w:ilvl="4" w:tentative="0">
      <w:start w:val="0"/>
      <w:numFmt w:val="bullet"/>
      <w:lvlText w:val="•"/>
      <w:lvlJc w:val="left"/>
      <w:pPr>
        <w:ind w:left="2972" w:hanging="420"/>
      </w:pPr>
      <w:rPr>
        <w:rFonts w:hint="default"/>
      </w:rPr>
    </w:lvl>
    <w:lvl w:ilvl="5" w:tentative="0">
      <w:start w:val="0"/>
      <w:numFmt w:val="bullet"/>
      <w:lvlText w:val="•"/>
      <w:lvlJc w:val="left"/>
      <w:pPr>
        <w:ind w:left="3586" w:hanging="420"/>
      </w:pPr>
      <w:rPr>
        <w:rFonts w:hint="default"/>
      </w:rPr>
    </w:lvl>
    <w:lvl w:ilvl="6" w:tentative="0">
      <w:start w:val="0"/>
      <w:numFmt w:val="bullet"/>
      <w:lvlText w:val="•"/>
      <w:lvlJc w:val="left"/>
      <w:pPr>
        <w:ind w:left="4199" w:hanging="420"/>
      </w:pPr>
      <w:rPr>
        <w:rFonts w:hint="default"/>
      </w:rPr>
    </w:lvl>
    <w:lvl w:ilvl="7" w:tentative="0">
      <w:start w:val="0"/>
      <w:numFmt w:val="bullet"/>
      <w:lvlText w:val="•"/>
      <w:lvlJc w:val="left"/>
      <w:pPr>
        <w:ind w:left="4812" w:hanging="420"/>
      </w:pPr>
      <w:rPr>
        <w:rFonts w:hint="default"/>
      </w:rPr>
    </w:lvl>
    <w:lvl w:ilvl="8" w:tentative="0">
      <w:start w:val="0"/>
      <w:numFmt w:val="bullet"/>
      <w:lvlText w:val="•"/>
      <w:lvlJc w:val="left"/>
      <w:pPr>
        <w:ind w:left="5425" w:hanging="420"/>
      </w:pPr>
      <w:rPr>
        <w:rFonts w:hint="default"/>
      </w:rPr>
    </w:lvl>
  </w:abstractNum>
  <w:abstractNum w:abstractNumId="25">
    <w:nsid w:val="3D692ECE"/>
    <w:multiLevelType w:val="multilevel"/>
    <w:tmpl w:val="3D692ECE"/>
    <w:lvl w:ilvl="0" w:tentative="0">
      <w:start w:val="0"/>
      <w:numFmt w:val="bullet"/>
      <w:lvlText w:val=""/>
      <w:lvlJc w:val="left"/>
      <w:pPr>
        <w:ind w:left="527" w:hanging="420"/>
      </w:pPr>
      <w:rPr>
        <w:rFonts w:hint="default" w:ascii="Symbol" w:hAnsi="Symbol" w:eastAsia="Symbol" w:cs="Symbol"/>
        <w:w w:val="99"/>
        <w:sz w:val="21"/>
        <w:szCs w:val="21"/>
      </w:rPr>
    </w:lvl>
    <w:lvl w:ilvl="1" w:tentative="0">
      <w:start w:val="0"/>
      <w:numFmt w:val="bullet"/>
      <w:lvlText w:val="•"/>
      <w:lvlJc w:val="left"/>
      <w:pPr>
        <w:ind w:left="1019" w:hanging="420"/>
      </w:pPr>
      <w:rPr>
        <w:rFonts w:hint="default"/>
      </w:rPr>
    </w:lvl>
    <w:lvl w:ilvl="2" w:tentative="0">
      <w:start w:val="0"/>
      <w:numFmt w:val="bullet"/>
      <w:lvlText w:val="•"/>
      <w:lvlJc w:val="left"/>
      <w:pPr>
        <w:ind w:left="1519" w:hanging="420"/>
      </w:pPr>
      <w:rPr>
        <w:rFonts w:hint="default"/>
      </w:rPr>
    </w:lvl>
    <w:lvl w:ilvl="3" w:tentative="0">
      <w:start w:val="0"/>
      <w:numFmt w:val="bullet"/>
      <w:lvlText w:val="•"/>
      <w:lvlJc w:val="left"/>
      <w:pPr>
        <w:ind w:left="2019" w:hanging="420"/>
      </w:pPr>
      <w:rPr>
        <w:rFonts w:hint="default"/>
      </w:rPr>
    </w:lvl>
    <w:lvl w:ilvl="4" w:tentative="0">
      <w:start w:val="0"/>
      <w:numFmt w:val="bullet"/>
      <w:lvlText w:val="•"/>
      <w:lvlJc w:val="left"/>
      <w:pPr>
        <w:ind w:left="2519" w:hanging="420"/>
      </w:pPr>
      <w:rPr>
        <w:rFonts w:hint="default"/>
      </w:rPr>
    </w:lvl>
    <w:lvl w:ilvl="5" w:tentative="0">
      <w:start w:val="0"/>
      <w:numFmt w:val="bullet"/>
      <w:lvlText w:val="•"/>
      <w:lvlJc w:val="left"/>
      <w:pPr>
        <w:ind w:left="3019" w:hanging="420"/>
      </w:pPr>
      <w:rPr>
        <w:rFonts w:hint="default"/>
      </w:rPr>
    </w:lvl>
    <w:lvl w:ilvl="6" w:tentative="0">
      <w:start w:val="0"/>
      <w:numFmt w:val="bullet"/>
      <w:lvlText w:val="•"/>
      <w:lvlJc w:val="left"/>
      <w:pPr>
        <w:ind w:left="3518" w:hanging="420"/>
      </w:pPr>
      <w:rPr>
        <w:rFonts w:hint="default"/>
      </w:rPr>
    </w:lvl>
    <w:lvl w:ilvl="7" w:tentative="0">
      <w:start w:val="0"/>
      <w:numFmt w:val="bullet"/>
      <w:lvlText w:val="•"/>
      <w:lvlJc w:val="left"/>
      <w:pPr>
        <w:ind w:left="4018" w:hanging="420"/>
      </w:pPr>
      <w:rPr>
        <w:rFonts w:hint="default"/>
      </w:rPr>
    </w:lvl>
    <w:lvl w:ilvl="8" w:tentative="0">
      <w:start w:val="0"/>
      <w:numFmt w:val="bullet"/>
      <w:lvlText w:val="•"/>
      <w:lvlJc w:val="left"/>
      <w:pPr>
        <w:ind w:left="4518" w:hanging="420"/>
      </w:pPr>
      <w:rPr>
        <w:rFonts w:hint="default"/>
      </w:rPr>
    </w:lvl>
  </w:abstractNum>
  <w:abstractNum w:abstractNumId="26">
    <w:nsid w:val="4435674F"/>
    <w:multiLevelType w:val="multilevel"/>
    <w:tmpl w:val="4435674F"/>
    <w:lvl w:ilvl="0" w:tentative="0">
      <w:start w:val="0"/>
      <w:numFmt w:val="bullet"/>
      <w:lvlText w:val=""/>
      <w:lvlJc w:val="left"/>
      <w:pPr>
        <w:ind w:left="526" w:hanging="420"/>
      </w:pPr>
      <w:rPr>
        <w:rFonts w:hint="default" w:ascii="Symbol" w:hAnsi="Symbol" w:eastAsia="Symbol" w:cs="Symbol"/>
        <w:w w:val="99"/>
        <w:sz w:val="21"/>
        <w:szCs w:val="21"/>
      </w:rPr>
    </w:lvl>
    <w:lvl w:ilvl="1" w:tentative="0">
      <w:start w:val="0"/>
      <w:numFmt w:val="bullet"/>
      <w:lvlText w:val="•"/>
      <w:lvlJc w:val="left"/>
      <w:pPr>
        <w:ind w:left="1133" w:hanging="420"/>
      </w:pPr>
      <w:rPr>
        <w:rFonts w:hint="default"/>
      </w:rPr>
    </w:lvl>
    <w:lvl w:ilvl="2" w:tentative="0">
      <w:start w:val="0"/>
      <w:numFmt w:val="bullet"/>
      <w:lvlText w:val="•"/>
      <w:lvlJc w:val="left"/>
      <w:pPr>
        <w:ind w:left="1746" w:hanging="420"/>
      </w:pPr>
      <w:rPr>
        <w:rFonts w:hint="default"/>
      </w:rPr>
    </w:lvl>
    <w:lvl w:ilvl="3" w:tentative="0">
      <w:start w:val="0"/>
      <w:numFmt w:val="bullet"/>
      <w:lvlText w:val="•"/>
      <w:lvlJc w:val="left"/>
      <w:pPr>
        <w:ind w:left="2359" w:hanging="420"/>
      </w:pPr>
      <w:rPr>
        <w:rFonts w:hint="default"/>
      </w:rPr>
    </w:lvl>
    <w:lvl w:ilvl="4" w:tentative="0">
      <w:start w:val="0"/>
      <w:numFmt w:val="bullet"/>
      <w:lvlText w:val="•"/>
      <w:lvlJc w:val="left"/>
      <w:pPr>
        <w:ind w:left="2972" w:hanging="420"/>
      </w:pPr>
      <w:rPr>
        <w:rFonts w:hint="default"/>
      </w:rPr>
    </w:lvl>
    <w:lvl w:ilvl="5" w:tentative="0">
      <w:start w:val="0"/>
      <w:numFmt w:val="bullet"/>
      <w:lvlText w:val="•"/>
      <w:lvlJc w:val="left"/>
      <w:pPr>
        <w:ind w:left="3586" w:hanging="420"/>
      </w:pPr>
      <w:rPr>
        <w:rFonts w:hint="default"/>
      </w:rPr>
    </w:lvl>
    <w:lvl w:ilvl="6" w:tentative="0">
      <w:start w:val="0"/>
      <w:numFmt w:val="bullet"/>
      <w:lvlText w:val="•"/>
      <w:lvlJc w:val="left"/>
      <w:pPr>
        <w:ind w:left="4199" w:hanging="420"/>
      </w:pPr>
      <w:rPr>
        <w:rFonts w:hint="default"/>
      </w:rPr>
    </w:lvl>
    <w:lvl w:ilvl="7" w:tentative="0">
      <w:start w:val="0"/>
      <w:numFmt w:val="bullet"/>
      <w:lvlText w:val="•"/>
      <w:lvlJc w:val="left"/>
      <w:pPr>
        <w:ind w:left="4812" w:hanging="420"/>
      </w:pPr>
      <w:rPr>
        <w:rFonts w:hint="default"/>
      </w:rPr>
    </w:lvl>
    <w:lvl w:ilvl="8" w:tentative="0">
      <w:start w:val="0"/>
      <w:numFmt w:val="bullet"/>
      <w:lvlText w:val="•"/>
      <w:lvlJc w:val="left"/>
      <w:pPr>
        <w:ind w:left="5425" w:hanging="420"/>
      </w:pPr>
      <w:rPr>
        <w:rFonts w:hint="default"/>
      </w:rPr>
    </w:lvl>
  </w:abstractNum>
  <w:abstractNum w:abstractNumId="27">
    <w:nsid w:val="4ACF34BA"/>
    <w:multiLevelType w:val="multilevel"/>
    <w:tmpl w:val="4ACF34BA"/>
    <w:lvl w:ilvl="0" w:tentative="0">
      <w:start w:val="0"/>
      <w:numFmt w:val="bullet"/>
      <w:lvlText w:val=""/>
      <w:lvlJc w:val="left"/>
      <w:pPr>
        <w:ind w:left="527" w:hanging="420"/>
      </w:pPr>
      <w:rPr>
        <w:rFonts w:hint="default" w:ascii="Symbol" w:hAnsi="Symbol" w:eastAsia="Symbol" w:cs="Symbol"/>
        <w:w w:val="99"/>
        <w:sz w:val="21"/>
        <w:szCs w:val="21"/>
      </w:rPr>
    </w:lvl>
    <w:lvl w:ilvl="1" w:tentative="0">
      <w:start w:val="0"/>
      <w:numFmt w:val="bullet"/>
      <w:lvlText w:val="•"/>
      <w:lvlJc w:val="left"/>
      <w:pPr>
        <w:ind w:left="1019" w:hanging="420"/>
      </w:pPr>
      <w:rPr>
        <w:rFonts w:hint="default"/>
      </w:rPr>
    </w:lvl>
    <w:lvl w:ilvl="2" w:tentative="0">
      <w:start w:val="0"/>
      <w:numFmt w:val="bullet"/>
      <w:lvlText w:val="•"/>
      <w:lvlJc w:val="left"/>
      <w:pPr>
        <w:ind w:left="1519" w:hanging="420"/>
      </w:pPr>
      <w:rPr>
        <w:rFonts w:hint="default"/>
      </w:rPr>
    </w:lvl>
    <w:lvl w:ilvl="3" w:tentative="0">
      <w:start w:val="0"/>
      <w:numFmt w:val="bullet"/>
      <w:lvlText w:val="•"/>
      <w:lvlJc w:val="left"/>
      <w:pPr>
        <w:ind w:left="2019" w:hanging="420"/>
      </w:pPr>
      <w:rPr>
        <w:rFonts w:hint="default"/>
      </w:rPr>
    </w:lvl>
    <w:lvl w:ilvl="4" w:tentative="0">
      <w:start w:val="0"/>
      <w:numFmt w:val="bullet"/>
      <w:lvlText w:val="•"/>
      <w:lvlJc w:val="left"/>
      <w:pPr>
        <w:ind w:left="2519" w:hanging="420"/>
      </w:pPr>
      <w:rPr>
        <w:rFonts w:hint="default"/>
      </w:rPr>
    </w:lvl>
    <w:lvl w:ilvl="5" w:tentative="0">
      <w:start w:val="0"/>
      <w:numFmt w:val="bullet"/>
      <w:lvlText w:val="•"/>
      <w:lvlJc w:val="left"/>
      <w:pPr>
        <w:ind w:left="3019" w:hanging="420"/>
      </w:pPr>
      <w:rPr>
        <w:rFonts w:hint="default"/>
      </w:rPr>
    </w:lvl>
    <w:lvl w:ilvl="6" w:tentative="0">
      <w:start w:val="0"/>
      <w:numFmt w:val="bullet"/>
      <w:lvlText w:val="•"/>
      <w:lvlJc w:val="left"/>
      <w:pPr>
        <w:ind w:left="3518" w:hanging="420"/>
      </w:pPr>
      <w:rPr>
        <w:rFonts w:hint="default"/>
      </w:rPr>
    </w:lvl>
    <w:lvl w:ilvl="7" w:tentative="0">
      <w:start w:val="0"/>
      <w:numFmt w:val="bullet"/>
      <w:lvlText w:val="•"/>
      <w:lvlJc w:val="left"/>
      <w:pPr>
        <w:ind w:left="4018" w:hanging="420"/>
      </w:pPr>
      <w:rPr>
        <w:rFonts w:hint="default"/>
      </w:rPr>
    </w:lvl>
    <w:lvl w:ilvl="8" w:tentative="0">
      <w:start w:val="0"/>
      <w:numFmt w:val="bullet"/>
      <w:lvlText w:val="•"/>
      <w:lvlJc w:val="left"/>
      <w:pPr>
        <w:ind w:left="4518" w:hanging="420"/>
      </w:pPr>
      <w:rPr>
        <w:rFonts w:hint="default"/>
      </w:rPr>
    </w:lvl>
  </w:abstractNum>
  <w:abstractNum w:abstractNumId="28">
    <w:nsid w:val="4E9C69A3"/>
    <w:multiLevelType w:val="multilevel"/>
    <w:tmpl w:val="4E9C69A3"/>
    <w:lvl w:ilvl="0" w:tentative="0">
      <w:start w:val="0"/>
      <w:numFmt w:val="bullet"/>
      <w:lvlText w:val=""/>
      <w:lvlJc w:val="left"/>
      <w:pPr>
        <w:ind w:left="527" w:hanging="420"/>
      </w:pPr>
      <w:rPr>
        <w:rFonts w:hint="default" w:ascii="Symbol" w:hAnsi="Symbol" w:eastAsia="Symbol" w:cs="Symbol"/>
        <w:w w:val="99"/>
        <w:sz w:val="21"/>
        <w:szCs w:val="21"/>
      </w:rPr>
    </w:lvl>
    <w:lvl w:ilvl="1" w:tentative="0">
      <w:start w:val="0"/>
      <w:numFmt w:val="bullet"/>
      <w:lvlText w:val="•"/>
      <w:lvlJc w:val="left"/>
      <w:pPr>
        <w:ind w:left="1019" w:hanging="420"/>
      </w:pPr>
      <w:rPr>
        <w:rFonts w:hint="default"/>
      </w:rPr>
    </w:lvl>
    <w:lvl w:ilvl="2" w:tentative="0">
      <w:start w:val="0"/>
      <w:numFmt w:val="bullet"/>
      <w:lvlText w:val="•"/>
      <w:lvlJc w:val="left"/>
      <w:pPr>
        <w:ind w:left="1519" w:hanging="420"/>
      </w:pPr>
      <w:rPr>
        <w:rFonts w:hint="default"/>
      </w:rPr>
    </w:lvl>
    <w:lvl w:ilvl="3" w:tentative="0">
      <w:start w:val="0"/>
      <w:numFmt w:val="bullet"/>
      <w:lvlText w:val="•"/>
      <w:lvlJc w:val="left"/>
      <w:pPr>
        <w:ind w:left="2019" w:hanging="420"/>
      </w:pPr>
      <w:rPr>
        <w:rFonts w:hint="default"/>
      </w:rPr>
    </w:lvl>
    <w:lvl w:ilvl="4" w:tentative="0">
      <w:start w:val="0"/>
      <w:numFmt w:val="bullet"/>
      <w:lvlText w:val="•"/>
      <w:lvlJc w:val="left"/>
      <w:pPr>
        <w:ind w:left="2519" w:hanging="420"/>
      </w:pPr>
      <w:rPr>
        <w:rFonts w:hint="default"/>
      </w:rPr>
    </w:lvl>
    <w:lvl w:ilvl="5" w:tentative="0">
      <w:start w:val="0"/>
      <w:numFmt w:val="bullet"/>
      <w:lvlText w:val="•"/>
      <w:lvlJc w:val="left"/>
      <w:pPr>
        <w:ind w:left="3019" w:hanging="420"/>
      </w:pPr>
      <w:rPr>
        <w:rFonts w:hint="default"/>
      </w:rPr>
    </w:lvl>
    <w:lvl w:ilvl="6" w:tentative="0">
      <w:start w:val="0"/>
      <w:numFmt w:val="bullet"/>
      <w:lvlText w:val="•"/>
      <w:lvlJc w:val="left"/>
      <w:pPr>
        <w:ind w:left="3518" w:hanging="420"/>
      </w:pPr>
      <w:rPr>
        <w:rFonts w:hint="default"/>
      </w:rPr>
    </w:lvl>
    <w:lvl w:ilvl="7" w:tentative="0">
      <w:start w:val="0"/>
      <w:numFmt w:val="bullet"/>
      <w:lvlText w:val="•"/>
      <w:lvlJc w:val="left"/>
      <w:pPr>
        <w:ind w:left="4018" w:hanging="420"/>
      </w:pPr>
      <w:rPr>
        <w:rFonts w:hint="default"/>
      </w:rPr>
    </w:lvl>
    <w:lvl w:ilvl="8" w:tentative="0">
      <w:start w:val="0"/>
      <w:numFmt w:val="bullet"/>
      <w:lvlText w:val="•"/>
      <w:lvlJc w:val="left"/>
      <w:pPr>
        <w:ind w:left="4518" w:hanging="420"/>
      </w:pPr>
      <w:rPr>
        <w:rFonts w:hint="default"/>
      </w:rPr>
    </w:lvl>
  </w:abstractNum>
  <w:abstractNum w:abstractNumId="29">
    <w:nsid w:val="500D396E"/>
    <w:multiLevelType w:val="multilevel"/>
    <w:tmpl w:val="500D396E"/>
    <w:lvl w:ilvl="0" w:tentative="0">
      <w:start w:val="0"/>
      <w:numFmt w:val="bullet"/>
      <w:lvlText w:val=""/>
      <w:lvlJc w:val="left"/>
      <w:pPr>
        <w:ind w:left="107" w:hanging="420"/>
      </w:pPr>
      <w:rPr>
        <w:rFonts w:hint="default" w:ascii="Symbol" w:hAnsi="Symbol" w:eastAsia="Symbol" w:cs="Symbol"/>
        <w:w w:val="99"/>
        <w:sz w:val="21"/>
        <w:szCs w:val="21"/>
      </w:rPr>
    </w:lvl>
    <w:lvl w:ilvl="1" w:tentative="0">
      <w:start w:val="0"/>
      <w:numFmt w:val="bullet"/>
      <w:lvlText w:val="•"/>
      <w:lvlJc w:val="left"/>
      <w:pPr>
        <w:ind w:left="641" w:hanging="420"/>
      </w:pPr>
      <w:rPr>
        <w:rFonts w:hint="default"/>
      </w:rPr>
    </w:lvl>
    <w:lvl w:ilvl="2" w:tentative="0">
      <w:start w:val="0"/>
      <w:numFmt w:val="bullet"/>
      <w:lvlText w:val="•"/>
      <w:lvlJc w:val="left"/>
      <w:pPr>
        <w:ind w:left="1183" w:hanging="420"/>
      </w:pPr>
      <w:rPr>
        <w:rFonts w:hint="default"/>
      </w:rPr>
    </w:lvl>
    <w:lvl w:ilvl="3" w:tentative="0">
      <w:start w:val="0"/>
      <w:numFmt w:val="bullet"/>
      <w:lvlText w:val="•"/>
      <w:lvlJc w:val="left"/>
      <w:pPr>
        <w:ind w:left="1725" w:hanging="420"/>
      </w:pPr>
      <w:rPr>
        <w:rFonts w:hint="default"/>
      </w:rPr>
    </w:lvl>
    <w:lvl w:ilvl="4" w:tentative="0">
      <w:start w:val="0"/>
      <w:numFmt w:val="bullet"/>
      <w:lvlText w:val="•"/>
      <w:lvlJc w:val="left"/>
      <w:pPr>
        <w:ind w:left="2267" w:hanging="420"/>
      </w:pPr>
      <w:rPr>
        <w:rFonts w:hint="default"/>
      </w:rPr>
    </w:lvl>
    <w:lvl w:ilvl="5" w:tentative="0">
      <w:start w:val="0"/>
      <w:numFmt w:val="bullet"/>
      <w:lvlText w:val="•"/>
      <w:lvlJc w:val="left"/>
      <w:pPr>
        <w:ind w:left="2809" w:hanging="420"/>
      </w:pPr>
      <w:rPr>
        <w:rFonts w:hint="default"/>
      </w:rPr>
    </w:lvl>
    <w:lvl w:ilvl="6" w:tentative="0">
      <w:start w:val="0"/>
      <w:numFmt w:val="bullet"/>
      <w:lvlText w:val="•"/>
      <w:lvlJc w:val="left"/>
      <w:pPr>
        <w:ind w:left="3350" w:hanging="420"/>
      </w:pPr>
      <w:rPr>
        <w:rFonts w:hint="default"/>
      </w:rPr>
    </w:lvl>
    <w:lvl w:ilvl="7" w:tentative="0">
      <w:start w:val="0"/>
      <w:numFmt w:val="bullet"/>
      <w:lvlText w:val="•"/>
      <w:lvlJc w:val="left"/>
      <w:pPr>
        <w:ind w:left="3892" w:hanging="420"/>
      </w:pPr>
      <w:rPr>
        <w:rFonts w:hint="default"/>
      </w:rPr>
    </w:lvl>
    <w:lvl w:ilvl="8" w:tentative="0">
      <w:start w:val="0"/>
      <w:numFmt w:val="bullet"/>
      <w:lvlText w:val="•"/>
      <w:lvlJc w:val="left"/>
      <w:pPr>
        <w:ind w:left="4434" w:hanging="420"/>
      </w:pPr>
      <w:rPr>
        <w:rFonts w:hint="default"/>
      </w:rPr>
    </w:lvl>
  </w:abstractNum>
  <w:abstractNum w:abstractNumId="30">
    <w:nsid w:val="57341E18"/>
    <w:multiLevelType w:val="multilevel"/>
    <w:tmpl w:val="57341E18"/>
    <w:lvl w:ilvl="0" w:tentative="0">
      <w:start w:val="0"/>
      <w:numFmt w:val="bullet"/>
      <w:lvlText w:val=""/>
      <w:lvlJc w:val="left"/>
      <w:pPr>
        <w:ind w:left="526" w:hanging="420"/>
      </w:pPr>
      <w:rPr>
        <w:rFonts w:hint="default" w:ascii="Symbol" w:hAnsi="Symbol" w:eastAsia="Symbol" w:cs="Symbol"/>
        <w:w w:val="99"/>
        <w:sz w:val="21"/>
        <w:szCs w:val="21"/>
      </w:rPr>
    </w:lvl>
    <w:lvl w:ilvl="1" w:tentative="0">
      <w:start w:val="0"/>
      <w:numFmt w:val="bullet"/>
      <w:lvlText w:val="•"/>
      <w:lvlJc w:val="left"/>
      <w:pPr>
        <w:ind w:left="1133" w:hanging="420"/>
      </w:pPr>
      <w:rPr>
        <w:rFonts w:hint="default"/>
      </w:rPr>
    </w:lvl>
    <w:lvl w:ilvl="2" w:tentative="0">
      <w:start w:val="0"/>
      <w:numFmt w:val="bullet"/>
      <w:lvlText w:val="•"/>
      <w:lvlJc w:val="left"/>
      <w:pPr>
        <w:ind w:left="1746" w:hanging="420"/>
      </w:pPr>
      <w:rPr>
        <w:rFonts w:hint="default"/>
      </w:rPr>
    </w:lvl>
    <w:lvl w:ilvl="3" w:tentative="0">
      <w:start w:val="0"/>
      <w:numFmt w:val="bullet"/>
      <w:lvlText w:val="•"/>
      <w:lvlJc w:val="left"/>
      <w:pPr>
        <w:ind w:left="2359" w:hanging="420"/>
      </w:pPr>
      <w:rPr>
        <w:rFonts w:hint="default"/>
      </w:rPr>
    </w:lvl>
    <w:lvl w:ilvl="4" w:tentative="0">
      <w:start w:val="0"/>
      <w:numFmt w:val="bullet"/>
      <w:lvlText w:val="•"/>
      <w:lvlJc w:val="left"/>
      <w:pPr>
        <w:ind w:left="2972" w:hanging="420"/>
      </w:pPr>
      <w:rPr>
        <w:rFonts w:hint="default"/>
      </w:rPr>
    </w:lvl>
    <w:lvl w:ilvl="5" w:tentative="0">
      <w:start w:val="0"/>
      <w:numFmt w:val="bullet"/>
      <w:lvlText w:val="•"/>
      <w:lvlJc w:val="left"/>
      <w:pPr>
        <w:ind w:left="3586" w:hanging="420"/>
      </w:pPr>
      <w:rPr>
        <w:rFonts w:hint="default"/>
      </w:rPr>
    </w:lvl>
    <w:lvl w:ilvl="6" w:tentative="0">
      <w:start w:val="0"/>
      <w:numFmt w:val="bullet"/>
      <w:lvlText w:val="•"/>
      <w:lvlJc w:val="left"/>
      <w:pPr>
        <w:ind w:left="4199" w:hanging="420"/>
      </w:pPr>
      <w:rPr>
        <w:rFonts w:hint="default"/>
      </w:rPr>
    </w:lvl>
    <w:lvl w:ilvl="7" w:tentative="0">
      <w:start w:val="0"/>
      <w:numFmt w:val="bullet"/>
      <w:lvlText w:val="•"/>
      <w:lvlJc w:val="left"/>
      <w:pPr>
        <w:ind w:left="4812" w:hanging="420"/>
      </w:pPr>
      <w:rPr>
        <w:rFonts w:hint="default"/>
      </w:rPr>
    </w:lvl>
    <w:lvl w:ilvl="8" w:tentative="0">
      <w:start w:val="0"/>
      <w:numFmt w:val="bullet"/>
      <w:lvlText w:val="•"/>
      <w:lvlJc w:val="left"/>
      <w:pPr>
        <w:ind w:left="5425" w:hanging="420"/>
      </w:pPr>
      <w:rPr>
        <w:rFonts w:hint="default"/>
      </w:rPr>
    </w:lvl>
  </w:abstractNum>
  <w:abstractNum w:abstractNumId="31">
    <w:nsid w:val="593339C0"/>
    <w:multiLevelType w:val="multilevel"/>
    <w:tmpl w:val="593339C0"/>
    <w:lvl w:ilvl="0" w:tentative="0">
      <w:start w:val="0"/>
      <w:numFmt w:val="bullet"/>
      <w:lvlText w:val=""/>
      <w:lvlJc w:val="left"/>
      <w:pPr>
        <w:ind w:left="527" w:hanging="420"/>
      </w:pPr>
      <w:rPr>
        <w:rFonts w:hint="default" w:ascii="Symbol" w:hAnsi="Symbol" w:eastAsia="Symbol" w:cs="Symbol"/>
        <w:w w:val="99"/>
        <w:sz w:val="21"/>
        <w:szCs w:val="21"/>
      </w:rPr>
    </w:lvl>
    <w:lvl w:ilvl="1" w:tentative="0">
      <w:start w:val="0"/>
      <w:numFmt w:val="bullet"/>
      <w:lvlText w:val="•"/>
      <w:lvlJc w:val="left"/>
      <w:pPr>
        <w:ind w:left="1019" w:hanging="420"/>
      </w:pPr>
      <w:rPr>
        <w:rFonts w:hint="default"/>
      </w:rPr>
    </w:lvl>
    <w:lvl w:ilvl="2" w:tentative="0">
      <w:start w:val="0"/>
      <w:numFmt w:val="bullet"/>
      <w:lvlText w:val="•"/>
      <w:lvlJc w:val="left"/>
      <w:pPr>
        <w:ind w:left="1519" w:hanging="420"/>
      </w:pPr>
      <w:rPr>
        <w:rFonts w:hint="default"/>
      </w:rPr>
    </w:lvl>
    <w:lvl w:ilvl="3" w:tentative="0">
      <w:start w:val="0"/>
      <w:numFmt w:val="bullet"/>
      <w:lvlText w:val="•"/>
      <w:lvlJc w:val="left"/>
      <w:pPr>
        <w:ind w:left="2019" w:hanging="420"/>
      </w:pPr>
      <w:rPr>
        <w:rFonts w:hint="default"/>
      </w:rPr>
    </w:lvl>
    <w:lvl w:ilvl="4" w:tentative="0">
      <w:start w:val="0"/>
      <w:numFmt w:val="bullet"/>
      <w:lvlText w:val="•"/>
      <w:lvlJc w:val="left"/>
      <w:pPr>
        <w:ind w:left="2519" w:hanging="420"/>
      </w:pPr>
      <w:rPr>
        <w:rFonts w:hint="default"/>
      </w:rPr>
    </w:lvl>
    <w:lvl w:ilvl="5" w:tentative="0">
      <w:start w:val="0"/>
      <w:numFmt w:val="bullet"/>
      <w:lvlText w:val="•"/>
      <w:lvlJc w:val="left"/>
      <w:pPr>
        <w:ind w:left="3019" w:hanging="420"/>
      </w:pPr>
      <w:rPr>
        <w:rFonts w:hint="default"/>
      </w:rPr>
    </w:lvl>
    <w:lvl w:ilvl="6" w:tentative="0">
      <w:start w:val="0"/>
      <w:numFmt w:val="bullet"/>
      <w:lvlText w:val="•"/>
      <w:lvlJc w:val="left"/>
      <w:pPr>
        <w:ind w:left="3518" w:hanging="420"/>
      </w:pPr>
      <w:rPr>
        <w:rFonts w:hint="default"/>
      </w:rPr>
    </w:lvl>
    <w:lvl w:ilvl="7" w:tentative="0">
      <w:start w:val="0"/>
      <w:numFmt w:val="bullet"/>
      <w:lvlText w:val="•"/>
      <w:lvlJc w:val="left"/>
      <w:pPr>
        <w:ind w:left="4018" w:hanging="420"/>
      </w:pPr>
      <w:rPr>
        <w:rFonts w:hint="default"/>
      </w:rPr>
    </w:lvl>
    <w:lvl w:ilvl="8" w:tentative="0">
      <w:start w:val="0"/>
      <w:numFmt w:val="bullet"/>
      <w:lvlText w:val="•"/>
      <w:lvlJc w:val="left"/>
      <w:pPr>
        <w:ind w:left="4518" w:hanging="420"/>
      </w:pPr>
      <w:rPr>
        <w:rFonts w:hint="default"/>
      </w:rPr>
    </w:lvl>
  </w:abstractNum>
  <w:abstractNum w:abstractNumId="32">
    <w:nsid w:val="5DCE6C2C"/>
    <w:multiLevelType w:val="multilevel"/>
    <w:tmpl w:val="5DCE6C2C"/>
    <w:lvl w:ilvl="0" w:tentative="0">
      <w:start w:val="0"/>
      <w:numFmt w:val="bullet"/>
      <w:lvlText w:val=""/>
      <w:lvlJc w:val="left"/>
      <w:pPr>
        <w:ind w:left="107" w:hanging="420"/>
      </w:pPr>
      <w:rPr>
        <w:rFonts w:hint="default" w:ascii="Symbol" w:hAnsi="Symbol" w:eastAsia="Symbol" w:cs="Symbol"/>
        <w:w w:val="99"/>
        <w:sz w:val="21"/>
        <w:szCs w:val="21"/>
      </w:rPr>
    </w:lvl>
    <w:lvl w:ilvl="1" w:tentative="0">
      <w:start w:val="0"/>
      <w:numFmt w:val="bullet"/>
      <w:lvlText w:val="•"/>
      <w:lvlJc w:val="left"/>
      <w:pPr>
        <w:ind w:left="641" w:hanging="420"/>
      </w:pPr>
      <w:rPr>
        <w:rFonts w:hint="default"/>
      </w:rPr>
    </w:lvl>
    <w:lvl w:ilvl="2" w:tentative="0">
      <w:start w:val="0"/>
      <w:numFmt w:val="bullet"/>
      <w:lvlText w:val="•"/>
      <w:lvlJc w:val="left"/>
      <w:pPr>
        <w:ind w:left="1183" w:hanging="420"/>
      </w:pPr>
      <w:rPr>
        <w:rFonts w:hint="default"/>
      </w:rPr>
    </w:lvl>
    <w:lvl w:ilvl="3" w:tentative="0">
      <w:start w:val="0"/>
      <w:numFmt w:val="bullet"/>
      <w:lvlText w:val="•"/>
      <w:lvlJc w:val="left"/>
      <w:pPr>
        <w:ind w:left="1725" w:hanging="420"/>
      </w:pPr>
      <w:rPr>
        <w:rFonts w:hint="default"/>
      </w:rPr>
    </w:lvl>
    <w:lvl w:ilvl="4" w:tentative="0">
      <w:start w:val="0"/>
      <w:numFmt w:val="bullet"/>
      <w:lvlText w:val="•"/>
      <w:lvlJc w:val="left"/>
      <w:pPr>
        <w:ind w:left="2267" w:hanging="420"/>
      </w:pPr>
      <w:rPr>
        <w:rFonts w:hint="default"/>
      </w:rPr>
    </w:lvl>
    <w:lvl w:ilvl="5" w:tentative="0">
      <w:start w:val="0"/>
      <w:numFmt w:val="bullet"/>
      <w:lvlText w:val="•"/>
      <w:lvlJc w:val="left"/>
      <w:pPr>
        <w:ind w:left="2809" w:hanging="420"/>
      </w:pPr>
      <w:rPr>
        <w:rFonts w:hint="default"/>
      </w:rPr>
    </w:lvl>
    <w:lvl w:ilvl="6" w:tentative="0">
      <w:start w:val="0"/>
      <w:numFmt w:val="bullet"/>
      <w:lvlText w:val="•"/>
      <w:lvlJc w:val="left"/>
      <w:pPr>
        <w:ind w:left="3350" w:hanging="420"/>
      </w:pPr>
      <w:rPr>
        <w:rFonts w:hint="default"/>
      </w:rPr>
    </w:lvl>
    <w:lvl w:ilvl="7" w:tentative="0">
      <w:start w:val="0"/>
      <w:numFmt w:val="bullet"/>
      <w:lvlText w:val="•"/>
      <w:lvlJc w:val="left"/>
      <w:pPr>
        <w:ind w:left="3892" w:hanging="420"/>
      </w:pPr>
      <w:rPr>
        <w:rFonts w:hint="default"/>
      </w:rPr>
    </w:lvl>
    <w:lvl w:ilvl="8" w:tentative="0">
      <w:start w:val="0"/>
      <w:numFmt w:val="bullet"/>
      <w:lvlText w:val="•"/>
      <w:lvlJc w:val="left"/>
      <w:pPr>
        <w:ind w:left="4434" w:hanging="420"/>
      </w:pPr>
      <w:rPr>
        <w:rFonts w:hint="default"/>
      </w:rPr>
    </w:lvl>
  </w:abstractNum>
  <w:abstractNum w:abstractNumId="33">
    <w:nsid w:val="5EC56523"/>
    <w:multiLevelType w:val="multilevel"/>
    <w:tmpl w:val="5EC56523"/>
    <w:lvl w:ilvl="0" w:tentative="0">
      <w:start w:val="0"/>
      <w:numFmt w:val="bullet"/>
      <w:lvlText w:val=""/>
      <w:lvlJc w:val="left"/>
      <w:pPr>
        <w:ind w:left="526" w:hanging="420"/>
      </w:pPr>
      <w:rPr>
        <w:rFonts w:hint="default" w:ascii="Symbol" w:hAnsi="Symbol" w:eastAsia="Symbol" w:cs="Symbol"/>
        <w:w w:val="99"/>
        <w:sz w:val="21"/>
        <w:szCs w:val="21"/>
      </w:rPr>
    </w:lvl>
    <w:lvl w:ilvl="1" w:tentative="0">
      <w:start w:val="0"/>
      <w:numFmt w:val="bullet"/>
      <w:lvlText w:val="•"/>
      <w:lvlJc w:val="left"/>
      <w:pPr>
        <w:ind w:left="1133" w:hanging="420"/>
      </w:pPr>
      <w:rPr>
        <w:rFonts w:hint="default"/>
      </w:rPr>
    </w:lvl>
    <w:lvl w:ilvl="2" w:tentative="0">
      <w:start w:val="0"/>
      <w:numFmt w:val="bullet"/>
      <w:lvlText w:val="•"/>
      <w:lvlJc w:val="left"/>
      <w:pPr>
        <w:ind w:left="1746" w:hanging="420"/>
      </w:pPr>
      <w:rPr>
        <w:rFonts w:hint="default"/>
      </w:rPr>
    </w:lvl>
    <w:lvl w:ilvl="3" w:tentative="0">
      <w:start w:val="0"/>
      <w:numFmt w:val="bullet"/>
      <w:lvlText w:val="•"/>
      <w:lvlJc w:val="left"/>
      <w:pPr>
        <w:ind w:left="2359" w:hanging="420"/>
      </w:pPr>
      <w:rPr>
        <w:rFonts w:hint="default"/>
      </w:rPr>
    </w:lvl>
    <w:lvl w:ilvl="4" w:tentative="0">
      <w:start w:val="0"/>
      <w:numFmt w:val="bullet"/>
      <w:lvlText w:val="•"/>
      <w:lvlJc w:val="left"/>
      <w:pPr>
        <w:ind w:left="2972" w:hanging="420"/>
      </w:pPr>
      <w:rPr>
        <w:rFonts w:hint="default"/>
      </w:rPr>
    </w:lvl>
    <w:lvl w:ilvl="5" w:tentative="0">
      <w:start w:val="0"/>
      <w:numFmt w:val="bullet"/>
      <w:lvlText w:val="•"/>
      <w:lvlJc w:val="left"/>
      <w:pPr>
        <w:ind w:left="3586" w:hanging="420"/>
      </w:pPr>
      <w:rPr>
        <w:rFonts w:hint="default"/>
      </w:rPr>
    </w:lvl>
    <w:lvl w:ilvl="6" w:tentative="0">
      <w:start w:val="0"/>
      <w:numFmt w:val="bullet"/>
      <w:lvlText w:val="•"/>
      <w:lvlJc w:val="left"/>
      <w:pPr>
        <w:ind w:left="4199" w:hanging="420"/>
      </w:pPr>
      <w:rPr>
        <w:rFonts w:hint="default"/>
      </w:rPr>
    </w:lvl>
    <w:lvl w:ilvl="7" w:tentative="0">
      <w:start w:val="0"/>
      <w:numFmt w:val="bullet"/>
      <w:lvlText w:val="•"/>
      <w:lvlJc w:val="left"/>
      <w:pPr>
        <w:ind w:left="4812" w:hanging="420"/>
      </w:pPr>
      <w:rPr>
        <w:rFonts w:hint="default"/>
      </w:rPr>
    </w:lvl>
    <w:lvl w:ilvl="8" w:tentative="0">
      <w:start w:val="0"/>
      <w:numFmt w:val="bullet"/>
      <w:lvlText w:val="•"/>
      <w:lvlJc w:val="left"/>
      <w:pPr>
        <w:ind w:left="5425" w:hanging="420"/>
      </w:pPr>
      <w:rPr>
        <w:rFonts w:hint="default"/>
      </w:rPr>
    </w:lvl>
  </w:abstractNum>
  <w:abstractNum w:abstractNumId="34">
    <w:nsid w:val="5F755FCD"/>
    <w:multiLevelType w:val="multilevel"/>
    <w:tmpl w:val="5F755FCD"/>
    <w:lvl w:ilvl="0" w:tentative="0">
      <w:start w:val="0"/>
      <w:numFmt w:val="bullet"/>
      <w:lvlText w:val=""/>
      <w:lvlJc w:val="left"/>
      <w:pPr>
        <w:ind w:left="526" w:hanging="420"/>
      </w:pPr>
      <w:rPr>
        <w:rFonts w:hint="default" w:ascii="Symbol" w:hAnsi="Symbol" w:eastAsia="Symbol" w:cs="Symbol"/>
        <w:w w:val="99"/>
        <w:sz w:val="21"/>
        <w:szCs w:val="21"/>
      </w:rPr>
    </w:lvl>
    <w:lvl w:ilvl="1" w:tentative="0">
      <w:start w:val="0"/>
      <w:numFmt w:val="bullet"/>
      <w:lvlText w:val="•"/>
      <w:lvlJc w:val="left"/>
      <w:pPr>
        <w:ind w:left="1133" w:hanging="420"/>
      </w:pPr>
      <w:rPr>
        <w:rFonts w:hint="default"/>
      </w:rPr>
    </w:lvl>
    <w:lvl w:ilvl="2" w:tentative="0">
      <w:start w:val="0"/>
      <w:numFmt w:val="bullet"/>
      <w:lvlText w:val="•"/>
      <w:lvlJc w:val="left"/>
      <w:pPr>
        <w:ind w:left="1746" w:hanging="420"/>
      </w:pPr>
      <w:rPr>
        <w:rFonts w:hint="default"/>
      </w:rPr>
    </w:lvl>
    <w:lvl w:ilvl="3" w:tentative="0">
      <w:start w:val="0"/>
      <w:numFmt w:val="bullet"/>
      <w:lvlText w:val="•"/>
      <w:lvlJc w:val="left"/>
      <w:pPr>
        <w:ind w:left="2359" w:hanging="420"/>
      </w:pPr>
      <w:rPr>
        <w:rFonts w:hint="default"/>
      </w:rPr>
    </w:lvl>
    <w:lvl w:ilvl="4" w:tentative="0">
      <w:start w:val="0"/>
      <w:numFmt w:val="bullet"/>
      <w:lvlText w:val="•"/>
      <w:lvlJc w:val="left"/>
      <w:pPr>
        <w:ind w:left="2972" w:hanging="420"/>
      </w:pPr>
      <w:rPr>
        <w:rFonts w:hint="default"/>
      </w:rPr>
    </w:lvl>
    <w:lvl w:ilvl="5" w:tentative="0">
      <w:start w:val="0"/>
      <w:numFmt w:val="bullet"/>
      <w:lvlText w:val="•"/>
      <w:lvlJc w:val="left"/>
      <w:pPr>
        <w:ind w:left="3586" w:hanging="420"/>
      </w:pPr>
      <w:rPr>
        <w:rFonts w:hint="default"/>
      </w:rPr>
    </w:lvl>
    <w:lvl w:ilvl="6" w:tentative="0">
      <w:start w:val="0"/>
      <w:numFmt w:val="bullet"/>
      <w:lvlText w:val="•"/>
      <w:lvlJc w:val="left"/>
      <w:pPr>
        <w:ind w:left="4199" w:hanging="420"/>
      </w:pPr>
      <w:rPr>
        <w:rFonts w:hint="default"/>
      </w:rPr>
    </w:lvl>
    <w:lvl w:ilvl="7" w:tentative="0">
      <w:start w:val="0"/>
      <w:numFmt w:val="bullet"/>
      <w:lvlText w:val="•"/>
      <w:lvlJc w:val="left"/>
      <w:pPr>
        <w:ind w:left="4812" w:hanging="420"/>
      </w:pPr>
      <w:rPr>
        <w:rFonts w:hint="default"/>
      </w:rPr>
    </w:lvl>
    <w:lvl w:ilvl="8" w:tentative="0">
      <w:start w:val="0"/>
      <w:numFmt w:val="bullet"/>
      <w:lvlText w:val="•"/>
      <w:lvlJc w:val="left"/>
      <w:pPr>
        <w:ind w:left="5425" w:hanging="420"/>
      </w:pPr>
      <w:rPr>
        <w:rFonts w:hint="default"/>
      </w:rPr>
    </w:lvl>
  </w:abstractNum>
  <w:abstractNum w:abstractNumId="35">
    <w:nsid w:val="5FA03DDB"/>
    <w:multiLevelType w:val="multilevel"/>
    <w:tmpl w:val="5FA03DDB"/>
    <w:lvl w:ilvl="0" w:tentative="0">
      <w:start w:val="1"/>
      <w:numFmt w:val="japaneseCounting"/>
      <w:lvlText w:val="第%1章、"/>
      <w:lvlJc w:val="left"/>
      <w:pPr>
        <w:ind w:left="1488" w:hanging="1488"/>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601A0082"/>
    <w:multiLevelType w:val="multilevel"/>
    <w:tmpl w:val="601A0082"/>
    <w:lvl w:ilvl="0" w:tentative="0">
      <w:start w:val="0"/>
      <w:numFmt w:val="bullet"/>
      <w:lvlText w:val=""/>
      <w:lvlJc w:val="left"/>
      <w:pPr>
        <w:ind w:left="526" w:hanging="420"/>
      </w:pPr>
      <w:rPr>
        <w:rFonts w:hint="default" w:ascii="Symbol" w:hAnsi="Symbol" w:eastAsia="Symbol" w:cs="Symbol"/>
        <w:w w:val="99"/>
        <w:sz w:val="21"/>
        <w:szCs w:val="21"/>
      </w:rPr>
    </w:lvl>
    <w:lvl w:ilvl="1" w:tentative="0">
      <w:start w:val="0"/>
      <w:numFmt w:val="bullet"/>
      <w:lvlText w:val="•"/>
      <w:lvlJc w:val="left"/>
      <w:pPr>
        <w:ind w:left="1133" w:hanging="420"/>
      </w:pPr>
      <w:rPr>
        <w:rFonts w:hint="default"/>
      </w:rPr>
    </w:lvl>
    <w:lvl w:ilvl="2" w:tentative="0">
      <w:start w:val="0"/>
      <w:numFmt w:val="bullet"/>
      <w:lvlText w:val="•"/>
      <w:lvlJc w:val="left"/>
      <w:pPr>
        <w:ind w:left="1746" w:hanging="420"/>
      </w:pPr>
      <w:rPr>
        <w:rFonts w:hint="default"/>
      </w:rPr>
    </w:lvl>
    <w:lvl w:ilvl="3" w:tentative="0">
      <w:start w:val="0"/>
      <w:numFmt w:val="bullet"/>
      <w:lvlText w:val="•"/>
      <w:lvlJc w:val="left"/>
      <w:pPr>
        <w:ind w:left="2359" w:hanging="420"/>
      </w:pPr>
      <w:rPr>
        <w:rFonts w:hint="default"/>
      </w:rPr>
    </w:lvl>
    <w:lvl w:ilvl="4" w:tentative="0">
      <w:start w:val="0"/>
      <w:numFmt w:val="bullet"/>
      <w:lvlText w:val="•"/>
      <w:lvlJc w:val="left"/>
      <w:pPr>
        <w:ind w:left="2972" w:hanging="420"/>
      </w:pPr>
      <w:rPr>
        <w:rFonts w:hint="default"/>
      </w:rPr>
    </w:lvl>
    <w:lvl w:ilvl="5" w:tentative="0">
      <w:start w:val="0"/>
      <w:numFmt w:val="bullet"/>
      <w:lvlText w:val="•"/>
      <w:lvlJc w:val="left"/>
      <w:pPr>
        <w:ind w:left="3586" w:hanging="420"/>
      </w:pPr>
      <w:rPr>
        <w:rFonts w:hint="default"/>
      </w:rPr>
    </w:lvl>
    <w:lvl w:ilvl="6" w:tentative="0">
      <w:start w:val="0"/>
      <w:numFmt w:val="bullet"/>
      <w:lvlText w:val="•"/>
      <w:lvlJc w:val="left"/>
      <w:pPr>
        <w:ind w:left="4199" w:hanging="420"/>
      </w:pPr>
      <w:rPr>
        <w:rFonts w:hint="default"/>
      </w:rPr>
    </w:lvl>
    <w:lvl w:ilvl="7" w:tentative="0">
      <w:start w:val="0"/>
      <w:numFmt w:val="bullet"/>
      <w:lvlText w:val="•"/>
      <w:lvlJc w:val="left"/>
      <w:pPr>
        <w:ind w:left="4812" w:hanging="420"/>
      </w:pPr>
      <w:rPr>
        <w:rFonts w:hint="default"/>
      </w:rPr>
    </w:lvl>
    <w:lvl w:ilvl="8" w:tentative="0">
      <w:start w:val="0"/>
      <w:numFmt w:val="bullet"/>
      <w:lvlText w:val="•"/>
      <w:lvlJc w:val="left"/>
      <w:pPr>
        <w:ind w:left="5425" w:hanging="420"/>
      </w:pPr>
      <w:rPr>
        <w:rFonts w:hint="default"/>
      </w:rPr>
    </w:lvl>
  </w:abstractNum>
  <w:abstractNum w:abstractNumId="37">
    <w:nsid w:val="61CA5261"/>
    <w:multiLevelType w:val="multilevel"/>
    <w:tmpl w:val="61CA5261"/>
    <w:lvl w:ilvl="0" w:tentative="0">
      <w:start w:val="0"/>
      <w:numFmt w:val="bullet"/>
      <w:lvlText w:val=""/>
      <w:lvlJc w:val="left"/>
      <w:pPr>
        <w:ind w:left="107" w:hanging="420"/>
      </w:pPr>
      <w:rPr>
        <w:rFonts w:hint="default" w:ascii="Symbol" w:hAnsi="Symbol" w:eastAsia="Symbol" w:cs="Symbol"/>
        <w:w w:val="99"/>
        <w:sz w:val="21"/>
        <w:szCs w:val="21"/>
      </w:rPr>
    </w:lvl>
    <w:lvl w:ilvl="1" w:tentative="0">
      <w:start w:val="0"/>
      <w:numFmt w:val="bullet"/>
      <w:lvlText w:val="•"/>
      <w:lvlJc w:val="left"/>
      <w:pPr>
        <w:ind w:left="641" w:hanging="420"/>
      </w:pPr>
      <w:rPr>
        <w:rFonts w:hint="default"/>
      </w:rPr>
    </w:lvl>
    <w:lvl w:ilvl="2" w:tentative="0">
      <w:start w:val="0"/>
      <w:numFmt w:val="bullet"/>
      <w:lvlText w:val="•"/>
      <w:lvlJc w:val="left"/>
      <w:pPr>
        <w:ind w:left="1183" w:hanging="420"/>
      </w:pPr>
      <w:rPr>
        <w:rFonts w:hint="default"/>
      </w:rPr>
    </w:lvl>
    <w:lvl w:ilvl="3" w:tentative="0">
      <w:start w:val="0"/>
      <w:numFmt w:val="bullet"/>
      <w:lvlText w:val="•"/>
      <w:lvlJc w:val="left"/>
      <w:pPr>
        <w:ind w:left="1725" w:hanging="420"/>
      </w:pPr>
      <w:rPr>
        <w:rFonts w:hint="default"/>
      </w:rPr>
    </w:lvl>
    <w:lvl w:ilvl="4" w:tentative="0">
      <w:start w:val="0"/>
      <w:numFmt w:val="bullet"/>
      <w:lvlText w:val="•"/>
      <w:lvlJc w:val="left"/>
      <w:pPr>
        <w:ind w:left="2267" w:hanging="420"/>
      </w:pPr>
      <w:rPr>
        <w:rFonts w:hint="default"/>
      </w:rPr>
    </w:lvl>
    <w:lvl w:ilvl="5" w:tentative="0">
      <w:start w:val="0"/>
      <w:numFmt w:val="bullet"/>
      <w:lvlText w:val="•"/>
      <w:lvlJc w:val="left"/>
      <w:pPr>
        <w:ind w:left="2809" w:hanging="420"/>
      </w:pPr>
      <w:rPr>
        <w:rFonts w:hint="default"/>
      </w:rPr>
    </w:lvl>
    <w:lvl w:ilvl="6" w:tentative="0">
      <w:start w:val="0"/>
      <w:numFmt w:val="bullet"/>
      <w:lvlText w:val="•"/>
      <w:lvlJc w:val="left"/>
      <w:pPr>
        <w:ind w:left="3350" w:hanging="420"/>
      </w:pPr>
      <w:rPr>
        <w:rFonts w:hint="default"/>
      </w:rPr>
    </w:lvl>
    <w:lvl w:ilvl="7" w:tentative="0">
      <w:start w:val="0"/>
      <w:numFmt w:val="bullet"/>
      <w:lvlText w:val="•"/>
      <w:lvlJc w:val="left"/>
      <w:pPr>
        <w:ind w:left="3892" w:hanging="420"/>
      </w:pPr>
      <w:rPr>
        <w:rFonts w:hint="default"/>
      </w:rPr>
    </w:lvl>
    <w:lvl w:ilvl="8" w:tentative="0">
      <w:start w:val="0"/>
      <w:numFmt w:val="bullet"/>
      <w:lvlText w:val="•"/>
      <w:lvlJc w:val="left"/>
      <w:pPr>
        <w:ind w:left="4434" w:hanging="420"/>
      </w:pPr>
      <w:rPr>
        <w:rFonts w:hint="default"/>
      </w:rPr>
    </w:lvl>
  </w:abstractNum>
  <w:abstractNum w:abstractNumId="38">
    <w:nsid w:val="625056AE"/>
    <w:multiLevelType w:val="multilevel"/>
    <w:tmpl w:val="625056AE"/>
    <w:lvl w:ilvl="0" w:tentative="0">
      <w:start w:val="0"/>
      <w:numFmt w:val="bullet"/>
      <w:lvlText w:val=""/>
      <w:lvlJc w:val="left"/>
      <w:pPr>
        <w:ind w:left="527" w:hanging="420"/>
      </w:pPr>
      <w:rPr>
        <w:rFonts w:hint="default" w:ascii="Symbol" w:hAnsi="Symbol" w:eastAsia="Symbol" w:cs="Symbol"/>
        <w:w w:val="99"/>
        <w:sz w:val="21"/>
        <w:szCs w:val="21"/>
      </w:rPr>
    </w:lvl>
    <w:lvl w:ilvl="1" w:tentative="0">
      <w:start w:val="0"/>
      <w:numFmt w:val="bullet"/>
      <w:lvlText w:val="•"/>
      <w:lvlJc w:val="left"/>
      <w:pPr>
        <w:ind w:left="1019" w:hanging="420"/>
      </w:pPr>
      <w:rPr>
        <w:rFonts w:hint="default"/>
      </w:rPr>
    </w:lvl>
    <w:lvl w:ilvl="2" w:tentative="0">
      <w:start w:val="0"/>
      <w:numFmt w:val="bullet"/>
      <w:lvlText w:val="•"/>
      <w:lvlJc w:val="left"/>
      <w:pPr>
        <w:ind w:left="1519" w:hanging="420"/>
      </w:pPr>
      <w:rPr>
        <w:rFonts w:hint="default"/>
      </w:rPr>
    </w:lvl>
    <w:lvl w:ilvl="3" w:tentative="0">
      <w:start w:val="0"/>
      <w:numFmt w:val="bullet"/>
      <w:lvlText w:val="•"/>
      <w:lvlJc w:val="left"/>
      <w:pPr>
        <w:ind w:left="2019" w:hanging="420"/>
      </w:pPr>
      <w:rPr>
        <w:rFonts w:hint="default"/>
      </w:rPr>
    </w:lvl>
    <w:lvl w:ilvl="4" w:tentative="0">
      <w:start w:val="0"/>
      <w:numFmt w:val="bullet"/>
      <w:lvlText w:val="•"/>
      <w:lvlJc w:val="left"/>
      <w:pPr>
        <w:ind w:left="2519" w:hanging="420"/>
      </w:pPr>
      <w:rPr>
        <w:rFonts w:hint="default"/>
      </w:rPr>
    </w:lvl>
    <w:lvl w:ilvl="5" w:tentative="0">
      <w:start w:val="0"/>
      <w:numFmt w:val="bullet"/>
      <w:lvlText w:val="•"/>
      <w:lvlJc w:val="left"/>
      <w:pPr>
        <w:ind w:left="3019" w:hanging="420"/>
      </w:pPr>
      <w:rPr>
        <w:rFonts w:hint="default"/>
      </w:rPr>
    </w:lvl>
    <w:lvl w:ilvl="6" w:tentative="0">
      <w:start w:val="0"/>
      <w:numFmt w:val="bullet"/>
      <w:lvlText w:val="•"/>
      <w:lvlJc w:val="left"/>
      <w:pPr>
        <w:ind w:left="3518" w:hanging="420"/>
      </w:pPr>
      <w:rPr>
        <w:rFonts w:hint="default"/>
      </w:rPr>
    </w:lvl>
    <w:lvl w:ilvl="7" w:tentative="0">
      <w:start w:val="0"/>
      <w:numFmt w:val="bullet"/>
      <w:lvlText w:val="•"/>
      <w:lvlJc w:val="left"/>
      <w:pPr>
        <w:ind w:left="4018" w:hanging="420"/>
      </w:pPr>
      <w:rPr>
        <w:rFonts w:hint="default"/>
      </w:rPr>
    </w:lvl>
    <w:lvl w:ilvl="8" w:tentative="0">
      <w:start w:val="0"/>
      <w:numFmt w:val="bullet"/>
      <w:lvlText w:val="•"/>
      <w:lvlJc w:val="left"/>
      <w:pPr>
        <w:ind w:left="4518" w:hanging="420"/>
      </w:pPr>
      <w:rPr>
        <w:rFonts w:hint="default"/>
      </w:rPr>
    </w:lvl>
  </w:abstractNum>
  <w:abstractNum w:abstractNumId="39">
    <w:nsid w:val="633A0362"/>
    <w:multiLevelType w:val="multilevel"/>
    <w:tmpl w:val="633A0362"/>
    <w:lvl w:ilvl="0" w:tentative="0">
      <w:start w:val="0"/>
      <w:numFmt w:val="bullet"/>
      <w:lvlText w:val=""/>
      <w:lvlJc w:val="left"/>
      <w:pPr>
        <w:ind w:left="527" w:hanging="420"/>
      </w:pPr>
      <w:rPr>
        <w:rFonts w:hint="default" w:ascii="Symbol" w:hAnsi="Symbol" w:eastAsia="Symbol" w:cs="Symbol"/>
        <w:w w:val="99"/>
        <w:sz w:val="21"/>
        <w:szCs w:val="21"/>
      </w:rPr>
    </w:lvl>
    <w:lvl w:ilvl="1" w:tentative="0">
      <w:start w:val="0"/>
      <w:numFmt w:val="bullet"/>
      <w:lvlText w:val="•"/>
      <w:lvlJc w:val="left"/>
      <w:pPr>
        <w:ind w:left="1019" w:hanging="420"/>
      </w:pPr>
      <w:rPr>
        <w:rFonts w:hint="default"/>
      </w:rPr>
    </w:lvl>
    <w:lvl w:ilvl="2" w:tentative="0">
      <w:start w:val="0"/>
      <w:numFmt w:val="bullet"/>
      <w:lvlText w:val="•"/>
      <w:lvlJc w:val="left"/>
      <w:pPr>
        <w:ind w:left="1519" w:hanging="420"/>
      </w:pPr>
      <w:rPr>
        <w:rFonts w:hint="default"/>
      </w:rPr>
    </w:lvl>
    <w:lvl w:ilvl="3" w:tentative="0">
      <w:start w:val="0"/>
      <w:numFmt w:val="bullet"/>
      <w:lvlText w:val="•"/>
      <w:lvlJc w:val="left"/>
      <w:pPr>
        <w:ind w:left="2019" w:hanging="420"/>
      </w:pPr>
      <w:rPr>
        <w:rFonts w:hint="default"/>
      </w:rPr>
    </w:lvl>
    <w:lvl w:ilvl="4" w:tentative="0">
      <w:start w:val="0"/>
      <w:numFmt w:val="bullet"/>
      <w:lvlText w:val="•"/>
      <w:lvlJc w:val="left"/>
      <w:pPr>
        <w:ind w:left="2519" w:hanging="420"/>
      </w:pPr>
      <w:rPr>
        <w:rFonts w:hint="default"/>
      </w:rPr>
    </w:lvl>
    <w:lvl w:ilvl="5" w:tentative="0">
      <w:start w:val="0"/>
      <w:numFmt w:val="bullet"/>
      <w:lvlText w:val="•"/>
      <w:lvlJc w:val="left"/>
      <w:pPr>
        <w:ind w:left="3019" w:hanging="420"/>
      </w:pPr>
      <w:rPr>
        <w:rFonts w:hint="default"/>
      </w:rPr>
    </w:lvl>
    <w:lvl w:ilvl="6" w:tentative="0">
      <w:start w:val="0"/>
      <w:numFmt w:val="bullet"/>
      <w:lvlText w:val="•"/>
      <w:lvlJc w:val="left"/>
      <w:pPr>
        <w:ind w:left="3518" w:hanging="420"/>
      </w:pPr>
      <w:rPr>
        <w:rFonts w:hint="default"/>
      </w:rPr>
    </w:lvl>
    <w:lvl w:ilvl="7" w:tentative="0">
      <w:start w:val="0"/>
      <w:numFmt w:val="bullet"/>
      <w:lvlText w:val="•"/>
      <w:lvlJc w:val="left"/>
      <w:pPr>
        <w:ind w:left="4018" w:hanging="420"/>
      </w:pPr>
      <w:rPr>
        <w:rFonts w:hint="default"/>
      </w:rPr>
    </w:lvl>
    <w:lvl w:ilvl="8" w:tentative="0">
      <w:start w:val="0"/>
      <w:numFmt w:val="bullet"/>
      <w:lvlText w:val="•"/>
      <w:lvlJc w:val="left"/>
      <w:pPr>
        <w:ind w:left="4518" w:hanging="420"/>
      </w:pPr>
      <w:rPr>
        <w:rFonts w:hint="default"/>
      </w:rPr>
    </w:lvl>
  </w:abstractNum>
  <w:abstractNum w:abstractNumId="40">
    <w:nsid w:val="65621BC4"/>
    <w:multiLevelType w:val="multilevel"/>
    <w:tmpl w:val="65621BC4"/>
    <w:lvl w:ilvl="0" w:tentative="0">
      <w:start w:val="0"/>
      <w:numFmt w:val="bullet"/>
      <w:lvlText w:val=""/>
      <w:lvlJc w:val="left"/>
      <w:pPr>
        <w:ind w:left="526" w:hanging="420"/>
      </w:pPr>
      <w:rPr>
        <w:rFonts w:hint="default" w:ascii="Symbol" w:hAnsi="Symbol" w:eastAsia="Symbol" w:cs="Symbol"/>
        <w:w w:val="99"/>
        <w:sz w:val="21"/>
        <w:szCs w:val="21"/>
      </w:rPr>
    </w:lvl>
    <w:lvl w:ilvl="1" w:tentative="0">
      <w:start w:val="0"/>
      <w:numFmt w:val="bullet"/>
      <w:lvlText w:val="•"/>
      <w:lvlJc w:val="left"/>
      <w:pPr>
        <w:ind w:left="1133" w:hanging="420"/>
      </w:pPr>
      <w:rPr>
        <w:rFonts w:hint="default"/>
      </w:rPr>
    </w:lvl>
    <w:lvl w:ilvl="2" w:tentative="0">
      <w:start w:val="0"/>
      <w:numFmt w:val="bullet"/>
      <w:lvlText w:val="•"/>
      <w:lvlJc w:val="left"/>
      <w:pPr>
        <w:ind w:left="1746" w:hanging="420"/>
      </w:pPr>
      <w:rPr>
        <w:rFonts w:hint="default"/>
      </w:rPr>
    </w:lvl>
    <w:lvl w:ilvl="3" w:tentative="0">
      <w:start w:val="0"/>
      <w:numFmt w:val="bullet"/>
      <w:lvlText w:val="•"/>
      <w:lvlJc w:val="left"/>
      <w:pPr>
        <w:ind w:left="2359" w:hanging="420"/>
      </w:pPr>
      <w:rPr>
        <w:rFonts w:hint="default"/>
      </w:rPr>
    </w:lvl>
    <w:lvl w:ilvl="4" w:tentative="0">
      <w:start w:val="0"/>
      <w:numFmt w:val="bullet"/>
      <w:lvlText w:val="•"/>
      <w:lvlJc w:val="left"/>
      <w:pPr>
        <w:ind w:left="2972" w:hanging="420"/>
      </w:pPr>
      <w:rPr>
        <w:rFonts w:hint="default"/>
      </w:rPr>
    </w:lvl>
    <w:lvl w:ilvl="5" w:tentative="0">
      <w:start w:val="0"/>
      <w:numFmt w:val="bullet"/>
      <w:lvlText w:val="•"/>
      <w:lvlJc w:val="left"/>
      <w:pPr>
        <w:ind w:left="3586" w:hanging="420"/>
      </w:pPr>
      <w:rPr>
        <w:rFonts w:hint="default"/>
      </w:rPr>
    </w:lvl>
    <w:lvl w:ilvl="6" w:tentative="0">
      <w:start w:val="0"/>
      <w:numFmt w:val="bullet"/>
      <w:lvlText w:val="•"/>
      <w:lvlJc w:val="left"/>
      <w:pPr>
        <w:ind w:left="4199" w:hanging="420"/>
      </w:pPr>
      <w:rPr>
        <w:rFonts w:hint="default"/>
      </w:rPr>
    </w:lvl>
    <w:lvl w:ilvl="7" w:tentative="0">
      <w:start w:val="0"/>
      <w:numFmt w:val="bullet"/>
      <w:lvlText w:val="•"/>
      <w:lvlJc w:val="left"/>
      <w:pPr>
        <w:ind w:left="4812" w:hanging="420"/>
      </w:pPr>
      <w:rPr>
        <w:rFonts w:hint="default"/>
      </w:rPr>
    </w:lvl>
    <w:lvl w:ilvl="8" w:tentative="0">
      <w:start w:val="0"/>
      <w:numFmt w:val="bullet"/>
      <w:lvlText w:val="•"/>
      <w:lvlJc w:val="left"/>
      <w:pPr>
        <w:ind w:left="5425" w:hanging="420"/>
      </w:pPr>
      <w:rPr>
        <w:rFonts w:hint="default"/>
      </w:rPr>
    </w:lvl>
  </w:abstractNum>
  <w:abstractNum w:abstractNumId="41">
    <w:nsid w:val="6B5D18A5"/>
    <w:multiLevelType w:val="multilevel"/>
    <w:tmpl w:val="6B5D18A5"/>
    <w:lvl w:ilvl="0" w:tentative="0">
      <w:start w:val="0"/>
      <w:numFmt w:val="bullet"/>
      <w:lvlText w:val=""/>
      <w:lvlJc w:val="left"/>
      <w:pPr>
        <w:ind w:left="527" w:hanging="420"/>
      </w:pPr>
      <w:rPr>
        <w:rFonts w:hint="default" w:ascii="Symbol" w:hAnsi="Symbol" w:eastAsia="Symbol" w:cs="Symbol"/>
        <w:w w:val="99"/>
        <w:sz w:val="21"/>
        <w:szCs w:val="21"/>
      </w:rPr>
    </w:lvl>
    <w:lvl w:ilvl="1" w:tentative="0">
      <w:start w:val="0"/>
      <w:numFmt w:val="bullet"/>
      <w:lvlText w:val="•"/>
      <w:lvlJc w:val="left"/>
      <w:pPr>
        <w:ind w:left="1019" w:hanging="420"/>
      </w:pPr>
      <w:rPr>
        <w:rFonts w:hint="default"/>
      </w:rPr>
    </w:lvl>
    <w:lvl w:ilvl="2" w:tentative="0">
      <w:start w:val="0"/>
      <w:numFmt w:val="bullet"/>
      <w:lvlText w:val="•"/>
      <w:lvlJc w:val="left"/>
      <w:pPr>
        <w:ind w:left="1519" w:hanging="420"/>
      </w:pPr>
      <w:rPr>
        <w:rFonts w:hint="default"/>
      </w:rPr>
    </w:lvl>
    <w:lvl w:ilvl="3" w:tentative="0">
      <w:start w:val="0"/>
      <w:numFmt w:val="bullet"/>
      <w:lvlText w:val="•"/>
      <w:lvlJc w:val="left"/>
      <w:pPr>
        <w:ind w:left="2019" w:hanging="420"/>
      </w:pPr>
      <w:rPr>
        <w:rFonts w:hint="default"/>
      </w:rPr>
    </w:lvl>
    <w:lvl w:ilvl="4" w:tentative="0">
      <w:start w:val="0"/>
      <w:numFmt w:val="bullet"/>
      <w:lvlText w:val="•"/>
      <w:lvlJc w:val="left"/>
      <w:pPr>
        <w:ind w:left="2519" w:hanging="420"/>
      </w:pPr>
      <w:rPr>
        <w:rFonts w:hint="default"/>
      </w:rPr>
    </w:lvl>
    <w:lvl w:ilvl="5" w:tentative="0">
      <w:start w:val="0"/>
      <w:numFmt w:val="bullet"/>
      <w:lvlText w:val="•"/>
      <w:lvlJc w:val="left"/>
      <w:pPr>
        <w:ind w:left="3019" w:hanging="420"/>
      </w:pPr>
      <w:rPr>
        <w:rFonts w:hint="default"/>
      </w:rPr>
    </w:lvl>
    <w:lvl w:ilvl="6" w:tentative="0">
      <w:start w:val="0"/>
      <w:numFmt w:val="bullet"/>
      <w:lvlText w:val="•"/>
      <w:lvlJc w:val="left"/>
      <w:pPr>
        <w:ind w:left="3518" w:hanging="420"/>
      </w:pPr>
      <w:rPr>
        <w:rFonts w:hint="default"/>
      </w:rPr>
    </w:lvl>
    <w:lvl w:ilvl="7" w:tentative="0">
      <w:start w:val="0"/>
      <w:numFmt w:val="bullet"/>
      <w:lvlText w:val="•"/>
      <w:lvlJc w:val="left"/>
      <w:pPr>
        <w:ind w:left="4018" w:hanging="420"/>
      </w:pPr>
      <w:rPr>
        <w:rFonts w:hint="default"/>
      </w:rPr>
    </w:lvl>
    <w:lvl w:ilvl="8" w:tentative="0">
      <w:start w:val="0"/>
      <w:numFmt w:val="bullet"/>
      <w:lvlText w:val="•"/>
      <w:lvlJc w:val="left"/>
      <w:pPr>
        <w:ind w:left="4518" w:hanging="420"/>
      </w:pPr>
      <w:rPr>
        <w:rFonts w:hint="default"/>
      </w:rPr>
    </w:lvl>
  </w:abstractNum>
  <w:abstractNum w:abstractNumId="42">
    <w:nsid w:val="737D47A6"/>
    <w:multiLevelType w:val="multilevel"/>
    <w:tmpl w:val="737D47A6"/>
    <w:lvl w:ilvl="0" w:tentative="0">
      <w:start w:val="0"/>
      <w:numFmt w:val="bullet"/>
      <w:lvlText w:val=""/>
      <w:lvlJc w:val="left"/>
      <w:pPr>
        <w:ind w:left="107" w:hanging="420"/>
      </w:pPr>
      <w:rPr>
        <w:rFonts w:hint="default" w:ascii="Symbol" w:hAnsi="Symbol" w:eastAsia="Symbol" w:cs="Symbol"/>
        <w:w w:val="99"/>
        <w:sz w:val="21"/>
        <w:szCs w:val="21"/>
      </w:rPr>
    </w:lvl>
    <w:lvl w:ilvl="1" w:tentative="0">
      <w:start w:val="0"/>
      <w:numFmt w:val="bullet"/>
      <w:lvlText w:val="•"/>
      <w:lvlJc w:val="left"/>
      <w:pPr>
        <w:ind w:left="641" w:hanging="420"/>
      </w:pPr>
      <w:rPr>
        <w:rFonts w:hint="default"/>
      </w:rPr>
    </w:lvl>
    <w:lvl w:ilvl="2" w:tentative="0">
      <w:start w:val="0"/>
      <w:numFmt w:val="bullet"/>
      <w:lvlText w:val="•"/>
      <w:lvlJc w:val="left"/>
      <w:pPr>
        <w:ind w:left="1183" w:hanging="420"/>
      </w:pPr>
      <w:rPr>
        <w:rFonts w:hint="default"/>
      </w:rPr>
    </w:lvl>
    <w:lvl w:ilvl="3" w:tentative="0">
      <w:start w:val="0"/>
      <w:numFmt w:val="bullet"/>
      <w:lvlText w:val="•"/>
      <w:lvlJc w:val="left"/>
      <w:pPr>
        <w:ind w:left="1725" w:hanging="420"/>
      </w:pPr>
      <w:rPr>
        <w:rFonts w:hint="default"/>
      </w:rPr>
    </w:lvl>
    <w:lvl w:ilvl="4" w:tentative="0">
      <w:start w:val="0"/>
      <w:numFmt w:val="bullet"/>
      <w:lvlText w:val="•"/>
      <w:lvlJc w:val="left"/>
      <w:pPr>
        <w:ind w:left="2267" w:hanging="420"/>
      </w:pPr>
      <w:rPr>
        <w:rFonts w:hint="default"/>
      </w:rPr>
    </w:lvl>
    <w:lvl w:ilvl="5" w:tentative="0">
      <w:start w:val="0"/>
      <w:numFmt w:val="bullet"/>
      <w:lvlText w:val="•"/>
      <w:lvlJc w:val="left"/>
      <w:pPr>
        <w:ind w:left="2809" w:hanging="420"/>
      </w:pPr>
      <w:rPr>
        <w:rFonts w:hint="default"/>
      </w:rPr>
    </w:lvl>
    <w:lvl w:ilvl="6" w:tentative="0">
      <w:start w:val="0"/>
      <w:numFmt w:val="bullet"/>
      <w:lvlText w:val="•"/>
      <w:lvlJc w:val="left"/>
      <w:pPr>
        <w:ind w:left="3350" w:hanging="420"/>
      </w:pPr>
      <w:rPr>
        <w:rFonts w:hint="default"/>
      </w:rPr>
    </w:lvl>
    <w:lvl w:ilvl="7" w:tentative="0">
      <w:start w:val="0"/>
      <w:numFmt w:val="bullet"/>
      <w:lvlText w:val="•"/>
      <w:lvlJc w:val="left"/>
      <w:pPr>
        <w:ind w:left="3892" w:hanging="420"/>
      </w:pPr>
      <w:rPr>
        <w:rFonts w:hint="default"/>
      </w:rPr>
    </w:lvl>
    <w:lvl w:ilvl="8" w:tentative="0">
      <w:start w:val="0"/>
      <w:numFmt w:val="bullet"/>
      <w:lvlText w:val="•"/>
      <w:lvlJc w:val="left"/>
      <w:pPr>
        <w:ind w:left="4434" w:hanging="420"/>
      </w:pPr>
      <w:rPr>
        <w:rFonts w:hint="default"/>
      </w:rPr>
    </w:lvl>
  </w:abstractNum>
  <w:abstractNum w:abstractNumId="43">
    <w:nsid w:val="749243C3"/>
    <w:multiLevelType w:val="multilevel"/>
    <w:tmpl w:val="749243C3"/>
    <w:lvl w:ilvl="0" w:tentative="0">
      <w:start w:val="0"/>
      <w:numFmt w:val="bullet"/>
      <w:lvlText w:val=""/>
      <w:lvlJc w:val="left"/>
      <w:pPr>
        <w:ind w:left="107" w:hanging="420"/>
      </w:pPr>
      <w:rPr>
        <w:rFonts w:hint="default" w:ascii="Symbol" w:hAnsi="Symbol" w:eastAsia="Symbol" w:cs="Symbol"/>
        <w:w w:val="99"/>
        <w:sz w:val="21"/>
        <w:szCs w:val="21"/>
      </w:rPr>
    </w:lvl>
    <w:lvl w:ilvl="1" w:tentative="0">
      <w:start w:val="0"/>
      <w:numFmt w:val="bullet"/>
      <w:lvlText w:val="•"/>
      <w:lvlJc w:val="left"/>
      <w:pPr>
        <w:ind w:left="641" w:hanging="420"/>
      </w:pPr>
      <w:rPr>
        <w:rFonts w:hint="default"/>
      </w:rPr>
    </w:lvl>
    <w:lvl w:ilvl="2" w:tentative="0">
      <w:start w:val="0"/>
      <w:numFmt w:val="bullet"/>
      <w:lvlText w:val="•"/>
      <w:lvlJc w:val="left"/>
      <w:pPr>
        <w:ind w:left="1183" w:hanging="420"/>
      </w:pPr>
      <w:rPr>
        <w:rFonts w:hint="default"/>
      </w:rPr>
    </w:lvl>
    <w:lvl w:ilvl="3" w:tentative="0">
      <w:start w:val="0"/>
      <w:numFmt w:val="bullet"/>
      <w:lvlText w:val="•"/>
      <w:lvlJc w:val="left"/>
      <w:pPr>
        <w:ind w:left="1725" w:hanging="420"/>
      </w:pPr>
      <w:rPr>
        <w:rFonts w:hint="default"/>
      </w:rPr>
    </w:lvl>
    <w:lvl w:ilvl="4" w:tentative="0">
      <w:start w:val="0"/>
      <w:numFmt w:val="bullet"/>
      <w:lvlText w:val="•"/>
      <w:lvlJc w:val="left"/>
      <w:pPr>
        <w:ind w:left="2267" w:hanging="420"/>
      </w:pPr>
      <w:rPr>
        <w:rFonts w:hint="default"/>
      </w:rPr>
    </w:lvl>
    <w:lvl w:ilvl="5" w:tentative="0">
      <w:start w:val="0"/>
      <w:numFmt w:val="bullet"/>
      <w:lvlText w:val="•"/>
      <w:lvlJc w:val="left"/>
      <w:pPr>
        <w:ind w:left="2809" w:hanging="420"/>
      </w:pPr>
      <w:rPr>
        <w:rFonts w:hint="default"/>
      </w:rPr>
    </w:lvl>
    <w:lvl w:ilvl="6" w:tentative="0">
      <w:start w:val="0"/>
      <w:numFmt w:val="bullet"/>
      <w:lvlText w:val="•"/>
      <w:lvlJc w:val="left"/>
      <w:pPr>
        <w:ind w:left="3350" w:hanging="420"/>
      </w:pPr>
      <w:rPr>
        <w:rFonts w:hint="default"/>
      </w:rPr>
    </w:lvl>
    <w:lvl w:ilvl="7" w:tentative="0">
      <w:start w:val="0"/>
      <w:numFmt w:val="bullet"/>
      <w:lvlText w:val="•"/>
      <w:lvlJc w:val="left"/>
      <w:pPr>
        <w:ind w:left="3892" w:hanging="420"/>
      </w:pPr>
      <w:rPr>
        <w:rFonts w:hint="default"/>
      </w:rPr>
    </w:lvl>
    <w:lvl w:ilvl="8" w:tentative="0">
      <w:start w:val="0"/>
      <w:numFmt w:val="bullet"/>
      <w:lvlText w:val="•"/>
      <w:lvlJc w:val="left"/>
      <w:pPr>
        <w:ind w:left="4434" w:hanging="420"/>
      </w:pPr>
      <w:rPr>
        <w:rFonts w:hint="default"/>
      </w:rPr>
    </w:lvl>
  </w:abstractNum>
  <w:abstractNum w:abstractNumId="44">
    <w:nsid w:val="77206843"/>
    <w:multiLevelType w:val="multilevel"/>
    <w:tmpl w:val="77206843"/>
    <w:lvl w:ilvl="0" w:tentative="0">
      <w:start w:val="0"/>
      <w:numFmt w:val="bullet"/>
      <w:lvlText w:val=""/>
      <w:lvlJc w:val="left"/>
      <w:pPr>
        <w:ind w:left="527" w:hanging="420"/>
      </w:pPr>
      <w:rPr>
        <w:rFonts w:hint="default" w:ascii="Symbol" w:hAnsi="Symbol" w:eastAsia="Symbol" w:cs="Symbol"/>
        <w:w w:val="99"/>
        <w:sz w:val="21"/>
        <w:szCs w:val="21"/>
      </w:rPr>
    </w:lvl>
    <w:lvl w:ilvl="1" w:tentative="0">
      <w:start w:val="0"/>
      <w:numFmt w:val="bullet"/>
      <w:lvlText w:val="•"/>
      <w:lvlJc w:val="left"/>
      <w:pPr>
        <w:ind w:left="1019" w:hanging="420"/>
      </w:pPr>
      <w:rPr>
        <w:rFonts w:hint="default"/>
      </w:rPr>
    </w:lvl>
    <w:lvl w:ilvl="2" w:tentative="0">
      <w:start w:val="0"/>
      <w:numFmt w:val="bullet"/>
      <w:lvlText w:val="•"/>
      <w:lvlJc w:val="left"/>
      <w:pPr>
        <w:ind w:left="1519" w:hanging="420"/>
      </w:pPr>
      <w:rPr>
        <w:rFonts w:hint="default"/>
      </w:rPr>
    </w:lvl>
    <w:lvl w:ilvl="3" w:tentative="0">
      <w:start w:val="0"/>
      <w:numFmt w:val="bullet"/>
      <w:lvlText w:val="•"/>
      <w:lvlJc w:val="left"/>
      <w:pPr>
        <w:ind w:left="2019" w:hanging="420"/>
      </w:pPr>
      <w:rPr>
        <w:rFonts w:hint="default"/>
      </w:rPr>
    </w:lvl>
    <w:lvl w:ilvl="4" w:tentative="0">
      <w:start w:val="0"/>
      <w:numFmt w:val="bullet"/>
      <w:lvlText w:val="•"/>
      <w:lvlJc w:val="left"/>
      <w:pPr>
        <w:ind w:left="2519" w:hanging="420"/>
      </w:pPr>
      <w:rPr>
        <w:rFonts w:hint="default"/>
      </w:rPr>
    </w:lvl>
    <w:lvl w:ilvl="5" w:tentative="0">
      <w:start w:val="0"/>
      <w:numFmt w:val="bullet"/>
      <w:lvlText w:val="•"/>
      <w:lvlJc w:val="left"/>
      <w:pPr>
        <w:ind w:left="3019" w:hanging="420"/>
      </w:pPr>
      <w:rPr>
        <w:rFonts w:hint="default"/>
      </w:rPr>
    </w:lvl>
    <w:lvl w:ilvl="6" w:tentative="0">
      <w:start w:val="0"/>
      <w:numFmt w:val="bullet"/>
      <w:lvlText w:val="•"/>
      <w:lvlJc w:val="left"/>
      <w:pPr>
        <w:ind w:left="3518" w:hanging="420"/>
      </w:pPr>
      <w:rPr>
        <w:rFonts w:hint="default"/>
      </w:rPr>
    </w:lvl>
    <w:lvl w:ilvl="7" w:tentative="0">
      <w:start w:val="0"/>
      <w:numFmt w:val="bullet"/>
      <w:lvlText w:val="•"/>
      <w:lvlJc w:val="left"/>
      <w:pPr>
        <w:ind w:left="4018" w:hanging="420"/>
      </w:pPr>
      <w:rPr>
        <w:rFonts w:hint="default"/>
      </w:rPr>
    </w:lvl>
    <w:lvl w:ilvl="8" w:tentative="0">
      <w:start w:val="0"/>
      <w:numFmt w:val="bullet"/>
      <w:lvlText w:val="•"/>
      <w:lvlJc w:val="left"/>
      <w:pPr>
        <w:ind w:left="4518" w:hanging="420"/>
      </w:pPr>
      <w:rPr>
        <w:rFonts w:hint="default"/>
      </w:rPr>
    </w:lvl>
  </w:abstractNum>
  <w:abstractNum w:abstractNumId="45">
    <w:nsid w:val="780D5695"/>
    <w:multiLevelType w:val="multilevel"/>
    <w:tmpl w:val="780D5695"/>
    <w:lvl w:ilvl="0" w:tentative="0">
      <w:start w:val="0"/>
      <w:numFmt w:val="bullet"/>
      <w:lvlText w:val=""/>
      <w:lvlJc w:val="left"/>
      <w:pPr>
        <w:ind w:left="527" w:hanging="420"/>
      </w:pPr>
      <w:rPr>
        <w:rFonts w:hint="default" w:ascii="Symbol" w:hAnsi="Symbol" w:eastAsia="Symbol" w:cs="Symbol"/>
        <w:w w:val="99"/>
        <w:sz w:val="21"/>
        <w:szCs w:val="21"/>
      </w:rPr>
    </w:lvl>
    <w:lvl w:ilvl="1" w:tentative="0">
      <w:start w:val="0"/>
      <w:numFmt w:val="bullet"/>
      <w:lvlText w:val="•"/>
      <w:lvlJc w:val="left"/>
      <w:pPr>
        <w:ind w:left="1019" w:hanging="420"/>
      </w:pPr>
      <w:rPr>
        <w:rFonts w:hint="default"/>
      </w:rPr>
    </w:lvl>
    <w:lvl w:ilvl="2" w:tentative="0">
      <w:start w:val="0"/>
      <w:numFmt w:val="bullet"/>
      <w:lvlText w:val="•"/>
      <w:lvlJc w:val="left"/>
      <w:pPr>
        <w:ind w:left="1519" w:hanging="420"/>
      </w:pPr>
      <w:rPr>
        <w:rFonts w:hint="default"/>
      </w:rPr>
    </w:lvl>
    <w:lvl w:ilvl="3" w:tentative="0">
      <w:start w:val="0"/>
      <w:numFmt w:val="bullet"/>
      <w:lvlText w:val="•"/>
      <w:lvlJc w:val="left"/>
      <w:pPr>
        <w:ind w:left="2019" w:hanging="420"/>
      </w:pPr>
      <w:rPr>
        <w:rFonts w:hint="default"/>
      </w:rPr>
    </w:lvl>
    <w:lvl w:ilvl="4" w:tentative="0">
      <w:start w:val="0"/>
      <w:numFmt w:val="bullet"/>
      <w:lvlText w:val="•"/>
      <w:lvlJc w:val="left"/>
      <w:pPr>
        <w:ind w:left="2519" w:hanging="420"/>
      </w:pPr>
      <w:rPr>
        <w:rFonts w:hint="default"/>
      </w:rPr>
    </w:lvl>
    <w:lvl w:ilvl="5" w:tentative="0">
      <w:start w:val="0"/>
      <w:numFmt w:val="bullet"/>
      <w:lvlText w:val="•"/>
      <w:lvlJc w:val="left"/>
      <w:pPr>
        <w:ind w:left="3019" w:hanging="420"/>
      </w:pPr>
      <w:rPr>
        <w:rFonts w:hint="default"/>
      </w:rPr>
    </w:lvl>
    <w:lvl w:ilvl="6" w:tentative="0">
      <w:start w:val="0"/>
      <w:numFmt w:val="bullet"/>
      <w:lvlText w:val="•"/>
      <w:lvlJc w:val="left"/>
      <w:pPr>
        <w:ind w:left="3518" w:hanging="420"/>
      </w:pPr>
      <w:rPr>
        <w:rFonts w:hint="default"/>
      </w:rPr>
    </w:lvl>
    <w:lvl w:ilvl="7" w:tentative="0">
      <w:start w:val="0"/>
      <w:numFmt w:val="bullet"/>
      <w:lvlText w:val="•"/>
      <w:lvlJc w:val="left"/>
      <w:pPr>
        <w:ind w:left="4018" w:hanging="420"/>
      </w:pPr>
      <w:rPr>
        <w:rFonts w:hint="default"/>
      </w:rPr>
    </w:lvl>
    <w:lvl w:ilvl="8" w:tentative="0">
      <w:start w:val="0"/>
      <w:numFmt w:val="bullet"/>
      <w:lvlText w:val="•"/>
      <w:lvlJc w:val="left"/>
      <w:pPr>
        <w:ind w:left="4518" w:hanging="420"/>
      </w:pPr>
      <w:rPr>
        <w:rFonts w:hint="default"/>
      </w:rPr>
    </w:lvl>
  </w:abstractNum>
  <w:abstractNum w:abstractNumId="46">
    <w:nsid w:val="7B9B487D"/>
    <w:multiLevelType w:val="multilevel"/>
    <w:tmpl w:val="7B9B487D"/>
    <w:lvl w:ilvl="0" w:tentative="0">
      <w:start w:val="0"/>
      <w:numFmt w:val="bullet"/>
      <w:lvlText w:val=""/>
      <w:lvlJc w:val="left"/>
      <w:pPr>
        <w:ind w:left="526" w:hanging="420"/>
      </w:pPr>
      <w:rPr>
        <w:rFonts w:hint="default" w:ascii="Symbol" w:hAnsi="Symbol" w:eastAsia="Symbol" w:cs="Symbol"/>
        <w:w w:val="99"/>
        <w:sz w:val="21"/>
        <w:szCs w:val="21"/>
      </w:rPr>
    </w:lvl>
    <w:lvl w:ilvl="1" w:tentative="0">
      <w:start w:val="0"/>
      <w:numFmt w:val="bullet"/>
      <w:lvlText w:val="•"/>
      <w:lvlJc w:val="left"/>
      <w:pPr>
        <w:ind w:left="1133" w:hanging="420"/>
      </w:pPr>
      <w:rPr>
        <w:rFonts w:hint="default"/>
      </w:rPr>
    </w:lvl>
    <w:lvl w:ilvl="2" w:tentative="0">
      <w:start w:val="0"/>
      <w:numFmt w:val="bullet"/>
      <w:lvlText w:val="•"/>
      <w:lvlJc w:val="left"/>
      <w:pPr>
        <w:ind w:left="1746" w:hanging="420"/>
      </w:pPr>
      <w:rPr>
        <w:rFonts w:hint="default"/>
      </w:rPr>
    </w:lvl>
    <w:lvl w:ilvl="3" w:tentative="0">
      <w:start w:val="0"/>
      <w:numFmt w:val="bullet"/>
      <w:lvlText w:val="•"/>
      <w:lvlJc w:val="left"/>
      <w:pPr>
        <w:ind w:left="2359" w:hanging="420"/>
      </w:pPr>
      <w:rPr>
        <w:rFonts w:hint="default"/>
      </w:rPr>
    </w:lvl>
    <w:lvl w:ilvl="4" w:tentative="0">
      <w:start w:val="0"/>
      <w:numFmt w:val="bullet"/>
      <w:lvlText w:val="•"/>
      <w:lvlJc w:val="left"/>
      <w:pPr>
        <w:ind w:left="2972" w:hanging="420"/>
      </w:pPr>
      <w:rPr>
        <w:rFonts w:hint="default"/>
      </w:rPr>
    </w:lvl>
    <w:lvl w:ilvl="5" w:tentative="0">
      <w:start w:val="0"/>
      <w:numFmt w:val="bullet"/>
      <w:lvlText w:val="•"/>
      <w:lvlJc w:val="left"/>
      <w:pPr>
        <w:ind w:left="3586" w:hanging="420"/>
      </w:pPr>
      <w:rPr>
        <w:rFonts w:hint="default"/>
      </w:rPr>
    </w:lvl>
    <w:lvl w:ilvl="6" w:tentative="0">
      <w:start w:val="0"/>
      <w:numFmt w:val="bullet"/>
      <w:lvlText w:val="•"/>
      <w:lvlJc w:val="left"/>
      <w:pPr>
        <w:ind w:left="4199" w:hanging="420"/>
      </w:pPr>
      <w:rPr>
        <w:rFonts w:hint="default"/>
      </w:rPr>
    </w:lvl>
    <w:lvl w:ilvl="7" w:tentative="0">
      <w:start w:val="0"/>
      <w:numFmt w:val="bullet"/>
      <w:lvlText w:val="•"/>
      <w:lvlJc w:val="left"/>
      <w:pPr>
        <w:ind w:left="4812" w:hanging="420"/>
      </w:pPr>
      <w:rPr>
        <w:rFonts w:hint="default"/>
      </w:rPr>
    </w:lvl>
    <w:lvl w:ilvl="8" w:tentative="0">
      <w:start w:val="0"/>
      <w:numFmt w:val="bullet"/>
      <w:lvlText w:val="•"/>
      <w:lvlJc w:val="left"/>
      <w:pPr>
        <w:ind w:left="5425" w:hanging="420"/>
      </w:pPr>
      <w:rPr>
        <w:rFonts w:hint="default"/>
      </w:rPr>
    </w:lvl>
  </w:abstractNum>
  <w:abstractNum w:abstractNumId="47">
    <w:nsid w:val="7C3A2102"/>
    <w:multiLevelType w:val="multilevel"/>
    <w:tmpl w:val="7C3A2102"/>
    <w:lvl w:ilvl="0" w:tentative="0">
      <w:start w:val="0"/>
      <w:numFmt w:val="bullet"/>
      <w:lvlText w:val=""/>
      <w:lvlJc w:val="left"/>
      <w:pPr>
        <w:ind w:left="526" w:hanging="420"/>
      </w:pPr>
      <w:rPr>
        <w:rFonts w:hint="default" w:ascii="Symbol" w:hAnsi="Symbol" w:eastAsia="Symbol" w:cs="Symbol"/>
        <w:w w:val="99"/>
        <w:sz w:val="21"/>
        <w:szCs w:val="21"/>
      </w:rPr>
    </w:lvl>
    <w:lvl w:ilvl="1" w:tentative="0">
      <w:start w:val="0"/>
      <w:numFmt w:val="bullet"/>
      <w:lvlText w:val="•"/>
      <w:lvlJc w:val="left"/>
      <w:pPr>
        <w:ind w:left="1133" w:hanging="420"/>
      </w:pPr>
      <w:rPr>
        <w:rFonts w:hint="default"/>
      </w:rPr>
    </w:lvl>
    <w:lvl w:ilvl="2" w:tentative="0">
      <w:start w:val="0"/>
      <w:numFmt w:val="bullet"/>
      <w:lvlText w:val="•"/>
      <w:lvlJc w:val="left"/>
      <w:pPr>
        <w:ind w:left="1746" w:hanging="420"/>
      </w:pPr>
      <w:rPr>
        <w:rFonts w:hint="default"/>
      </w:rPr>
    </w:lvl>
    <w:lvl w:ilvl="3" w:tentative="0">
      <w:start w:val="0"/>
      <w:numFmt w:val="bullet"/>
      <w:lvlText w:val="•"/>
      <w:lvlJc w:val="left"/>
      <w:pPr>
        <w:ind w:left="2359" w:hanging="420"/>
      </w:pPr>
      <w:rPr>
        <w:rFonts w:hint="default"/>
      </w:rPr>
    </w:lvl>
    <w:lvl w:ilvl="4" w:tentative="0">
      <w:start w:val="0"/>
      <w:numFmt w:val="bullet"/>
      <w:lvlText w:val="•"/>
      <w:lvlJc w:val="left"/>
      <w:pPr>
        <w:ind w:left="2972" w:hanging="420"/>
      </w:pPr>
      <w:rPr>
        <w:rFonts w:hint="default"/>
      </w:rPr>
    </w:lvl>
    <w:lvl w:ilvl="5" w:tentative="0">
      <w:start w:val="0"/>
      <w:numFmt w:val="bullet"/>
      <w:lvlText w:val="•"/>
      <w:lvlJc w:val="left"/>
      <w:pPr>
        <w:ind w:left="3586" w:hanging="420"/>
      </w:pPr>
      <w:rPr>
        <w:rFonts w:hint="default"/>
      </w:rPr>
    </w:lvl>
    <w:lvl w:ilvl="6" w:tentative="0">
      <w:start w:val="0"/>
      <w:numFmt w:val="bullet"/>
      <w:lvlText w:val="•"/>
      <w:lvlJc w:val="left"/>
      <w:pPr>
        <w:ind w:left="4199" w:hanging="420"/>
      </w:pPr>
      <w:rPr>
        <w:rFonts w:hint="default"/>
      </w:rPr>
    </w:lvl>
    <w:lvl w:ilvl="7" w:tentative="0">
      <w:start w:val="0"/>
      <w:numFmt w:val="bullet"/>
      <w:lvlText w:val="•"/>
      <w:lvlJc w:val="left"/>
      <w:pPr>
        <w:ind w:left="4812" w:hanging="420"/>
      </w:pPr>
      <w:rPr>
        <w:rFonts w:hint="default"/>
      </w:rPr>
    </w:lvl>
    <w:lvl w:ilvl="8" w:tentative="0">
      <w:start w:val="0"/>
      <w:numFmt w:val="bullet"/>
      <w:lvlText w:val="•"/>
      <w:lvlJc w:val="left"/>
      <w:pPr>
        <w:ind w:left="5425" w:hanging="420"/>
      </w:pPr>
      <w:rPr>
        <w:rFonts w:hint="default"/>
      </w:rPr>
    </w:lvl>
  </w:abstractNum>
  <w:abstractNum w:abstractNumId="48">
    <w:nsid w:val="7E8C0C56"/>
    <w:multiLevelType w:val="multilevel"/>
    <w:tmpl w:val="7E8C0C56"/>
    <w:lvl w:ilvl="0" w:tentative="0">
      <w:start w:val="0"/>
      <w:numFmt w:val="bullet"/>
      <w:lvlText w:val=""/>
      <w:lvlJc w:val="left"/>
      <w:pPr>
        <w:ind w:left="526" w:hanging="420"/>
      </w:pPr>
      <w:rPr>
        <w:rFonts w:hint="default" w:ascii="Symbol" w:hAnsi="Symbol" w:eastAsia="Symbol" w:cs="Symbol"/>
        <w:w w:val="99"/>
        <w:sz w:val="21"/>
        <w:szCs w:val="21"/>
      </w:rPr>
    </w:lvl>
    <w:lvl w:ilvl="1" w:tentative="0">
      <w:start w:val="0"/>
      <w:numFmt w:val="bullet"/>
      <w:lvlText w:val="•"/>
      <w:lvlJc w:val="left"/>
      <w:pPr>
        <w:ind w:left="1133" w:hanging="420"/>
      </w:pPr>
      <w:rPr>
        <w:rFonts w:hint="default"/>
      </w:rPr>
    </w:lvl>
    <w:lvl w:ilvl="2" w:tentative="0">
      <w:start w:val="0"/>
      <w:numFmt w:val="bullet"/>
      <w:lvlText w:val="•"/>
      <w:lvlJc w:val="left"/>
      <w:pPr>
        <w:ind w:left="1746" w:hanging="420"/>
      </w:pPr>
      <w:rPr>
        <w:rFonts w:hint="default"/>
      </w:rPr>
    </w:lvl>
    <w:lvl w:ilvl="3" w:tentative="0">
      <w:start w:val="0"/>
      <w:numFmt w:val="bullet"/>
      <w:lvlText w:val="•"/>
      <w:lvlJc w:val="left"/>
      <w:pPr>
        <w:ind w:left="2359" w:hanging="420"/>
      </w:pPr>
      <w:rPr>
        <w:rFonts w:hint="default"/>
      </w:rPr>
    </w:lvl>
    <w:lvl w:ilvl="4" w:tentative="0">
      <w:start w:val="0"/>
      <w:numFmt w:val="bullet"/>
      <w:lvlText w:val="•"/>
      <w:lvlJc w:val="left"/>
      <w:pPr>
        <w:ind w:left="2972" w:hanging="420"/>
      </w:pPr>
      <w:rPr>
        <w:rFonts w:hint="default"/>
      </w:rPr>
    </w:lvl>
    <w:lvl w:ilvl="5" w:tentative="0">
      <w:start w:val="0"/>
      <w:numFmt w:val="bullet"/>
      <w:lvlText w:val="•"/>
      <w:lvlJc w:val="left"/>
      <w:pPr>
        <w:ind w:left="3586" w:hanging="420"/>
      </w:pPr>
      <w:rPr>
        <w:rFonts w:hint="default"/>
      </w:rPr>
    </w:lvl>
    <w:lvl w:ilvl="6" w:tentative="0">
      <w:start w:val="0"/>
      <w:numFmt w:val="bullet"/>
      <w:lvlText w:val="•"/>
      <w:lvlJc w:val="left"/>
      <w:pPr>
        <w:ind w:left="4199" w:hanging="420"/>
      </w:pPr>
      <w:rPr>
        <w:rFonts w:hint="default"/>
      </w:rPr>
    </w:lvl>
    <w:lvl w:ilvl="7" w:tentative="0">
      <w:start w:val="0"/>
      <w:numFmt w:val="bullet"/>
      <w:lvlText w:val="•"/>
      <w:lvlJc w:val="left"/>
      <w:pPr>
        <w:ind w:left="4812" w:hanging="420"/>
      </w:pPr>
      <w:rPr>
        <w:rFonts w:hint="default"/>
      </w:rPr>
    </w:lvl>
    <w:lvl w:ilvl="8" w:tentative="0">
      <w:start w:val="0"/>
      <w:numFmt w:val="bullet"/>
      <w:lvlText w:val="•"/>
      <w:lvlJc w:val="left"/>
      <w:pPr>
        <w:ind w:left="5425" w:hanging="420"/>
      </w:pPr>
      <w:rPr>
        <w:rFonts w:hint="default"/>
      </w:rPr>
    </w:lvl>
  </w:abstractNum>
  <w:abstractNum w:abstractNumId="49">
    <w:nsid w:val="7EA853B7"/>
    <w:multiLevelType w:val="multilevel"/>
    <w:tmpl w:val="7EA853B7"/>
    <w:lvl w:ilvl="0" w:tentative="0">
      <w:start w:val="0"/>
      <w:numFmt w:val="bullet"/>
      <w:lvlText w:val=""/>
      <w:lvlJc w:val="left"/>
      <w:pPr>
        <w:ind w:left="527" w:hanging="420"/>
      </w:pPr>
      <w:rPr>
        <w:rFonts w:hint="default" w:ascii="Symbol" w:hAnsi="Symbol" w:eastAsia="Symbol" w:cs="Symbol"/>
        <w:w w:val="99"/>
        <w:sz w:val="21"/>
        <w:szCs w:val="21"/>
      </w:rPr>
    </w:lvl>
    <w:lvl w:ilvl="1" w:tentative="0">
      <w:start w:val="0"/>
      <w:numFmt w:val="bullet"/>
      <w:lvlText w:val="•"/>
      <w:lvlJc w:val="left"/>
      <w:pPr>
        <w:ind w:left="1019" w:hanging="420"/>
      </w:pPr>
      <w:rPr>
        <w:rFonts w:hint="default"/>
      </w:rPr>
    </w:lvl>
    <w:lvl w:ilvl="2" w:tentative="0">
      <w:start w:val="0"/>
      <w:numFmt w:val="bullet"/>
      <w:lvlText w:val="•"/>
      <w:lvlJc w:val="left"/>
      <w:pPr>
        <w:ind w:left="1519" w:hanging="420"/>
      </w:pPr>
      <w:rPr>
        <w:rFonts w:hint="default"/>
      </w:rPr>
    </w:lvl>
    <w:lvl w:ilvl="3" w:tentative="0">
      <w:start w:val="0"/>
      <w:numFmt w:val="bullet"/>
      <w:lvlText w:val="•"/>
      <w:lvlJc w:val="left"/>
      <w:pPr>
        <w:ind w:left="2019" w:hanging="420"/>
      </w:pPr>
      <w:rPr>
        <w:rFonts w:hint="default"/>
      </w:rPr>
    </w:lvl>
    <w:lvl w:ilvl="4" w:tentative="0">
      <w:start w:val="0"/>
      <w:numFmt w:val="bullet"/>
      <w:lvlText w:val="•"/>
      <w:lvlJc w:val="left"/>
      <w:pPr>
        <w:ind w:left="2519" w:hanging="420"/>
      </w:pPr>
      <w:rPr>
        <w:rFonts w:hint="default"/>
      </w:rPr>
    </w:lvl>
    <w:lvl w:ilvl="5" w:tentative="0">
      <w:start w:val="0"/>
      <w:numFmt w:val="bullet"/>
      <w:lvlText w:val="•"/>
      <w:lvlJc w:val="left"/>
      <w:pPr>
        <w:ind w:left="3019" w:hanging="420"/>
      </w:pPr>
      <w:rPr>
        <w:rFonts w:hint="default"/>
      </w:rPr>
    </w:lvl>
    <w:lvl w:ilvl="6" w:tentative="0">
      <w:start w:val="0"/>
      <w:numFmt w:val="bullet"/>
      <w:lvlText w:val="•"/>
      <w:lvlJc w:val="left"/>
      <w:pPr>
        <w:ind w:left="3518" w:hanging="420"/>
      </w:pPr>
      <w:rPr>
        <w:rFonts w:hint="default"/>
      </w:rPr>
    </w:lvl>
    <w:lvl w:ilvl="7" w:tentative="0">
      <w:start w:val="0"/>
      <w:numFmt w:val="bullet"/>
      <w:lvlText w:val="•"/>
      <w:lvlJc w:val="left"/>
      <w:pPr>
        <w:ind w:left="4018" w:hanging="420"/>
      </w:pPr>
      <w:rPr>
        <w:rFonts w:hint="default"/>
      </w:rPr>
    </w:lvl>
    <w:lvl w:ilvl="8" w:tentative="0">
      <w:start w:val="0"/>
      <w:numFmt w:val="bullet"/>
      <w:lvlText w:val="•"/>
      <w:lvlJc w:val="left"/>
      <w:pPr>
        <w:ind w:left="4518" w:hanging="420"/>
      </w:pPr>
      <w:rPr>
        <w:rFonts w:hint="default"/>
      </w:rPr>
    </w:lvl>
  </w:abstractNum>
  <w:abstractNum w:abstractNumId="50">
    <w:nsid w:val="7F610071"/>
    <w:multiLevelType w:val="multilevel"/>
    <w:tmpl w:val="7F610071"/>
    <w:lvl w:ilvl="0" w:tentative="0">
      <w:start w:val="0"/>
      <w:numFmt w:val="bullet"/>
      <w:lvlText w:val=""/>
      <w:lvlJc w:val="left"/>
      <w:pPr>
        <w:ind w:left="526" w:hanging="420"/>
      </w:pPr>
      <w:rPr>
        <w:rFonts w:hint="default" w:ascii="Symbol" w:hAnsi="Symbol" w:eastAsia="Symbol" w:cs="Symbol"/>
        <w:w w:val="99"/>
        <w:sz w:val="21"/>
        <w:szCs w:val="21"/>
      </w:rPr>
    </w:lvl>
    <w:lvl w:ilvl="1" w:tentative="0">
      <w:start w:val="0"/>
      <w:numFmt w:val="bullet"/>
      <w:lvlText w:val="•"/>
      <w:lvlJc w:val="left"/>
      <w:pPr>
        <w:ind w:left="1133" w:hanging="420"/>
      </w:pPr>
      <w:rPr>
        <w:rFonts w:hint="default"/>
      </w:rPr>
    </w:lvl>
    <w:lvl w:ilvl="2" w:tentative="0">
      <w:start w:val="0"/>
      <w:numFmt w:val="bullet"/>
      <w:lvlText w:val="•"/>
      <w:lvlJc w:val="left"/>
      <w:pPr>
        <w:ind w:left="1746" w:hanging="420"/>
      </w:pPr>
      <w:rPr>
        <w:rFonts w:hint="default"/>
      </w:rPr>
    </w:lvl>
    <w:lvl w:ilvl="3" w:tentative="0">
      <w:start w:val="0"/>
      <w:numFmt w:val="bullet"/>
      <w:lvlText w:val="•"/>
      <w:lvlJc w:val="left"/>
      <w:pPr>
        <w:ind w:left="2359" w:hanging="420"/>
      </w:pPr>
      <w:rPr>
        <w:rFonts w:hint="default"/>
      </w:rPr>
    </w:lvl>
    <w:lvl w:ilvl="4" w:tentative="0">
      <w:start w:val="0"/>
      <w:numFmt w:val="bullet"/>
      <w:lvlText w:val="•"/>
      <w:lvlJc w:val="left"/>
      <w:pPr>
        <w:ind w:left="2972" w:hanging="420"/>
      </w:pPr>
      <w:rPr>
        <w:rFonts w:hint="default"/>
      </w:rPr>
    </w:lvl>
    <w:lvl w:ilvl="5" w:tentative="0">
      <w:start w:val="0"/>
      <w:numFmt w:val="bullet"/>
      <w:lvlText w:val="•"/>
      <w:lvlJc w:val="left"/>
      <w:pPr>
        <w:ind w:left="3586" w:hanging="420"/>
      </w:pPr>
      <w:rPr>
        <w:rFonts w:hint="default"/>
      </w:rPr>
    </w:lvl>
    <w:lvl w:ilvl="6" w:tentative="0">
      <w:start w:val="0"/>
      <w:numFmt w:val="bullet"/>
      <w:lvlText w:val="•"/>
      <w:lvlJc w:val="left"/>
      <w:pPr>
        <w:ind w:left="4199" w:hanging="420"/>
      </w:pPr>
      <w:rPr>
        <w:rFonts w:hint="default"/>
      </w:rPr>
    </w:lvl>
    <w:lvl w:ilvl="7" w:tentative="0">
      <w:start w:val="0"/>
      <w:numFmt w:val="bullet"/>
      <w:lvlText w:val="•"/>
      <w:lvlJc w:val="left"/>
      <w:pPr>
        <w:ind w:left="4812" w:hanging="420"/>
      </w:pPr>
      <w:rPr>
        <w:rFonts w:hint="default"/>
      </w:rPr>
    </w:lvl>
    <w:lvl w:ilvl="8" w:tentative="0">
      <w:start w:val="0"/>
      <w:numFmt w:val="bullet"/>
      <w:lvlText w:val="•"/>
      <w:lvlJc w:val="left"/>
      <w:pPr>
        <w:ind w:left="5425" w:hanging="420"/>
      </w:pPr>
      <w:rPr>
        <w:rFonts w:hint="default"/>
      </w:rPr>
    </w:lvl>
  </w:abstractNum>
  <w:num w:numId="1">
    <w:abstractNumId w:val="2"/>
  </w:num>
  <w:num w:numId="2">
    <w:abstractNumId w:val="3"/>
  </w:num>
  <w:num w:numId="3">
    <w:abstractNumId w:val="35"/>
  </w:num>
  <w:num w:numId="4">
    <w:abstractNumId w:val="18"/>
  </w:num>
  <w:num w:numId="5">
    <w:abstractNumId w:val="20"/>
  </w:num>
  <w:num w:numId="6">
    <w:abstractNumId w:val="34"/>
  </w:num>
  <w:num w:numId="7">
    <w:abstractNumId w:val="23"/>
  </w:num>
  <w:num w:numId="8">
    <w:abstractNumId w:val="50"/>
  </w:num>
  <w:num w:numId="9">
    <w:abstractNumId w:val="46"/>
  </w:num>
  <w:num w:numId="10">
    <w:abstractNumId w:val="24"/>
  </w:num>
  <w:num w:numId="11">
    <w:abstractNumId w:val="40"/>
  </w:num>
  <w:num w:numId="12">
    <w:abstractNumId w:val="7"/>
  </w:num>
  <w:num w:numId="13">
    <w:abstractNumId w:val="36"/>
  </w:num>
  <w:num w:numId="14">
    <w:abstractNumId w:val="13"/>
  </w:num>
  <w:num w:numId="15">
    <w:abstractNumId w:val="14"/>
  </w:num>
  <w:num w:numId="16">
    <w:abstractNumId w:val="6"/>
  </w:num>
  <w:num w:numId="17">
    <w:abstractNumId w:val="33"/>
  </w:num>
  <w:num w:numId="18">
    <w:abstractNumId w:val="48"/>
  </w:num>
  <w:num w:numId="19">
    <w:abstractNumId w:val="47"/>
  </w:num>
  <w:num w:numId="20">
    <w:abstractNumId w:val="21"/>
  </w:num>
  <w:num w:numId="21">
    <w:abstractNumId w:val="30"/>
  </w:num>
  <w:num w:numId="22">
    <w:abstractNumId w:val="16"/>
  </w:num>
  <w:num w:numId="23">
    <w:abstractNumId w:val="10"/>
  </w:num>
  <w:num w:numId="24">
    <w:abstractNumId w:val="26"/>
  </w:num>
  <w:num w:numId="25">
    <w:abstractNumId w:val="5"/>
  </w:num>
  <w:num w:numId="26">
    <w:abstractNumId w:val="42"/>
  </w:num>
  <w:num w:numId="27">
    <w:abstractNumId w:val="43"/>
  </w:num>
  <w:num w:numId="28">
    <w:abstractNumId w:val="11"/>
  </w:num>
  <w:num w:numId="29">
    <w:abstractNumId w:val="29"/>
  </w:num>
  <w:num w:numId="30">
    <w:abstractNumId w:val="32"/>
  </w:num>
  <w:num w:numId="31">
    <w:abstractNumId w:val="37"/>
  </w:num>
  <w:num w:numId="32">
    <w:abstractNumId w:val="41"/>
  </w:num>
  <w:num w:numId="33">
    <w:abstractNumId w:val="45"/>
  </w:num>
  <w:num w:numId="34">
    <w:abstractNumId w:val="44"/>
  </w:num>
  <w:num w:numId="35">
    <w:abstractNumId w:val="38"/>
  </w:num>
  <w:num w:numId="36">
    <w:abstractNumId w:val="9"/>
  </w:num>
  <w:num w:numId="37">
    <w:abstractNumId w:val="12"/>
  </w:num>
  <w:num w:numId="38">
    <w:abstractNumId w:val="28"/>
  </w:num>
  <w:num w:numId="39">
    <w:abstractNumId w:val="22"/>
  </w:num>
  <w:num w:numId="40">
    <w:abstractNumId w:val="49"/>
  </w:num>
  <w:num w:numId="41">
    <w:abstractNumId w:val="15"/>
  </w:num>
  <w:num w:numId="42">
    <w:abstractNumId w:val="39"/>
  </w:num>
  <w:num w:numId="43">
    <w:abstractNumId w:val="31"/>
  </w:num>
  <w:num w:numId="44">
    <w:abstractNumId w:val="25"/>
  </w:num>
  <w:num w:numId="45">
    <w:abstractNumId w:val="27"/>
  </w:num>
  <w:num w:numId="46">
    <w:abstractNumId w:val="4"/>
  </w:num>
  <w:num w:numId="47">
    <w:abstractNumId w:val="8"/>
  </w:num>
  <w:num w:numId="48">
    <w:abstractNumId w:val="17"/>
  </w:num>
  <w:num w:numId="49">
    <w:abstractNumId w:val="19"/>
  </w:num>
  <w:num w:numId="50">
    <w:abstractNumId w:val="0"/>
  </w:num>
  <w:num w:numId="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jMjJkMzRhYzM2YmI3NDZmZDk0MDYwYWVhMTU3Y2YifQ=="/>
    <w:docVar w:name="KSO_WPS_MARK_KEY" w:val="53486108-23ee-4e0f-b4d3-b07dd2e54e90"/>
  </w:docVars>
  <w:rsids>
    <w:rsidRoot w:val="00172A27"/>
    <w:rsid w:val="00000C09"/>
    <w:rsid w:val="00016458"/>
    <w:rsid w:val="00032803"/>
    <w:rsid w:val="00037CAE"/>
    <w:rsid w:val="00041FE5"/>
    <w:rsid w:val="00046EC8"/>
    <w:rsid w:val="0004757E"/>
    <w:rsid w:val="00047B11"/>
    <w:rsid w:val="000544D3"/>
    <w:rsid w:val="00064EEC"/>
    <w:rsid w:val="00073DF9"/>
    <w:rsid w:val="00074B43"/>
    <w:rsid w:val="000752BD"/>
    <w:rsid w:val="0008710D"/>
    <w:rsid w:val="00087200"/>
    <w:rsid w:val="000A08A3"/>
    <w:rsid w:val="000A3D6A"/>
    <w:rsid w:val="000A56D0"/>
    <w:rsid w:val="000A5AE9"/>
    <w:rsid w:val="000C056F"/>
    <w:rsid w:val="000C5656"/>
    <w:rsid w:val="000C5E81"/>
    <w:rsid w:val="000C62BB"/>
    <w:rsid w:val="000C78E4"/>
    <w:rsid w:val="000D6C86"/>
    <w:rsid w:val="000E0B33"/>
    <w:rsid w:val="000E68FA"/>
    <w:rsid w:val="000E7EB6"/>
    <w:rsid w:val="000F3745"/>
    <w:rsid w:val="000F3E00"/>
    <w:rsid w:val="000F4D82"/>
    <w:rsid w:val="00100E3C"/>
    <w:rsid w:val="001015C5"/>
    <w:rsid w:val="00105DBA"/>
    <w:rsid w:val="00106756"/>
    <w:rsid w:val="001077B7"/>
    <w:rsid w:val="001103F2"/>
    <w:rsid w:val="00112C61"/>
    <w:rsid w:val="00120F06"/>
    <w:rsid w:val="00122C3C"/>
    <w:rsid w:val="00132447"/>
    <w:rsid w:val="00135CF5"/>
    <w:rsid w:val="001406FA"/>
    <w:rsid w:val="00142AED"/>
    <w:rsid w:val="00143490"/>
    <w:rsid w:val="001439B9"/>
    <w:rsid w:val="00146190"/>
    <w:rsid w:val="00154C65"/>
    <w:rsid w:val="001564F4"/>
    <w:rsid w:val="001576FC"/>
    <w:rsid w:val="001676FD"/>
    <w:rsid w:val="00171D2A"/>
    <w:rsid w:val="00172A27"/>
    <w:rsid w:val="0017393C"/>
    <w:rsid w:val="00175190"/>
    <w:rsid w:val="0017725D"/>
    <w:rsid w:val="00177DC8"/>
    <w:rsid w:val="00181541"/>
    <w:rsid w:val="00184110"/>
    <w:rsid w:val="001856C7"/>
    <w:rsid w:val="0019212B"/>
    <w:rsid w:val="0019327A"/>
    <w:rsid w:val="001A3A14"/>
    <w:rsid w:val="001A7D54"/>
    <w:rsid w:val="001C45BF"/>
    <w:rsid w:val="001D06E7"/>
    <w:rsid w:val="001D5A91"/>
    <w:rsid w:val="001E3340"/>
    <w:rsid w:val="001E7AC6"/>
    <w:rsid w:val="001F0CA2"/>
    <w:rsid w:val="001F4E82"/>
    <w:rsid w:val="001F72C0"/>
    <w:rsid w:val="002117B4"/>
    <w:rsid w:val="00215FA9"/>
    <w:rsid w:val="002214D5"/>
    <w:rsid w:val="00221DEA"/>
    <w:rsid w:val="00226E38"/>
    <w:rsid w:val="0023091E"/>
    <w:rsid w:val="00231469"/>
    <w:rsid w:val="00251DCD"/>
    <w:rsid w:val="00251EA9"/>
    <w:rsid w:val="002727B2"/>
    <w:rsid w:val="00272B46"/>
    <w:rsid w:val="00272D6D"/>
    <w:rsid w:val="00280B4F"/>
    <w:rsid w:val="00283152"/>
    <w:rsid w:val="002866DD"/>
    <w:rsid w:val="002929F7"/>
    <w:rsid w:val="00293041"/>
    <w:rsid w:val="002B0F93"/>
    <w:rsid w:val="002B6E41"/>
    <w:rsid w:val="002B785A"/>
    <w:rsid w:val="002C332C"/>
    <w:rsid w:val="002D1774"/>
    <w:rsid w:val="002D7059"/>
    <w:rsid w:val="002D7650"/>
    <w:rsid w:val="002E036D"/>
    <w:rsid w:val="002E12FA"/>
    <w:rsid w:val="002E18FD"/>
    <w:rsid w:val="002E28C7"/>
    <w:rsid w:val="002E3A09"/>
    <w:rsid w:val="002F15F8"/>
    <w:rsid w:val="002F44D0"/>
    <w:rsid w:val="002F7FDA"/>
    <w:rsid w:val="00300994"/>
    <w:rsid w:val="00314BB4"/>
    <w:rsid w:val="003159C1"/>
    <w:rsid w:val="003176B9"/>
    <w:rsid w:val="00317ABF"/>
    <w:rsid w:val="003205A4"/>
    <w:rsid w:val="00321C78"/>
    <w:rsid w:val="00324D90"/>
    <w:rsid w:val="00331A79"/>
    <w:rsid w:val="0033297C"/>
    <w:rsid w:val="00347A32"/>
    <w:rsid w:val="003522B0"/>
    <w:rsid w:val="00353727"/>
    <w:rsid w:val="0036327D"/>
    <w:rsid w:val="00367D20"/>
    <w:rsid w:val="0037066B"/>
    <w:rsid w:val="00373701"/>
    <w:rsid w:val="00375A25"/>
    <w:rsid w:val="00383631"/>
    <w:rsid w:val="00384E58"/>
    <w:rsid w:val="00384F8D"/>
    <w:rsid w:val="00385825"/>
    <w:rsid w:val="00392E73"/>
    <w:rsid w:val="003A6152"/>
    <w:rsid w:val="003B4F36"/>
    <w:rsid w:val="003B70C0"/>
    <w:rsid w:val="003B7348"/>
    <w:rsid w:val="003C32BC"/>
    <w:rsid w:val="003C3767"/>
    <w:rsid w:val="003D6CCC"/>
    <w:rsid w:val="003E0084"/>
    <w:rsid w:val="003E351D"/>
    <w:rsid w:val="003E37BB"/>
    <w:rsid w:val="003E4133"/>
    <w:rsid w:val="003E4E30"/>
    <w:rsid w:val="003E55A7"/>
    <w:rsid w:val="003F1BC5"/>
    <w:rsid w:val="003F74D6"/>
    <w:rsid w:val="003F7EC8"/>
    <w:rsid w:val="00400A03"/>
    <w:rsid w:val="00400C28"/>
    <w:rsid w:val="00402868"/>
    <w:rsid w:val="004029ED"/>
    <w:rsid w:val="00407629"/>
    <w:rsid w:val="00410B70"/>
    <w:rsid w:val="00412AAF"/>
    <w:rsid w:val="0041486A"/>
    <w:rsid w:val="00416F47"/>
    <w:rsid w:val="00420903"/>
    <w:rsid w:val="004214C3"/>
    <w:rsid w:val="00425100"/>
    <w:rsid w:val="00425A4B"/>
    <w:rsid w:val="00431BBF"/>
    <w:rsid w:val="004328D5"/>
    <w:rsid w:val="00434961"/>
    <w:rsid w:val="004361EB"/>
    <w:rsid w:val="00446C36"/>
    <w:rsid w:val="0045050B"/>
    <w:rsid w:val="00454BA4"/>
    <w:rsid w:val="00460CDB"/>
    <w:rsid w:val="004620F5"/>
    <w:rsid w:val="0046504F"/>
    <w:rsid w:val="004762FB"/>
    <w:rsid w:val="004771BF"/>
    <w:rsid w:val="0048519C"/>
    <w:rsid w:val="0048667B"/>
    <w:rsid w:val="00487974"/>
    <w:rsid w:val="00490631"/>
    <w:rsid w:val="004B3147"/>
    <w:rsid w:val="004B6447"/>
    <w:rsid w:val="004B748D"/>
    <w:rsid w:val="004C18BF"/>
    <w:rsid w:val="004C6C87"/>
    <w:rsid w:val="004C7802"/>
    <w:rsid w:val="004D1FFB"/>
    <w:rsid w:val="004D30F6"/>
    <w:rsid w:val="004E482B"/>
    <w:rsid w:val="004F046C"/>
    <w:rsid w:val="004F2044"/>
    <w:rsid w:val="004F27C5"/>
    <w:rsid w:val="004F565A"/>
    <w:rsid w:val="0050069A"/>
    <w:rsid w:val="005048D0"/>
    <w:rsid w:val="00511194"/>
    <w:rsid w:val="00513DF3"/>
    <w:rsid w:val="00526B4A"/>
    <w:rsid w:val="00530FB4"/>
    <w:rsid w:val="005358D1"/>
    <w:rsid w:val="00537E27"/>
    <w:rsid w:val="00541033"/>
    <w:rsid w:val="00546E3A"/>
    <w:rsid w:val="00551A1A"/>
    <w:rsid w:val="00567FBF"/>
    <w:rsid w:val="00570AC7"/>
    <w:rsid w:val="00574E23"/>
    <w:rsid w:val="00575118"/>
    <w:rsid w:val="00576329"/>
    <w:rsid w:val="00580ED8"/>
    <w:rsid w:val="00585DDE"/>
    <w:rsid w:val="00592E2A"/>
    <w:rsid w:val="005A1125"/>
    <w:rsid w:val="005A3BFF"/>
    <w:rsid w:val="005A4707"/>
    <w:rsid w:val="005B5651"/>
    <w:rsid w:val="005B5769"/>
    <w:rsid w:val="005B6F2A"/>
    <w:rsid w:val="005C2891"/>
    <w:rsid w:val="005C58A2"/>
    <w:rsid w:val="005C75A3"/>
    <w:rsid w:val="005D1F00"/>
    <w:rsid w:val="005D2F3D"/>
    <w:rsid w:val="005E20D1"/>
    <w:rsid w:val="005E536B"/>
    <w:rsid w:val="005E6510"/>
    <w:rsid w:val="005E7A6F"/>
    <w:rsid w:val="005F1478"/>
    <w:rsid w:val="00605056"/>
    <w:rsid w:val="00611564"/>
    <w:rsid w:val="00612B2C"/>
    <w:rsid w:val="00613A4A"/>
    <w:rsid w:val="00614251"/>
    <w:rsid w:val="00616FA2"/>
    <w:rsid w:val="0062367E"/>
    <w:rsid w:val="00623F61"/>
    <w:rsid w:val="006260CF"/>
    <w:rsid w:val="00626166"/>
    <w:rsid w:val="0062631B"/>
    <w:rsid w:val="0062756F"/>
    <w:rsid w:val="00637179"/>
    <w:rsid w:val="006451FE"/>
    <w:rsid w:val="00647837"/>
    <w:rsid w:val="00657195"/>
    <w:rsid w:val="00666B51"/>
    <w:rsid w:val="00673A08"/>
    <w:rsid w:val="00682D1E"/>
    <w:rsid w:val="00686DF0"/>
    <w:rsid w:val="00691B02"/>
    <w:rsid w:val="00692A73"/>
    <w:rsid w:val="006A0867"/>
    <w:rsid w:val="006A4685"/>
    <w:rsid w:val="006A5488"/>
    <w:rsid w:val="006B062B"/>
    <w:rsid w:val="006B5E91"/>
    <w:rsid w:val="006C340A"/>
    <w:rsid w:val="006C3962"/>
    <w:rsid w:val="006C7C99"/>
    <w:rsid w:val="006D12B7"/>
    <w:rsid w:val="006D5458"/>
    <w:rsid w:val="006E2252"/>
    <w:rsid w:val="006E5C32"/>
    <w:rsid w:val="006F29AE"/>
    <w:rsid w:val="007058BF"/>
    <w:rsid w:val="007207CA"/>
    <w:rsid w:val="00720BC3"/>
    <w:rsid w:val="00725880"/>
    <w:rsid w:val="007261E1"/>
    <w:rsid w:val="0072629F"/>
    <w:rsid w:val="00742029"/>
    <w:rsid w:val="00743B5F"/>
    <w:rsid w:val="00743F4A"/>
    <w:rsid w:val="0075237D"/>
    <w:rsid w:val="007529B2"/>
    <w:rsid w:val="00752BEC"/>
    <w:rsid w:val="00755321"/>
    <w:rsid w:val="00755904"/>
    <w:rsid w:val="00763E4F"/>
    <w:rsid w:val="00765372"/>
    <w:rsid w:val="00765867"/>
    <w:rsid w:val="00770A35"/>
    <w:rsid w:val="00770E88"/>
    <w:rsid w:val="0078774B"/>
    <w:rsid w:val="0079035C"/>
    <w:rsid w:val="007952AA"/>
    <w:rsid w:val="007A7439"/>
    <w:rsid w:val="007B5450"/>
    <w:rsid w:val="007C0AA4"/>
    <w:rsid w:val="007C6CD5"/>
    <w:rsid w:val="007C7A5E"/>
    <w:rsid w:val="007D0F47"/>
    <w:rsid w:val="007D1AE9"/>
    <w:rsid w:val="007D2604"/>
    <w:rsid w:val="007D6072"/>
    <w:rsid w:val="007D6093"/>
    <w:rsid w:val="007D6AEC"/>
    <w:rsid w:val="007D72C1"/>
    <w:rsid w:val="007E3764"/>
    <w:rsid w:val="007F1E07"/>
    <w:rsid w:val="00800FEA"/>
    <w:rsid w:val="00820B34"/>
    <w:rsid w:val="00821D22"/>
    <w:rsid w:val="0082539F"/>
    <w:rsid w:val="00826E98"/>
    <w:rsid w:val="00837B2E"/>
    <w:rsid w:val="00855457"/>
    <w:rsid w:val="00857393"/>
    <w:rsid w:val="0086205F"/>
    <w:rsid w:val="00876691"/>
    <w:rsid w:val="008808A7"/>
    <w:rsid w:val="008863CD"/>
    <w:rsid w:val="00886EE1"/>
    <w:rsid w:val="0089128F"/>
    <w:rsid w:val="00892F1B"/>
    <w:rsid w:val="00893B9E"/>
    <w:rsid w:val="008940B0"/>
    <w:rsid w:val="008978A7"/>
    <w:rsid w:val="008A2BD6"/>
    <w:rsid w:val="008A48CA"/>
    <w:rsid w:val="008A5D11"/>
    <w:rsid w:val="008A6D3C"/>
    <w:rsid w:val="008B08E9"/>
    <w:rsid w:val="008B21E9"/>
    <w:rsid w:val="008B326B"/>
    <w:rsid w:val="008B4D15"/>
    <w:rsid w:val="008C351B"/>
    <w:rsid w:val="008C4571"/>
    <w:rsid w:val="008D0614"/>
    <w:rsid w:val="008D0DA8"/>
    <w:rsid w:val="008D1526"/>
    <w:rsid w:val="008D381B"/>
    <w:rsid w:val="008D52D7"/>
    <w:rsid w:val="008D7814"/>
    <w:rsid w:val="008E3A8A"/>
    <w:rsid w:val="008E7F1C"/>
    <w:rsid w:val="008F0F4D"/>
    <w:rsid w:val="00900999"/>
    <w:rsid w:val="00902258"/>
    <w:rsid w:val="00902F99"/>
    <w:rsid w:val="0091017B"/>
    <w:rsid w:val="0091434D"/>
    <w:rsid w:val="0092087A"/>
    <w:rsid w:val="00920D7C"/>
    <w:rsid w:val="0092278E"/>
    <w:rsid w:val="00923158"/>
    <w:rsid w:val="0092446C"/>
    <w:rsid w:val="00925B0A"/>
    <w:rsid w:val="0093079D"/>
    <w:rsid w:val="009344B0"/>
    <w:rsid w:val="009467D2"/>
    <w:rsid w:val="00946DD6"/>
    <w:rsid w:val="00950751"/>
    <w:rsid w:val="00953E2E"/>
    <w:rsid w:val="009769A0"/>
    <w:rsid w:val="0098027F"/>
    <w:rsid w:val="00990CD6"/>
    <w:rsid w:val="009B11E3"/>
    <w:rsid w:val="009B5318"/>
    <w:rsid w:val="009C7017"/>
    <w:rsid w:val="009D07AD"/>
    <w:rsid w:val="009D107B"/>
    <w:rsid w:val="009D2F2B"/>
    <w:rsid w:val="009E1393"/>
    <w:rsid w:val="009E5A9B"/>
    <w:rsid w:val="009E7B09"/>
    <w:rsid w:val="009F0759"/>
    <w:rsid w:val="009F2170"/>
    <w:rsid w:val="009F71CA"/>
    <w:rsid w:val="00A037C8"/>
    <w:rsid w:val="00A06A32"/>
    <w:rsid w:val="00A11ADF"/>
    <w:rsid w:val="00A176FA"/>
    <w:rsid w:val="00A202F2"/>
    <w:rsid w:val="00A203B4"/>
    <w:rsid w:val="00A20ECE"/>
    <w:rsid w:val="00A21DE4"/>
    <w:rsid w:val="00A31B0D"/>
    <w:rsid w:val="00A378C0"/>
    <w:rsid w:val="00A44C79"/>
    <w:rsid w:val="00A5052B"/>
    <w:rsid w:val="00A534CB"/>
    <w:rsid w:val="00A54BB8"/>
    <w:rsid w:val="00A5572B"/>
    <w:rsid w:val="00A60C56"/>
    <w:rsid w:val="00A620D9"/>
    <w:rsid w:val="00A670F0"/>
    <w:rsid w:val="00A70755"/>
    <w:rsid w:val="00A73F2B"/>
    <w:rsid w:val="00A77F4A"/>
    <w:rsid w:val="00A83A60"/>
    <w:rsid w:val="00A84EBC"/>
    <w:rsid w:val="00A8571F"/>
    <w:rsid w:val="00A87045"/>
    <w:rsid w:val="00A87516"/>
    <w:rsid w:val="00A90A34"/>
    <w:rsid w:val="00A94579"/>
    <w:rsid w:val="00AA055E"/>
    <w:rsid w:val="00AA68B0"/>
    <w:rsid w:val="00AA7B7D"/>
    <w:rsid w:val="00AB6C49"/>
    <w:rsid w:val="00AB6F32"/>
    <w:rsid w:val="00AB769C"/>
    <w:rsid w:val="00AC6FCA"/>
    <w:rsid w:val="00AD0C52"/>
    <w:rsid w:val="00AD3EAB"/>
    <w:rsid w:val="00AD7FD0"/>
    <w:rsid w:val="00AE252C"/>
    <w:rsid w:val="00AE6D47"/>
    <w:rsid w:val="00AE70D4"/>
    <w:rsid w:val="00AF0D46"/>
    <w:rsid w:val="00AF1462"/>
    <w:rsid w:val="00AF223F"/>
    <w:rsid w:val="00AF5F83"/>
    <w:rsid w:val="00AF60ED"/>
    <w:rsid w:val="00B1030F"/>
    <w:rsid w:val="00B128D5"/>
    <w:rsid w:val="00B27E14"/>
    <w:rsid w:val="00B3099E"/>
    <w:rsid w:val="00B30D67"/>
    <w:rsid w:val="00B3112F"/>
    <w:rsid w:val="00B31A47"/>
    <w:rsid w:val="00B32BD6"/>
    <w:rsid w:val="00B34994"/>
    <w:rsid w:val="00B35CB4"/>
    <w:rsid w:val="00B35CB8"/>
    <w:rsid w:val="00B41283"/>
    <w:rsid w:val="00B451D8"/>
    <w:rsid w:val="00B520C2"/>
    <w:rsid w:val="00B71FD6"/>
    <w:rsid w:val="00B86302"/>
    <w:rsid w:val="00B91DFB"/>
    <w:rsid w:val="00BA13DD"/>
    <w:rsid w:val="00BB29CC"/>
    <w:rsid w:val="00BB7008"/>
    <w:rsid w:val="00BB76FA"/>
    <w:rsid w:val="00BC0CA2"/>
    <w:rsid w:val="00BC0CC6"/>
    <w:rsid w:val="00BC53CA"/>
    <w:rsid w:val="00BC7AE9"/>
    <w:rsid w:val="00BE28D3"/>
    <w:rsid w:val="00BF2504"/>
    <w:rsid w:val="00BF5F0F"/>
    <w:rsid w:val="00C04707"/>
    <w:rsid w:val="00C21EF5"/>
    <w:rsid w:val="00C30123"/>
    <w:rsid w:val="00C33828"/>
    <w:rsid w:val="00C43810"/>
    <w:rsid w:val="00C44191"/>
    <w:rsid w:val="00C45F96"/>
    <w:rsid w:val="00C478F3"/>
    <w:rsid w:val="00C5650B"/>
    <w:rsid w:val="00C56F63"/>
    <w:rsid w:val="00C6305D"/>
    <w:rsid w:val="00C65D27"/>
    <w:rsid w:val="00C71DAC"/>
    <w:rsid w:val="00C82559"/>
    <w:rsid w:val="00C83BC6"/>
    <w:rsid w:val="00C864BE"/>
    <w:rsid w:val="00C908C8"/>
    <w:rsid w:val="00C934B3"/>
    <w:rsid w:val="00C972C8"/>
    <w:rsid w:val="00CA0340"/>
    <w:rsid w:val="00CA13E6"/>
    <w:rsid w:val="00CA3D94"/>
    <w:rsid w:val="00CA43A6"/>
    <w:rsid w:val="00CB51B8"/>
    <w:rsid w:val="00CB58CB"/>
    <w:rsid w:val="00CB62A2"/>
    <w:rsid w:val="00CC45E4"/>
    <w:rsid w:val="00CE17C4"/>
    <w:rsid w:val="00CE268F"/>
    <w:rsid w:val="00CF00BA"/>
    <w:rsid w:val="00CF60F8"/>
    <w:rsid w:val="00D06ED1"/>
    <w:rsid w:val="00D077DD"/>
    <w:rsid w:val="00D07D53"/>
    <w:rsid w:val="00D13777"/>
    <w:rsid w:val="00D168D6"/>
    <w:rsid w:val="00D27AD8"/>
    <w:rsid w:val="00D35A56"/>
    <w:rsid w:val="00D44F0F"/>
    <w:rsid w:val="00D4712F"/>
    <w:rsid w:val="00D472E7"/>
    <w:rsid w:val="00D52530"/>
    <w:rsid w:val="00D72039"/>
    <w:rsid w:val="00D739FD"/>
    <w:rsid w:val="00D8264C"/>
    <w:rsid w:val="00D843E6"/>
    <w:rsid w:val="00D853EC"/>
    <w:rsid w:val="00D91B49"/>
    <w:rsid w:val="00D93875"/>
    <w:rsid w:val="00DA1E6E"/>
    <w:rsid w:val="00DA39E2"/>
    <w:rsid w:val="00DA419C"/>
    <w:rsid w:val="00DA54C4"/>
    <w:rsid w:val="00DB10F7"/>
    <w:rsid w:val="00DB1C48"/>
    <w:rsid w:val="00DB2E09"/>
    <w:rsid w:val="00DB42A0"/>
    <w:rsid w:val="00DC1B5D"/>
    <w:rsid w:val="00DC4C22"/>
    <w:rsid w:val="00DD023A"/>
    <w:rsid w:val="00DD2818"/>
    <w:rsid w:val="00DD3B91"/>
    <w:rsid w:val="00DD5DC6"/>
    <w:rsid w:val="00DE1965"/>
    <w:rsid w:val="00DE3674"/>
    <w:rsid w:val="00DE67B7"/>
    <w:rsid w:val="00DE763A"/>
    <w:rsid w:val="00DF0E4B"/>
    <w:rsid w:val="00DF4F04"/>
    <w:rsid w:val="00DF5F5F"/>
    <w:rsid w:val="00E03DBB"/>
    <w:rsid w:val="00E10408"/>
    <w:rsid w:val="00E11EFC"/>
    <w:rsid w:val="00E12EAA"/>
    <w:rsid w:val="00E14D4B"/>
    <w:rsid w:val="00E164C7"/>
    <w:rsid w:val="00E24A50"/>
    <w:rsid w:val="00E272B2"/>
    <w:rsid w:val="00E334AE"/>
    <w:rsid w:val="00E334F4"/>
    <w:rsid w:val="00E356E5"/>
    <w:rsid w:val="00E371F5"/>
    <w:rsid w:val="00E37EE6"/>
    <w:rsid w:val="00E42248"/>
    <w:rsid w:val="00E42765"/>
    <w:rsid w:val="00E44FB8"/>
    <w:rsid w:val="00E473E9"/>
    <w:rsid w:val="00E50954"/>
    <w:rsid w:val="00E512A0"/>
    <w:rsid w:val="00E549A4"/>
    <w:rsid w:val="00E66D63"/>
    <w:rsid w:val="00E70183"/>
    <w:rsid w:val="00E70C41"/>
    <w:rsid w:val="00E7214D"/>
    <w:rsid w:val="00E73512"/>
    <w:rsid w:val="00E84AB6"/>
    <w:rsid w:val="00E924C4"/>
    <w:rsid w:val="00EB3E2C"/>
    <w:rsid w:val="00EB4AAB"/>
    <w:rsid w:val="00ED2119"/>
    <w:rsid w:val="00EF1C7B"/>
    <w:rsid w:val="00F003FB"/>
    <w:rsid w:val="00F0252E"/>
    <w:rsid w:val="00F030EC"/>
    <w:rsid w:val="00F03352"/>
    <w:rsid w:val="00F04CFB"/>
    <w:rsid w:val="00F071B0"/>
    <w:rsid w:val="00F11BB7"/>
    <w:rsid w:val="00F20AE6"/>
    <w:rsid w:val="00F349FF"/>
    <w:rsid w:val="00F41F73"/>
    <w:rsid w:val="00F42116"/>
    <w:rsid w:val="00F517EB"/>
    <w:rsid w:val="00F536B6"/>
    <w:rsid w:val="00F60C59"/>
    <w:rsid w:val="00F6211E"/>
    <w:rsid w:val="00F636DC"/>
    <w:rsid w:val="00F65D24"/>
    <w:rsid w:val="00F82AC5"/>
    <w:rsid w:val="00F8738F"/>
    <w:rsid w:val="00F877AA"/>
    <w:rsid w:val="00F951D8"/>
    <w:rsid w:val="00FA0F39"/>
    <w:rsid w:val="00FA2F8E"/>
    <w:rsid w:val="00FA732A"/>
    <w:rsid w:val="00FB2332"/>
    <w:rsid w:val="00FB3E4A"/>
    <w:rsid w:val="00FB6BE4"/>
    <w:rsid w:val="00FB72C0"/>
    <w:rsid w:val="00FC371D"/>
    <w:rsid w:val="00FD1384"/>
    <w:rsid w:val="00FD5853"/>
    <w:rsid w:val="00FD63CB"/>
    <w:rsid w:val="00FE1240"/>
    <w:rsid w:val="00FE3C1E"/>
    <w:rsid w:val="00FE7C7E"/>
    <w:rsid w:val="00FF690E"/>
    <w:rsid w:val="00FF7880"/>
    <w:rsid w:val="01212CD5"/>
    <w:rsid w:val="012242D3"/>
    <w:rsid w:val="013627B1"/>
    <w:rsid w:val="013E61E2"/>
    <w:rsid w:val="0170360E"/>
    <w:rsid w:val="018F287C"/>
    <w:rsid w:val="01A40C51"/>
    <w:rsid w:val="01DE14F7"/>
    <w:rsid w:val="01E471CB"/>
    <w:rsid w:val="020F12BA"/>
    <w:rsid w:val="023A007E"/>
    <w:rsid w:val="023F37AD"/>
    <w:rsid w:val="02416795"/>
    <w:rsid w:val="02511314"/>
    <w:rsid w:val="025C6318"/>
    <w:rsid w:val="02710B48"/>
    <w:rsid w:val="02A67BEC"/>
    <w:rsid w:val="02ED031B"/>
    <w:rsid w:val="02FF7E99"/>
    <w:rsid w:val="03167ABE"/>
    <w:rsid w:val="031A057A"/>
    <w:rsid w:val="03202ADD"/>
    <w:rsid w:val="032F672A"/>
    <w:rsid w:val="03497F0D"/>
    <w:rsid w:val="03500260"/>
    <w:rsid w:val="03892A60"/>
    <w:rsid w:val="03913071"/>
    <w:rsid w:val="03DB240E"/>
    <w:rsid w:val="03F6739B"/>
    <w:rsid w:val="04376F19"/>
    <w:rsid w:val="04AB0032"/>
    <w:rsid w:val="04B3099E"/>
    <w:rsid w:val="04EC4709"/>
    <w:rsid w:val="04FB7864"/>
    <w:rsid w:val="05050E6F"/>
    <w:rsid w:val="053975EE"/>
    <w:rsid w:val="05663F59"/>
    <w:rsid w:val="05883F57"/>
    <w:rsid w:val="05A212BC"/>
    <w:rsid w:val="05BF60C0"/>
    <w:rsid w:val="05D67D8E"/>
    <w:rsid w:val="060E5025"/>
    <w:rsid w:val="06283A43"/>
    <w:rsid w:val="0662512B"/>
    <w:rsid w:val="067747D3"/>
    <w:rsid w:val="068E1153"/>
    <w:rsid w:val="06E744CE"/>
    <w:rsid w:val="07240DFE"/>
    <w:rsid w:val="073F20F3"/>
    <w:rsid w:val="07446D0E"/>
    <w:rsid w:val="07465DB1"/>
    <w:rsid w:val="074B3407"/>
    <w:rsid w:val="07595244"/>
    <w:rsid w:val="0787323E"/>
    <w:rsid w:val="079808BF"/>
    <w:rsid w:val="07BC2556"/>
    <w:rsid w:val="07BC59C6"/>
    <w:rsid w:val="07FA5EB8"/>
    <w:rsid w:val="080F705B"/>
    <w:rsid w:val="08134B02"/>
    <w:rsid w:val="081C4DA3"/>
    <w:rsid w:val="08275B56"/>
    <w:rsid w:val="085602B5"/>
    <w:rsid w:val="085F69CC"/>
    <w:rsid w:val="08820A51"/>
    <w:rsid w:val="08874912"/>
    <w:rsid w:val="088A039C"/>
    <w:rsid w:val="08A055ED"/>
    <w:rsid w:val="08C265FE"/>
    <w:rsid w:val="08DA2865"/>
    <w:rsid w:val="08DD33A1"/>
    <w:rsid w:val="08EF7504"/>
    <w:rsid w:val="09374D88"/>
    <w:rsid w:val="095C52AC"/>
    <w:rsid w:val="0960001F"/>
    <w:rsid w:val="096802A0"/>
    <w:rsid w:val="096926EB"/>
    <w:rsid w:val="097B00E3"/>
    <w:rsid w:val="0986117B"/>
    <w:rsid w:val="09B1706F"/>
    <w:rsid w:val="09B975E1"/>
    <w:rsid w:val="09CF4F0F"/>
    <w:rsid w:val="0A0F696E"/>
    <w:rsid w:val="0A28031E"/>
    <w:rsid w:val="0A960E3D"/>
    <w:rsid w:val="0AA56D21"/>
    <w:rsid w:val="0ADD31D6"/>
    <w:rsid w:val="0AF3628F"/>
    <w:rsid w:val="0AF6406F"/>
    <w:rsid w:val="0B251745"/>
    <w:rsid w:val="0B261896"/>
    <w:rsid w:val="0BAE3AB7"/>
    <w:rsid w:val="0BCF5714"/>
    <w:rsid w:val="0BD41096"/>
    <w:rsid w:val="0BD845F9"/>
    <w:rsid w:val="0C064804"/>
    <w:rsid w:val="0C120997"/>
    <w:rsid w:val="0C4B047F"/>
    <w:rsid w:val="0C627A43"/>
    <w:rsid w:val="0CD13786"/>
    <w:rsid w:val="0CEF0265"/>
    <w:rsid w:val="0D110C4F"/>
    <w:rsid w:val="0D7929BD"/>
    <w:rsid w:val="0D89648B"/>
    <w:rsid w:val="0D9C13D8"/>
    <w:rsid w:val="0D9C2C0E"/>
    <w:rsid w:val="0DAA28D1"/>
    <w:rsid w:val="0DD06C7C"/>
    <w:rsid w:val="0DEE6A41"/>
    <w:rsid w:val="0DF10C62"/>
    <w:rsid w:val="0DF70CC1"/>
    <w:rsid w:val="0DFB1E41"/>
    <w:rsid w:val="0E1C0D6B"/>
    <w:rsid w:val="0E2942EF"/>
    <w:rsid w:val="0E8E225D"/>
    <w:rsid w:val="0EA76E1C"/>
    <w:rsid w:val="0EED5CC6"/>
    <w:rsid w:val="0EF7229C"/>
    <w:rsid w:val="0F0374FE"/>
    <w:rsid w:val="0F0720BC"/>
    <w:rsid w:val="0F3B4AA4"/>
    <w:rsid w:val="0F5F6E31"/>
    <w:rsid w:val="0F701672"/>
    <w:rsid w:val="0FDE0A20"/>
    <w:rsid w:val="0FE21395"/>
    <w:rsid w:val="100824F0"/>
    <w:rsid w:val="101B0AB1"/>
    <w:rsid w:val="10260E1F"/>
    <w:rsid w:val="105477D0"/>
    <w:rsid w:val="105517FE"/>
    <w:rsid w:val="10B8207C"/>
    <w:rsid w:val="10BF1A2C"/>
    <w:rsid w:val="10E87F18"/>
    <w:rsid w:val="10E917F5"/>
    <w:rsid w:val="10FA5BF1"/>
    <w:rsid w:val="11340E0C"/>
    <w:rsid w:val="11355BC5"/>
    <w:rsid w:val="113A21A1"/>
    <w:rsid w:val="11424B62"/>
    <w:rsid w:val="116F23E8"/>
    <w:rsid w:val="11826503"/>
    <w:rsid w:val="11A77DD3"/>
    <w:rsid w:val="11BD3153"/>
    <w:rsid w:val="11F4097D"/>
    <w:rsid w:val="12132BAA"/>
    <w:rsid w:val="121511E1"/>
    <w:rsid w:val="1232657E"/>
    <w:rsid w:val="1274720E"/>
    <w:rsid w:val="12A7719E"/>
    <w:rsid w:val="12B56410"/>
    <w:rsid w:val="12D2052D"/>
    <w:rsid w:val="12D90460"/>
    <w:rsid w:val="12E0359D"/>
    <w:rsid w:val="12FE7D01"/>
    <w:rsid w:val="132818E0"/>
    <w:rsid w:val="13E04CDB"/>
    <w:rsid w:val="13E90076"/>
    <w:rsid w:val="13F24ECC"/>
    <w:rsid w:val="13F70BE8"/>
    <w:rsid w:val="14023A54"/>
    <w:rsid w:val="145620C1"/>
    <w:rsid w:val="146938CB"/>
    <w:rsid w:val="146B040E"/>
    <w:rsid w:val="14CE5342"/>
    <w:rsid w:val="14D31DAF"/>
    <w:rsid w:val="14E72690"/>
    <w:rsid w:val="14F16A29"/>
    <w:rsid w:val="15264F53"/>
    <w:rsid w:val="15525368"/>
    <w:rsid w:val="155E61A1"/>
    <w:rsid w:val="156F4557"/>
    <w:rsid w:val="158D28F8"/>
    <w:rsid w:val="15903CC0"/>
    <w:rsid w:val="15F22707"/>
    <w:rsid w:val="15FB70AD"/>
    <w:rsid w:val="160328E7"/>
    <w:rsid w:val="16664CC2"/>
    <w:rsid w:val="166718DF"/>
    <w:rsid w:val="167A5AB7"/>
    <w:rsid w:val="16930926"/>
    <w:rsid w:val="16A94649"/>
    <w:rsid w:val="16AB4A01"/>
    <w:rsid w:val="172A3039"/>
    <w:rsid w:val="1735378C"/>
    <w:rsid w:val="17800EAB"/>
    <w:rsid w:val="178C3CF3"/>
    <w:rsid w:val="179E1B3D"/>
    <w:rsid w:val="17B15508"/>
    <w:rsid w:val="17B64B4E"/>
    <w:rsid w:val="17C85F56"/>
    <w:rsid w:val="17CF598E"/>
    <w:rsid w:val="17F917D5"/>
    <w:rsid w:val="186B56B7"/>
    <w:rsid w:val="18A706B9"/>
    <w:rsid w:val="18AC135A"/>
    <w:rsid w:val="18DA1674"/>
    <w:rsid w:val="19005DDE"/>
    <w:rsid w:val="19C874C1"/>
    <w:rsid w:val="1A10594F"/>
    <w:rsid w:val="1A19733A"/>
    <w:rsid w:val="1A381F10"/>
    <w:rsid w:val="1A6203D5"/>
    <w:rsid w:val="1A67796D"/>
    <w:rsid w:val="1A971745"/>
    <w:rsid w:val="1AB21FA4"/>
    <w:rsid w:val="1AB94A4F"/>
    <w:rsid w:val="1AFE4729"/>
    <w:rsid w:val="1B0A3F82"/>
    <w:rsid w:val="1B280C01"/>
    <w:rsid w:val="1B3B3F51"/>
    <w:rsid w:val="1B3E70B3"/>
    <w:rsid w:val="1B6E1D48"/>
    <w:rsid w:val="1B730D89"/>
    <w:rsid w:val="1B7F7A37"/>
    <w:rsid w:val="1B9700D8"/>
    <w:rsid w:val="1B9D6612"/>
    <w:rsid w:val="1BA525BE"/>
    <w:rsid w:val="1BF713A7"/>
    <w:rsid w:val="1C035F35"/>
    <w:rsid w:val="1C1231DA"/>
    <w:rsid w:val="1C7B4FB1"/>
    <w:rsid w:val="1CB11B06"/>
    <w:rsid w:val="1CE43C8A"/>
    <w:rsid w:val="1CEA2F2A"/>
    <w:rsid w:val="1D2763A9"/>
    <w:rsid w:val="1D475678"/>
    <w:rsid w:val="1D4A4435"/>
    <w:rsid w:val="1D77325B"/>
    <w:rsid w:val="1D7E79F5"/>
    <w:rsid w:val="1DB25B36"/>
    <w:rsid w:val="1DCF4116"/>
    <w:rsid w:val="1DEF40CD"/>
    <w:rsid w:val="1DFD14A7"/>
    <w:rsid w:val="1E9A6CF6"/>
    <w:rsid w:val="1EB4426B"/>
    <w:rsid w:val="1ECD42C4"/>
    <w:rsid w:val="1EDC730E"/>
    <w:rsid w:val="1EE61E60"/>
    <w:rsid w:val="1F1C7C57"/>
    <w:rsid w:val="1F2351F0"/>
    <w:rsid w:val="1F3233D2"/>
    <w:rsid w:val="1F3535E1"/>
    <w:rsid w:val="1F4C6010"/>
    <w:rsid w:val="1F5F2643"/>
    <w:rsid w:val="1F6A0239"/>
    <w:rsid w:val="1F995755"/>
    <w:rsid w:val="1FAE4B27"/>
    <w:rsid w:val="1FD07CE0"/>
    <w:rsid w:val="1FD94F95"/>
    <w:rsid w:val="1FFB1882"/>
    <w:rsid w:val="203C13C2"/>
    <w:rsid w:val="203F2C06"/>
    <w:rsid w:val="20935529"/>
    <w:rsid w:val="20CC23E1"/>
    <w:rsid w:val="210D64CE"/>
    <w:rsid w:val="212E56CB"/>
    <w:rsid w:val="215831A9"/>
    <w:rsid w:val="217640DE"/>
    <w:rsid w:val="217E1DB6"/>
    <w:rsid w:val="218076B5"/>
    <w:rsid w:val="21A5207B"/>
    <w:rsid w:val="21BF1A95"/>
    <w:rsid w:val="220E0F06"/>
    <w:rsid w:val="222F390D"/>
    <w:rsid w:val="22370A82"/>
    <w:rsid w:val="233A4603"/>
    <w:rsid w:val="233B143B"/>
    <w:rsid w:val="23AE4491"/>
    <w:rsid w:val="23D56681"/>
    <w:rsid w:val="240739F0"/>
    <w:rsid w:val="240E5241"/>
    <w:rsid w:val="244A1DD8"/>
    <w:rsid w:val="24511E3F"/>
    <w:rsid w:val="246F1DB3"/>
    <w:rsid w:val="247104F9"/>
    <w:rsid w:val="24814B09"/>
    <w:rsid w:val="248C5333"/>
    <w:rsid w:val="249918D4"/>
    <w:rsid w:val="24B960F8"/>
    <w:rsid w:val="24D5203C"/>
    <w:rsid w:val="24E305B3"/>
    <w:rsid w:val="2509617B"/>
    <w:rsid w:val="255049DB"/>
    <w:rsid w:val="2558779F"/>
    <w:rsid w:val="258108E2"/>
    <w:rsid w:val="2582083B"/>
    <w:rsid w:val="25844348"/>
    <w:rsid w:val="258B28C3"/>
    <w:rsid w:val="25B753DF"/>
    <w:rsid w:val="25C378C8"/>
    <w:rsid w:val="25C60D09"/>
    <w:rsid w:val="262C4EBA"/>
    <w:rsid w:val="265F25E4"/>
    <w:rsid w:val="269821E9"/>
    <w:rsid w:val="26AC3A6A"/>
    <w:rsid w:val="26CA78D4"/>
    <w:rsid w:val="27257379"/>
    <w:rsid w:val="27416FA7"/>
    <w:rsid w:val="27534580"/>
    <w:rsid w:val="27546E9A"/>
    <w:rsid w:val="278A18D2"/>
    <w:rsid w:val="279A3373"/>
    <w:rsid w:val="27C070A1"/>
    <w:rsid w:val="280539EE"/>
    <w:rsid w:val="28331A56"/>
    <w:rsid w:val="283C798F"/>
    <w:rsid w:val="284470C1"/>
    <w:rsid w:val="284C4266"/>
    <w:rsid w:val="284D302B"/>
    <w:rsid w:val="28652973"/>
    <w:rsid w:val="28687EF4"/>
    <w:rsid w:val="28A543D8"/>
    <w:rsid w:val="28CB3F50"/>
    <w:rsid w:val="28DA4193"/>
    <w:rsid w:val="28EE2D15"/>
    <w:rsid w:val="28F00E81"/>
    <w:rsid w:val="290F1303"/>
    <w:rsid w:val="294C4E45"/>
    <w:rsid w:val="297541C9"/>
    <w:rsid w:val="29833044"/>
    <w:rsid w:val="298C20B5"/>
    <w:rsid w:val="29D45A08"/>
    <w:rsid w:val="29E26554"/>
    <w:rsid w:val="29E613CF"/>
    <w:rsid w:val="29F6324E"/>
    <w:rsid w:val="2A0D18E3"/>
    <w:rsid w:val="2A442408"/>
    <w:rsid w:val="2A7228D5"/>
    <w:rsid w:val="2A8E6984"/>
    <w:rsid w:val="2AC45412"/>
    <w:rsid w:val="2ACA0963"/>
    <w:rsid w:val="2AD92FEF"/>
    <w:rsid w:val="2B050994"/>
    <w:rsid w:val="2B303F00"/>
    <w:rsid w:val="2B3B1707"/>
    <w:rsid w:val="2B40163B"/>
    <w:rsid w:val="2B674A91"/>
    <w:rsid w:val="2BA47406"/>
    <w:rsid w:val="2BA80F4C"/>
    <w:rsid w:val="2BDA6908"/>
    <w:rsid w:val="2C554B1F"/>
    <w:rsid w:val="2C820DC9"/>
    <w:rsid w:val="2C895543"/>
    <w:rsid w:val="2C8D5D60"/>
    <w:rsid w:val="2C8E6BD9"/>
    <w:rsid w:val="2C8F3D5D"/>
    <w:rsid w:val="2C994ED7"/>
    <w:rsid w:val="2D0E5C37"/>
    <w:rsid w:val="2D76477A"/>
    <w:rsid w:val="2DAC1E84"/>
    <w:rsid w:val="2DCD0A11"/>
    <w:rsid w:val="2DDB14F6"/>
    <w:rsid w:val="2E133F86"/>
    <w:rsid w:val="2E1967A0"/>
    <w:rsid w:val="2E21674A"/>
    <w:rsid w:val="2E451E43"/>
    <w:rsid w:val="2E5B0F11"/>
    <w:rsid w:val="2E677E28"/>
    <w:rsid w:val="2E8A1592"/>
    <w:rsid w:val="2E9E25BD"/>
    <w:rsid w:val="2ECF3760"/>
    <w:rsid w:val="2EE97823"/>
    <w:rsid w:val="2EEF386B"/>
    <w:rsid w:val="2EF30CD1"/>
    <w:rsid w:val="2EFF2BA5"/>
    <w:rsid w:val="2F1C5E64"/>
    <w:rsid w:val="2F2B701F"/>
    <w:rsid w:val="2F37656A"/>
    <w:rsid w:val="2F662571"/>
    <w:rsid w:val="2F9E1930"/>
    <w:rsid w:val="2FCB386C"/>
    <w:rsid w:val="2FD12913"/>
    <w:rsid w:val="2FE72084"/>
    <w:rsid w:val="2FEE7310"/>
    <w:rsid w:val="2FF62B88"/>
    <w:rsid w:val="30332B06"/>
    <w:rsid w:val="305A2CE0"/>
    <w:rsid w:val="30D2423D"/>
    <w:rsid w:val="30FB4FA8"/>
    <w:rsid w:val="30FC0B24"/>
    <w:rsid w:val="30FE2518"/>
    <w:rsid w:val="31261369"/>
    <w:rsid w:val="31267C32"/>
    <w:rsid w:val="31291B85"/>
    <w:rsid w:val="31294344"/>
    <w:rsid w:val="312A17C7"/>
    <w:rsid w:val="316B2857"/>
    <w:rsid w:val="3176306D"/>
    <w:rsid w:val="318F27FC"/>
    <w:rsid w:val="319313A9"/>
    <w:rsid w:val="31967609"/>
    <w:rsid w:val="31A1198D"/>
    <w:rsid w:val="31AD31E1"/>
    <w:rsid w:val="31AE5FC1"/>
    <w:rsid w:val="31DF216D"/>
    <w:rsid w:val="31E60E9F"/>
    <w:rsid w:val="31FC4E6F"/>
    <w:rsid w:val="320B405E"/>
    <w:rsid w:val="320E382B"/>
    <w:rsid w:val="324A1519"/>
    <w:rsid w:val="32544FB6"/>
    <w:rsid w:val="32802646"/>
    <w:rsid w:val="32D95B13"/>
    <w:rsid w:val="32FB4834"/>
    <w:rsid w:val="331F38CA"/>
    <w:rsid w:val="33721B98"/>
    <w:rsid w:val="33AE42A5"/>
    <w:rsid w:val="33B2026B"/>
    <w:rsid w:val="33D63190"/>
    <w:rsid w:val="33FB07F2"/>
    <w:rsid w:val="3416624D"/>
    <w:rsid w:val="3434652B"/>
    <w:rsid w:val="343A368F"/>
    <w:rsid w:val="34514926"/>
    <w:rsid w:val="345C62F8"/>
    <w:rsid w:val="34674D7F"/>
    <w:rsid w:val="348B6F28"/>
    <w:rsid w:val="34906F65"/>
    <w:rsid w:val="34977F25"/>
    <w:rsid w:val="34CC64BD"/>
    <w:rsid w:val="34D8699D"/>
    <w:rsid w:val="34F2344A"/>
    <w:rsid w:val="354C1301"/>
    <w:rsid w:val="355C665B"/>
    <w:rsid w:val="356356DE"/>
    <w:rsid w:val="35E127E3"/>
    <w:rsid w:val="360B60DB"/>
    <w:rsid w:val="360C1C1F"/>
    <w:rsid w:val="360F0E6D"/>
    <w:rsid w:val="361A48B6"/>
    <w:rsid w:val="36493E92"/>
    <w:rsid w:val="366D2F6A"/>
    <w:rsid w:val="36B77ECB"/>
    <w:rsid w:val="36B87A7C"/>
    <w:rsid w:val="36DB7058"/>
    <w:rsid w:val="371D704C"/>
    <w:rsid w:val="37205599"/>
    <w:rsid w:val="37495480"/>
    <w:rsid w:val="37866ADA"/>
    <w:rsid w:val="37AD4F9E"/>
    <w:rsid w:val="3821204D"/>
    <w:rsid w:val="385C4BB3"/>
    <w:rsid w:val="385F25A5"/>
    <w:rsid w:val="38882007"/>
    <w:rsid w:val="388E34D4"/>
    <w:rsid w:val="38C61A80"/>
    <w:rsid w:val="38DE12B8"/>
    <w:rsid w:val="38ED7B0A"/>
    <w:rsid w:val="396F2D24"/>
    <w:rsid w:val="39924D42"/>
    <w:rsid w:val="39AD1B7B"/>
    <w:rsid w:val="39C63440"/>
    <w:rsid w:val="39D17959"/>
    <w:rsid w:val="39D210D0"/>
    <w:rsid w:val="3A254370"/>
    <w:rsid w:val="3A5F014B"/>
    <w:rsid w:val="3A62434D"/>
    <w:rsid w:val="3AA126C9"/>
    <w:rsid w:val="3AA52853"/>
    <w:rsid w:val="3AB02FA5"/>
    <w:rsid w:val="3B0E0FCE"/>
    <w:rsid w:val="3B123C66"/>
    <w:rsid w:val="3B8107CA"/>
    <w:rsid w:val="3BC857A7"/>
    <w:rsid w:val="3BCF171F"/>
    <w:rsid w:val="3BF515B8"/>
    <w:rsid w:val="3C135F01"/>
    <w:rsid w:val="3C243C4B"/>
    <w:rsid w:val="3C460065"/>
    <w:rsid w:val="3C53008C"/>
    <w:rsid w:val="3C6477B1"/>
    <w:rsid w:val="3C76173F"/>
    <w:rsid w:val="3C761E16"/>
    <w:rsid w:val="3C7921E9"/>
    <w:rsid w:val="3C8C1F1C"/>
    <w:rsid w:val="3CBA02E6"/>
    <w:rsid w:val="3CD47F47"/>
    <w:rsid w:val="3CFA0E93"/>
    <w:rsid w:val="3D001FC2"/>
    <w:rsid w:val="3D09403B"/>
    <w:rsid w:val="3D16393C"/>
    <w:rsid w:val="3D172B8F"/>
    <w:rsid w:val="3D3A1978"/>
    <w:rsid w:val="3D70190A"/>
    <w:rsid w:val="3D98044D"/>
    <w:rsid w:val="3DBD4357"/>
    <w:rsid w:val="3DD314BA"/>
    <w:rsid w:val="3DE74F30"/>
    <w:rsid w:val="3DEB7514"/>
    <w:rsid w:val="3DF8713D"/>
    <w:rsid w:val="3E2B306F"/>
    <w:rsid w:val="3E586B08"/>
    <w:rsid w:val="3E690D54"/>
    <w:rsid w:val="3EF46157"/>
    <w:rsid w:val="3EFB6053"/>
    <w:rsid w:val="3F1C7438"/>
    <w:rsid w:val="3F22421D"/>
    <w:rsid w:val="3F631A22"/>
    <w:rsid w:val="3F7442A0"/>
    <w:rsid w:val="3F7A27B2"/>
    <w:rsid w:val="3FA24476"/>
    <w:rsid w:val="3FA6783C"/>
    <w:rsid w:val="3FAD7FFA"/>
    <w:rsid w:val="3FCA13FD"/>
    <w:rsid w:val="3FD109F4"/>
    <w:rsid w:val="3FDF0913"/>
    <w:rsid w:val="3FE03829"/>
    <w:rsid w:val="3FEB5E51"/>
    <w:rsid w:val="400B75FC"/>
    <w:rsid w:val="40167331"/>
    <w:rsid w:val="405B02ED"/>
    <w:rsid w:val="4061165D"/>
    <w:rsid w:val="408B6047"/>
    <w:rsid w:val="408E056E"/>
    <w:rsid w:val="40D043A1"/>
    <w:rsid w:val="40E666D6"/>
    <w:rsid w:val="40EF02C4"/>
    <w:rsid w:val="40F57A4A"/>
    <w:rsid w:val="41124178"/>
    <w:rsid w:val="411E510D"/>
    <w:rsid w:val="412577A0"/>
    <w:rsid w:val="412657AB"/>
    <w:rsid w:val="416D1BB0"/>
    <w:rsid w:val="41847666"/>
    <w:rsid w:val="41B665C2"/>
    <w:rsid w:val="41C218EF"/>
    <w:rsid w:val="41C81181"/>
    <w:rsid w:val="41D71B30"/>
    <w:rsid w:val="42046B2E"/>
    <w:rsid w:val="42075BA1"/>
    <w:rsid w:val="422A0AB8"/>
    <w:rsid w:val="42333E44"/>
    <w:rsid w:val="423A0160"/>
    <w:rsid w:val="429531AD"/>
    <w:rsid w:val="42956613"/>
    <w:rsid w:val="42A64FB1"/>
    <w:rsid w:val="42E14644"/>
    <w:rsid w:val="42F11EE3"/>
    <w:rsid w:val="430D7DB9"/>
    <w:rsid w:val="43106CD7"/>
    <w:rsid w:val="4311679A"/>
    <w:rsid w:val="433E7706"/>
    <w:rsid w:val="43486FC5"/>
    <w:rsid w:val="43553AB7"/>
    <w:rsid w:val="437F7839"/>
    <w:rsid w:val="43DB49F0"/>
    <w:rsid w:val="43DE2931"/>
    <w:rsid w:val="43E80DDE"/>
    <w:rsid w:val="43F03311"/>
    <w:rsid w:val="43F26AE3"/>
    <w:rsid w:val="43FE7D82"/>
    <w:rsid w:val="44112D07"/>
    <w:rsid w:val="441D71E2"/>
    <w:rsid w:val="44402DED"/>
    <w:rsid w:val="444906F3"/>
    <w:rsid w:val="445B51E7"/>
    <w:rsid w:val="447D2557"/>
    <w:rsid w:val="44807FDA"/>
    <w:rsid w:val="44842DAB"/>
    <w:rsid w:val="44E90A3A"/>
    <w:rsid w:val="45035838"/>
    <w:rsid w:val="454315E6"/>
    <w:rsid w:val="457241C6"/>
    <w:rsid w:val="45B36658"/>
    <w:rsid w:val="45D93CF8"/>
    <w:rsid w:val="45D97854"/>
    <w:rsid w:val="45F35D2E"/>
    <w:rsid w:val="46054042"/>
    <w:rsid w:val="460E7C46"/>
    <w:rsid w:val="460F2BC3"/>
    <w:rsid w:val="463A4620"/>
    <w:rsid w:val="463E467C"/>
    <w:rsid w:val="46512144"/>
    <w:rsid w:val="467B7BAE"/>
    <w:rsid w:val="46AD0D44"/>
    <w:rsid w:val="46D8305C"/>
    <w:rsid w:val="46FB6829"/>
    <w:rsid w:val="471349C7"/>
    <w:rsid w:val="471875A7"/>
    <w:rsid w:val="47347C1D"/>
    <w:rsid w:val="47351CF2"/>
    <w:rsid w:val="473867FC"/>
    <w:rsid w:val="4789546C"/>
    <w:rsid w:val="478B5513"/>
    <w:rsid w:val="479B1265"/>
    <w:rsid w:val="47FE19DE"/>
    <w:rsid w:val="4804317D"/>
    <w:rsid w:val="480F0B53"/>
    <w:rsid w:val="48814D1C"/>
    <w:rsid w:val="488162D3"/>
    <w:rsid w:val="48A9466D"/>
    <w:rsid w:val="48BA44B8"/>
    <w:rsid w:val="48E44E8E"/>
    <w:rsid w:val="4913307D"/>
    <w:rsid w:val="49143FE3"/>
    <w:rsid w:val="49217FAF"/>
    <w:rsid w:val="4925485D"/>
    <w:rsid w:val="493201F1"/>
    <w:rsid w:val="49366D6C"/>
    <w:rsid w:val="494600F6"/>
    <w:rsid w:val="495602E5"/>
    <w:rsid w:val="497508F4"/>
    <w:rsid w:val="49753D38"/>
    <w:rsid w:val="498E4CFA"/>
    <w:rsid w:val="49AE2DA6"/>
    <w:rsid w:val="49BC54C3"/>
    <w:rsid w:val="49D12759"/>
    <w:rsid w:val="4A196989"/>
    <w:rsid w:val="4A372D4C"/>
    <w:rsid w:val="4A444DFB"/>
    <w:rsid w:val="4A66351B"/>
    <w:rsid w:val="4A74582E"/>
    <w:rsid w:val="4A881444"/>
    <w:rsid w:val="4A9A343F"/>
    <w:rsid w:val="4AC910FC"/>
    <w:rsid w:val="4AD72C0B"/>
    <w:rsid w:val="4B107A32"/>
    <w:rsid w:val="4B14465C"/>
    <w:rsid w:val="4B3B3D5F"/>
    <w:rsid w:val="4B3D3D4F"/>
    <w:rsid w:val="4B6B4F2A"/>
    <w:rsid w:val="4BC0258A"/>
    <w:rsid w:val="4BE0268A"/>
    <w:rsid w:val="4BEB2C99"/>
    <w:rsid w:val="4C60482B"/>
    <w:rsid w:val="4C807C01"/>
    <w:rsid w:val="4C8A6B8D"/>
    <w:rsid w:val="4CA13CE1"/>
    <w:rsid w:val="4CB56D37"/>
    <w:rsid w:val="4CF21EEA"/>
    <w:rsid w:val="4D2B308B"/>
    <w:rsid w:val="4D5D6816"/>
    <w:rsid w:val="4D9D560B"/>
    <w:rsid w:val="4DC96E21"/>
    <w:rsid w:val="4DDE00FE"/>
    <w:rsid w:val="4DEF4E5C"/>
    <w:rsid w:val="4E0B5EAB"/>
    <w:rsid w:val="4E0F49A8"/>
    <w:rsid w:val="4E1C6E78"/>
    <w:rsid w:val="4E4C1024"/>
    <w:rsid w:val="4E7331E2"/>
    <w:rsid w:val="4EE554BC"/>
    <w:rsid w:val="4F2F5A38"/>
    <w:rsid w:val="4F397588"/>
    <w:rsid w:val="4F717AA7"/>
    <w:rsid w:val="4F7A20A8"/>
    <w:rsid w:val="4F93316A"/>
    <w:rsid w:val="4FE43F41"/>
    <w:rsid w:val="5002533F"/>
    <w:rsid w:val="50281313"/>
    <w:rsid w:val="502D14DE"/>
    <w:rsid w:val="50334005"/>
    <w:rsid w:val="503A5393"/>
    <w:rsid w:val="50B5437D"/>
    <w:rsid w:val="50D91050"/>
    <w:rsid w:val="510178F5"/>
    <w:rsid w:val="51305222"/>
    <w:rsid w:val="51580BBD"/>
    <w:rsid w:val="516C30E8"/>
    <w:rsid w:val="5175747B"/>
    <w:rsid w:val="518B6549"/>
    <w:rsid w:val="519909BB"/>
    <w:rsid w:val="519B092F"/>
    <w:rsid w:val="51AA02F7"/>
    <w:rsid w:val="51BB2504"/>
    <w:rsid w:val="51E1510C"/>
    <w:rsid w:val="51E17976"/>
    <w:rsid w:val="5208399B"/>
    <w:rsid w:val="521E4B2D"/>
    <w:rsid w:val="523538C6"/>
    <w:rsid w:val="52501A4A"/>
    <w:rsid w:val="52667B60"/>
    <w:rsid w:val="528D3EA0"/>
    <w:rsid w:val="52C339E3"/>
    <w:rsid w:val="52ED61D6"/>
    <w:rsid w:val="536A652E"/>
    <w:rsid w:val="53A019B1"/>
    <w:rsid w:val="53DF421F"/>
    <w:rsid w:val="53E93ADE"/>
    <w:rsid w:val="54343BA2"/>
    <w:rsid w:val="545253A1"/>
    <w:rsid w:val="54591405"/>
    <w:rsid w:val="549423A1"/>
    <w:rsid w:val="54D15BFA"/>
    <w:rsid w:val="54F41075"/>
    <w:rsid w:val="54F950FB"/>
    <w:rsid w:val="55182ABF"/>
    <w:rsid w:val="5527238A"/>
    <w:rsid w:val="552E2913"/>
    <w:rsid w:val="5565499D"/>
    <w:rsid w:val="556C424A"/>
    <w:rsid w:val="556C6CAC"/>
    <w:rsid w:val="558F43BF"/>
    <w:rsid w:val="55937A20"/>
    <w:rsid w:val="55BD43BF"/>
    <w:rsid w:val="55D67BA8"/>
    <w:rsid w:val="55E706CE"/>
    <w:rsid w:val="55E86F90"/>
    <w:rsid w:val="560B06DE"/>
    <w:rsid w:val="560E6EE6"/>
    <w:rsid w:val="5646676D"/>
    <w:rsid w:val="564852BC"/>
    <w:rsid w:val="564B3AB0"/>
    <w:rsid w:val="565F3E59"/>
    <w:rsid w:val="567C6D4F"/>
    <w:rsid w:val="567F7FA4"/>
    <w:rsid w:val="568963C4"/>
    <w:rsid w:val="568F71F7"/>
    <w:rsid w:val="56A02CA6"/>
    <w:rsid w:val="56A24BF9"/>
    <w:rsid w:val="56B17B49"/>
    <w:rsid w:val="56E10C5F"/>
    <w:rsid w:val="56E11E48"/>
    <w:rsid w:val="56E209C5"/>
    <w:rsid w:val="56E72271"/>
    <w:rsid w:val="5706625C"/>
    <w:rsid w:val="575051A4"/>
    <w:rsid w:val="57D40FC7"/>
    <w:rsid w:val="57D55AD6"/>
    <w:rsid w:val="57DD31D4"/>
    <w:rsid w:val="57E502DB"/>
    <w:rsid w:val="58056EA2"/>
    <w:rsid w:val="582D6CF3"/>
    <w:rsid w:val="584976A2"/>
    <w:rsid w:val="585C65A8"/>
    <w:rsid w:val="585D2567"/>
    <w:rsid w:val="58803CA1"/>
    <w:rsid w:val="588C025F"/>
    <w:rsid w:val="58900396"/>
    <w:rsid w:val="58AC7D0E"/>
    <w:rsid w:val="58B35010"/>
    <w:rsid w:val="58D004CB"/>
    <w:rsid w:val="59036487"/>
    <w:rsid w:val="593E5EF4"/>
    <w:rsid w:val="594559E1"/>
    <w:rsid w:val="59601568"/>
    <w:rsid w:val="59701E3C"/>
    <w:rsid w:val="59B83A67"/>
    <w:rsid w:val="59D56ED0"/>
    <w:rsid w:val="59F81EAC"/>
    <w:rsid w:val="5A2055FA"/>
    <w:rsid w:val="5A671258"/>
    <w:rsid w:val="5A69244D"/>
    <w:rsid w:val="5A893518"/>
    <w:rsid w:val="5AA81FF6"/>
    <w:rsid w:val="5AD3163A"/>
    <w:rsid w:val="5AF6393C"/>
    <w:rsid w:val="5B1227BE"/>
    <w:rsid w:val="5B423BDA"/>
    <w:rsid w:val="5B762629"/>
    <w:rsid w:val="5B801972"/>
    <w:rsid w:val="5BA84210"/>
    <w:rsid w:val="5BC06490"/>
    <w:rsid w:val="5BE47D23"/>
    <w:rsid w:val="5C0E2A0D"/>
    <w:rsid w:val="5C3B5199"/>
    <w:rsid w:val="5C6F7803"/>
    <w:rsid w:val="5C78796F"/>
    <w:rsid w:val="5CD945FC"/>
    <w:rsid w:val="5CFD6A2F"/>
    <w:rsid w:val="5D2015DA"/>
    <w:rsid w:val="5D257AE4"/>
    <w:rsid w:val="5D2C0E7A"/>
    <w:rsid w:val="5D4E56CE"/>
    <w:rsid w:val="5D737846"/>
    <w:rsid w:val="5D8774BB"/>
    <w:rsid w:val="5D997B9D"/>
    <w:rsid w:val="5DA40B6B"/>
    <w:rsid w:val="5DB07ED3"/>
    <w:rsid w:val="5DBA5079"/>
    <w:rsid w:val="5DC307FA"/>
    <w:rsid w:val="5E305E4D"/>
    <w:rsid w:val="5E540064"/>
    <w:rsid w:val="5E8C743B"/>
    <w:rsid w:val="5E977D6B"/>
    <w:rsid w:val="5E9828B2"/>
    <w:rsid w:val="5EA165BA"/>
    <w:rsid w:val="5EAD68AB"/>
    <w:rsid w:val="5EEF324C"/>
    <w:rsid w:val="5F1B0316"/>
    <w:rsid w:val="5F230066"/>
    <w:rsid w:val="6024439E"/>
    <w:rsid w:val="6028345A"/>
    <w:rsid w:val="60293340"/>
    <w:rsid w:val="60341DFF"/>
    <w:rsid w:val="609F65A9"/>
    <w:rsid w:val="60FE6D20"/>
    <w:rsid w:val="610F76D2"/>
    <w:rsid w:val="61497D28"/>
    <w:rsid w:val="616552FD"/>
    <w:rsid w:val="619104D9"/>
    <w:rsid w:val="61E86359"/>
    <w:rsid w:val="61F40BD2"/>
    <w:rsid w:val="624E2765"/>
    <w:rsid w:val="624E7090"/>
    <w:rsid w:val="625D4BD7"/>
    <w:rsid w:val="626B762E"/>
    <w:rsid w:val="627B1AB5"/>
    <w:rsid w:val="62E20572"/>
    <w:rsid w:val="633825BF"/>
    <w:rsid w:val="637A1965"/>
    <w:rsid w:val="637E06AE"/>
    <w:rsid w:val="6380298A"/>
    <w:rsid w:val="63D61C77"/>
    <w:rsid w:val="63E458EA"/>
    <w:rsid w:val="63EC7F81"/>
    <w:rsid w:val="63FD18B5"/>
    <w:rsid w:val="64103DA1"/>
    <w:rsid w:val="64111D84"/>
    <w:rsid w:val="645B2869"/>
    <w:rsid w:val="647729F1"/>
    <w:rsid w:val="64772D5C"/>
    <w:rsid w:val="64E673C8"/>
    <w:rsid w:val="656E7B61"/>
    <w:rsid w:val="657C227E"/>
    <w:rsid w:val="658B7348"/>
    <w:rsid w:val="65A30AC6"/>
    <w:rsid w:val="65C32A4A"/>
    <w:rsid w:val="65CA5408"/>
    <w:rsid w:val="661E3335"/>
    <w:rsid w:val="66280FA6"/>
    <w:rsid w:val="664A1868"/>
    <w:rsid w:val="666A0E45"/>
    <w:rsid w:val="666F2792"/>
    <w:rsid w:val="66772BBB"/>
    <w:rsid w:val="66DB4D83"/>
    <w:rsid w:val="66E40700"/>
    <w:rsid w:val="67185F8A"/>
    <w:rsid w:val="67185FD7"/>
    <w:rsid w:val="674C326A"/>
    <w:rsid w:val="675E6CEC"/>
    <w:rsid w:val="676A4610"/>
    <w:rsid w:val="67784CC7"/>
    <w:rsid w:val="6784366C"/>
    <w:rsid w:val="67A41618"/>
    <w:rsid w:val="67A6044B"/>
    <w:rsid w:val="67C633D9"/>
    <w:rsid w:val="67F307F2"/>
    <w:rsid w:val="67F51E74"/>
    <w:rsid w:val="67FB2003"/>
    <w:rsid w:val="68102E33"/>
    <w:rsid w:val="6826711C"/>
    <w:rsid w:val="68566F7D"/>
    <w:rsid w:val="68664D94"/>
    <w:rsid w:val="688D6EE4"/>
    <w:rsid w:val="689033D6"/>
    <w:rsid w:val="68904484"/>
    <w:rsid w:val="68E54CA7"/>
    <w:rsid w:val="68FF32F5"/>
    <w:rsid w:val="690F1D17"/>
    <w:rsid w:val="692C18A6"/>
    <w:rsid w:val="693B41FE"/>
    <w:rsid w:val="69451559"/>
    <w:rsid w:val="695D5F23"/>
    <w:rsid w:val="6962493A"/>
    <w:rsid w:val="69923207"/>
    <w:rsid w:val="69B2603C"/>
    <w:rsid w:val="69E55F18"/>
    <w:rsid w:val="69E667D2"/>
    <w:rsid w:val="6A6F2322"/>
    <w:rsid w:val="6AAF0A00"/>
    <w:rsid w:val="6AC364B9"/>
    <w:rsid w:val="6AD93CCF"/>
    <w:rsid w:val="6ADE0BE1"/>
    <w:rsid w:val="6B473025"/>
    <w:rsid w:val="6B7403D7"/>
    <w:rsid w:val="6B83540F"/>
    <w:rsid w:val="6BA63569"/>
    <w:rsid w:val="6BD12071"/>
    <w:rsid w:val="6BFD3031"/>
    <w:rsid w:val="6C0E0099"/>
    <w:rsid w:val="6C105420"/>
    <w:rsid w:val="6C271C10"/>
    <w:rsid w:val="6C3061D0"/>
    <w:rsid w:val="6C442161"/>
    <w:rsid w:val="6C510171"/>
    <w:rsid w:val="6C584D41"/>
    <w:rsid w:val="6C894921"/>
    <w:rsid w:val="6C940A69"/>
    <w:rsid w:val="6CA515B1"/>
    <w:rsid w:val="6CB542C8"/>
    <w:rsid w:val="6CC22541"/>
    <w:rsid w:val="6CC8224D"/>
    <w:rsid w:val="6CCD403F"/>
    <w:rsid w:val="6CE1330F"/>
    <w:rsid w:val="6CEB1C3C"/>
    <w:rsid w:val="6D1E6201"/>
    <w:rsid w:val="6D443964"/>
    <w:rsid w:val="6D6D0C94"/>
    <w:rsid w:val="6DCE0BA3"/>
    <w:rsid w:val="6DD26A6D"/>
    <w:rsid w:val="6DEC217F"/>
    <w:rsid w:val="6DFC55BD"/>
    <w:rsid w:val="6E103896"/>
    <w:rsid w:val="6E163FA2"/>
    <w:rsid w:val="6E21777D"/>
    <w:rsid w:val="6E3D31F2"/>
    <w:rsid w:val="6E7736BC"/>
    <w:rsid w:val="6E8F758B"/>
    <w:rsid w:val="6EC07DBA"/>
    <w:rsid w:val="6ED0406F"/>
    <w:rsid w:val="6EE8015D"/>
    <w:rsid w:val="6EEB5D7F"/>
    <w:rsid w:val="6F19739C"/>
    <w:rsid w:val="6F1B634E"/>
    <w:rsid w:val="6F413F27"/>
    <w:rsid w:val="6F4575BC"/>
    <w:rsid w:val="6F530105"/>
    <w:rsid w:val="6F6224EC"/>
    <w:rsid w:val="6FAD03FB"/>
    <w:rsid w:val="6FB8233D"/>
    <w:rsid w:val="6FDC3ECD"/>
    <w:rsid w:val="6FDF0963"/>
    <w:rsid w:val="6FE13745"/>
    <w:rsid w:val="6FF92547"/>
    <w:rsid w:val="6FFF64DB"/>
    <w:rsid w:val="704C6CF1"/>
    <w:rsid w:val="706978A3"/>
    <w:rsid w:val="707F68E1"/>
    <w:rsid w:val="70CB2BBE"/>
    <w:rsid w:val="714C1284"/>
    <w:rsid w:val="7159105E"/>
    <w:rsid w:val="71782F6D"/>
    <w:rsid w:val="71836E9D"/>
    <w:rsid w:val="71876CD5"/>
    <w:rsid w:val="719746CE"/>
    <w:rsid w:val="71EA67C2"/>
    <w:rsid w:val="71EC3480"/>
    <w:rsid w:val="71EC42E8"/>
    <w:rsid w:val="72122CC4"/>
    <w:rsid w:val="72126F5E"/>
    <w:rsid w:val="7216013B"/>
    <w:rsid w:val="722A671B"/>
    <w:rsid w:val="722E2B52"/>
    <w:rsid w:val="72352991"/>
    <w:rsid w:val="723563E3"/>
    <w:rsid w:val="723C0EBC"/>
    <w:rsid w:val="723E75B6"/>
    <w:rsid w:val="726021A2"/>
    <w:rsid w:val="728564EA"/>
    <w:rsid w:val="72DD2263"/>
    <w:rsid w:val="73027B3B"/>
    <w:rsid w:val="73031982"/>
    <w:rsid w:val="731F2D71"/>
    <w:rsid w:val="736B32A9"/>
    <w:rsid w:val="73BD7B50"/>
    <w:rsid w:val="73C12EC3"/>
    <w:rsid w:val="73D43285"/>
    <w:rsid w:val="73DB1E6E"/>
    <w:rsid w:val="73F26EC8"/>
    <w:rsid w:val="74032D39"/>
    <w:rsid w:val="74063575"/>
    <w:rsid w:val="74297E7B"/>
    <w:rsid w:val="742E20F3"/>
    <w:rsid w:val="743A0A62"/>
    <w:rsid w:val="745F3497"/>
    <w:rsid w:val="74962531"/>
    <w:rsid w:val="7498343E"/>
    <w:rsid w:val="74DC7F97"/>
    <w:rsid w:val="74E93A65"/>
    <w:rsid w:val="74EC0621"/>
    <w:rsid w:val="752921B6"/>
    <w:rsid w:val="75327060"/>
    <w:rsid w:val="75437545"/>
    <w:rsid w:val="757F5433"/>
    <w:rsid w:val="75863F12"/>
    <w:rsid w:val="75940995"/>
    <w:rsid w:val="75A07919"/>
    <w:rsid w:val="75A46245"/>
    <w:rsid w:val="75A97627"/>
    <w:rsid w:val="75F5350F"/>
    <w:rsid w:val="75FC2F67"/>
    <w:rsid w:val="762F450E"/>
    <w:rsid w:val="7647213C"/>
    <w:rsid w:val="766A1CAC"/>
    <w:rsid w:val="766B6041"/>
    <w:rsid w:val="76725C62"/>
    <w:rsid w:val="76B34F7A"/>
    <w:rsid w:val="76CF41D8"/>
    <w:rsid w:val="77072E6C"/>
    <w:rsid w:val="77195BE7"/>
    <w:rsid w:val="777D3C34"/>
    <w:rsid w:val="778C1B65"/>
    <w:rsid w:val="77F60DD4"/>
    <w:rsid w:val="78030E0B"/>
    <w:rsid w:val="780669BE"/>
    <w:rsid w:val="78104EAB"/>
    <w:rsid w:val="788077B1"/>
    <w:rsid w:val="79046142"/>
    <w:rsid w:val="79172A0A"/>
    <w:rsid w:val="794D4C08"/>
    <w:rsid w:val="794EEAFA"/>
    <w:rsid w:val="79874379"/>
    <w:rsid w:val="79A44A66"/>
    <w:rsid w:val="79AE41A2"/>
    <w:rsid w:val="79AF0A6B"/>
    <w:rsid w:val="79B56423"/>
    <w:rsid w:val="79E41D48"/>
    <w:rsid w:val="79F05020"/>
    <w:rsid w:val="79FD55A8"/>
    <w:rsid w:val="7A07582D"/>
    <w:rsid w:val="7A0A5C53"/>
    <w:rsid w:val="7A291E51"/>
    <w:rsid w:val="7A4F4E61"/>
    <w:rsid w:val="7A8C7100"/>
    <w:rsid w:val="7A9D6842"/>
    <w:rsid w:val="7A9F34B2"/>
    <w:rsid w:val="7B2F0C84"/>
    <w:rsid w:val="7B3E6D45"/>
    <w:rsid w:val="7B5C2F63"/>
    <w:rsid w:val="7B6A54D9"/>
    <w:rsid w:val="7B9A6B62"/>
    <w:rsid w:val="7BC168A4"/>
    <w:rsid w:val="7BDF5FA8"/>
    <w:rsid w:val="7BE61DA8"/>
    <w:rsid w:val="7BF42EE8"/>
    <w:rsid w:val="7C362E56"/>
    <w:rsid w:val="7C3B3BD2"/>
    <w:rsid w:val="7C556F2D"/>
    <w:rsid w:val="7C984D52"/>
    <w:rsid w:val="7CC006A1"/>
    <w:rsid w:val="7CD479E4"/>
    <w:rsid w:val="7CF36C57"/>
    <w:rsid w:val="7D004A4B"/>
    <w:rsid w:val="7D4F1C30"/>
    <w:rsid w:val="7D725B95"/>
    <w:rsid w:val="7D7300A6"/>
    <w:rsid w:val="7D902913"/>
    <w:rsid w:val="7DB14637"/>
    <w:rsid w:val="7DCF396A"/>
    <w:rsid w:val="7DFE68CC"/>
    <w:rsid w:val="7E5B5A50"/>
    <w:rsid w:val="7E7458EF"/>
    <w:rsid w:val="7E9758D3"/>
    <w:rsid w:val="7EA1645A"/>
    <w:rsid w:val="7EAF63CF"/>
    <w:rsid w:val="7EEB5927"/>
    <w:rsid w:val="7F104AC7"/>
    <w:rsid w:val="7F3167B8"/>
    <w:rsid w:val="7F9069BB"/>
    <w:rsid w:val="7F9B62FB"/>
    <w:rsid w:val="7FAB5685"/>
    <w:rsid w:val="7FB801B1"/>
    <w:rsid w:val="7FD36AE7"/>
    <w:rsid w:val="EF6DE370"/>
    <w:rsid w:val="F3DF2A1F"/>
    <w:rsid w:val="FEF79C2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semiHidden="0" w:name="heading 5"/>
    <w:lsdException w:qFormat="1" w:uiPriority="9" w:semiHidden="0" w:name="heading 6"/>
    <w:lsdException w:qFormat="1" w:uiPriority="0" w:name="heading 7"/>
    <w:lsdException w:qFormat="1" w:unhideWhenUsed="0" w:uiPriority="1" w:semiHidden="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99" w:semiHidden="0" w:name="Normal Indent"/>
    <w:lsdException w:uiPriority="99" w:name="footnote text" w:locked="1"/>
    <w:lsdException w:qFormat="1" w:uiPriority="0"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qFormat="1" w:uiPriority="99" w:semiHidden="0" w:name="envelope return" w:locked="1"/>
    <w:lsdException w:uiPriority="99" w:name="footnote reference" w:locked="1"/>
    <w:lsdException w:qFormat="1" w:uiPriority="99" w:name="annotation reference" w:locked="1"/>
    <w:lsdException w:uiPriority="99" w:name="line number" w:locked="1"/>
    <w:lsdException w:qFormat="1" w:unhideWhenUsed="0" w:uiPriority="0" w:semiHidden="0" w:name="page number" w:locked="1"/>
    <w:lsdException w:uiPriority="99" w:name="endnote reference" w:locked="1"/>
    <w:lsdException w:uiPriority="99" w:name="endnote text" w:locked="1"/>
    <w:lsdException w:qFormat="1" w:unhideWhenUsed="0" w:uiPriority="0" w:semiHidden="0"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qFormat="1" w:uiPriority="99" w:semiHidden="0"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iPriority="99" w:semiHidden="0" w:name="Body Text Indent 3" w:locked="1"/>
    <w:lsdException w:uiPriority="99" w:name="Block Text" w:locked="1"/>
    <w:lsdException w:qFormat="1" w:uiPriority="99" w:semiHidden="0" w:name="Hyperlink" w:locked="1"/>
    <w:lsdException w:qFormat="1" w:uiPriority="99" w:semiHidden="0" w:name="FollowedHyperlink" w:locked="1"/>
    <w:lsdException w:qFormat="1" w:unhideWhenUsed="0" w:uiPriority="99" w:semiHidden="0" w:name="Strong"/>
    <w:lsdException w:qFormat="1" w:unhideWhenUsed="0" w:uiPriority="0" w:semiHidden="0" w:name="Emphasis"/>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qFormat="1"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semiHidden="0"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7">
    <w:name w:val="heading 1"/>
    <w:basedOn w:val="1"/>
    <w:next w:val="1"/>
    <w:link w:val="58"/>
    <w:qFormat/>
    <w:uiPriority w:val="99"/>
    <w:pPr>
      <w:keepNext/>
      <w:keepLines/>
      <w:spacing w:before="120" w:after="120" w:line="360" w:lineRule="auto"/>
      <w:jc w:val="center"/>
      <w:outlineLvl w:val="0"/>
    </w:pPr>
    <w:rPr>
      <w:b/>
      <w:bCs/>
      <w:kern w:val="44"/>
      <w:sz w:val="32"/>
      <w:szCs w:val="44"/>
    </w:rPr>
  </w:style>
  <w:style w:type="paragraph" w:styleId="8">
    <w:name w:val="heading 2"/>
    <w:basedOn w:val="1"/>
    <w:next w:val="1"/>
    <w:link w:val="57"/>
    <w:qFormat/>
    <w:uiPriority w:val="99"/>
    <w:pPr>
      <w:keepNext/>
      <w:keepLines/>
      <w:spacing w:before="140" w:after="140" w:line="360" w:lineRule="auto"/>
      <w:jc w:val="left"/>
      <w:outlineLvl w:val="1"/>
    </w:pPr>
    <w:rPr>
      <w:rFonts w:ascii="Arial" w:hAnsi="Arial"/>
      <w:b/>
      <w:bCs/>
      <w:kern w:val="0"/>
      <w:sz w:val="28"/>
      <w:szCs w:val="44"/>
    </w:rPr>
  </w:style>
  <w:style w:type="paragraph" w:styleId="9">
    <w:name w:val="heading 3"/>
    <w:basedOn w:val="1"/>
    <w:next w:val="1"/>
    <w:link w:val="96"/>
    <w:qFormat/>
    <w:uiPriority w:val="99"/>
    <w:pPr>
      <w:keepNext/>
      <w:keepLines/>
      <w:spacing w:before="260" w:after="260" w:line="416" w:lineRule="auto"/>
      <w:outlineLvl w:val="2"/>
    </w:pPr>
    <w:rPr>
      <w:b/>
      <w:bCs/>
      <w:sz w:val="32"/>
      <w:szCs w:val="32"/>
    </w:rPr>
  </w:style>
  <w:style w:type="paragraph" w:styleId="10">
    <w:name w:val="heading 4"/>
    <w:basedOn w:val="1"/>
    <w:next w:val="1"/>
    <w:unhideWhenUsed/>
    <w:qFormat/>
    <w:uiPriority w:val="0"/>
    <w:pPr>
      <w:keepNext/>
      <w:numPr>
        <w:ilvl w:val="0"/>
        <w:numId w:val="1"/>
      </w:numPr>
      <w:spacing w:line="360" w:lineRule="auto"/>
      <w:jc w:val="center"/>
      <w:outlineLvl w:val="3"/>
    </w:pPr>
    <w:rPr>
      <w:b/>
      <w:bCs/>
      <w:sz w:val="24"/>
    </w:rPr>
  </w:style>
  <w:style w:type="paragraph" w:styleId="11">
    <w:name w:val="heading 5"/>
    <w:basedOn w:val="1"/>
    <w:next w:val="1"/>
    <w:link w:val="95"/>
    <w:unhideWhenUsed/>
    <w:qFormat/>
    <w:uiPriority w:val="0"/>
    <w:pPr>
      <w:keepNext/>
      <w:keepLines/>
      <w:spacing w:before="280" w:after="290" w:line="372" w:lineRule="auto"/>
      <w:outlineLvl w:val="4"/>
    </w:pPr>
    <w:rPr>
      <w:b/>
      <w:sz w:val="28"/>
    </w:rPr>
  </w:style>
  <w:style w:type="paragraph" w:styleId="12">
    <w:name w:val="heading 6"/>
    <w:basedOn w:val="1"/>
    <w:next w:val="1"/>
    <w:unhideWhenUsed/>
    <w:qFormat/>
    <w:uiPriority w:val="9"/>
    <w:pPr>
      <w:spacing w:before="38"/>
      <w:ind w:left="820"/>
      <w:outlineLvl w:val="5"/>
    </w:pPr>
    <w:rPr>
      <w:rFonts w:ascii="黑体" w:hAnsi="黑体" w:eastAsia="黑体" w:cs="黑体"/>
      <w:sz w:val="24"/>
      <w:szCs w:val="24"/>
    </w:rPr>
  </w:style>
  <w:style w:type="paragraph" w:styleId="13">
    <w:name w:val="heading 8"/>
    <w:basedOn w:val="1"/>
    <w:next w:val="1"/>
    <w:qFormat/>
    <w:uiPriority w:val="1"/>
    <w:pPr>
      <w:ind w:left="1260"/>
      <w:outlineLvl w:val="7"/>
    </w:pPr>
    <w:rPr>
      <w:b/>
      <w:bCs/>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customStyle="1" w:styleId="2">
    <w:name w:val="正文1"/>
    <w:next w:val="3"/>
    <w:qFormat/>
    <w:uiPriority w:val="0"/>
    <w:rPr>
      <w:rFonts w:ascii="Times New Roman" w:hAnsi="Times New Roman" w:eastAsia="Times New Roman" w:cs="Times New Roman"/>
      <w:sz w:val="24"/>
      <w:szCs w:val="24"/>
      <w:lang w:val="en-US" w:eastAsia="zh-CN" w:bidi="ar-SA"/>
    </w:rPr>
  </w:style>
  <w:style w:type="paragraph" w:customStyle="1" w:styleId="3">
    <w:name w:val="正文文本1"/>
    <w:basedOn w:val="2"/>
    <w:next w:val="4"/>
    <w:qFormat/>
    <w:uiPriority w:val="0"/>
    <w:pPr>
      <w:spacing w:after="120"/>
    </w:pPr>
    <w:rPr>
      <w:lang w:eastAsia="en-US"/>
    </w:rPr>
  </w:style>
  <w:style w:type="paragraph" w:customStyle="1" w:styleId="4">
    <w:name w:val="一级条标题"/>
    <w:basedOn w:val="5"/>
    <w:next w:val="6"/>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5">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sz w:val="21"/>
      <w:szCs w:val="22"/>
      <w:lang w:val="en-US" w:eastAsia="zh-CN" w:bidi="ar-SA"/>
    </w:rPr>
  </w:style>
  <w:style w:type="paragraph" w:customStyle="1" w:styleId="6">
    <w:name w:val="段"/>
    <w:basedOn w:val="2"/>
    <w:next w:val="1"/>
    <w:qFormat/>
    <w:uiPriority w:val="0"/>
    <w:pPr>
      <w:ind w:firstLine="200"/>
    </w:pPr>
    <w:rPr>
      <w:rFonts w:ascii="宋体"/>
      <w:sz w:val="20"/>
      <w:szCs w:val="20"/>
    </w:rPr>
  </w:style>
  <w:style w:type="paragraph" w:styleId="14">
    <w:name w:val="table of authorities"/>
    <w:basedOn w:val="1"/>
    <w:next w:val="1"/>
    <w:qFormat/>
    <w:locked/>
    <w:uiPriority w:val="0"/>
    <w:pPr>
      <w:ind w:left="420" w:leftChars="200"/>
    </w:pPr>
  </w:style>
  <w:style w:type="paragraph" w:styleId="15">
    <w:name w:val="Normal Indent"/>
    <w:basedOn w:val="1"/>
    <w:next w:val="1"/>
    <w:qFormat/>
    <w:uiPriority w:val="99"/>
    <w:pPr>
      <w:ind w:firstLine="420" w:firstLineChars="200"/>
    </w:pPr>
  </w:style>
  <w:style w:type="paragraph" w:styleId="16">
    <w:name w:val="annotation text"/>
    <w:basedOn w:val="1"/>
    <w:link w:val="97"/>
    <w:unhideWhenUsed/>
    <w:qFormat/>
    <w:locked/>
    <w:uiPriority w:val="0"/>
    <w:pPr>
      <w:jc w:val="left"/>
    </w:pPr>
  </w:style>
  <w:style w:type="paragraph" w:styleId="17">
    <w:name w:val="Body Text"/>
    <w:basedOn w:val="1"/>
    <w:next w:val="18"/>
    <w:link w:val="59"/>
    <w:qFormat/>
    <w:uiPriority w:val="99"/>
    <w:pPr>
      <w:spacing w:after="120"/>
    </w:pPr>
  </w:style>
  <w:style w:type="paragraph" w:styleId="18">
    <w:name w:val="Body Text First Indent"/>
    <w:basedOn w:val="17"/>
    <w:unhideWhenUsed/>
    <w:qFormat/>
    <w:locked/>
    <w:uiPriority w:val="99"/>
    <w:pPr>
      <w:spacing w:after="120"/>
      <w:ind w:firstLine="420" w:firstLineChars="100"/>
    </w:pPr>
    <w:rPr>
      <w:szCs w:val="24"/>
    </w:rPr>
  </w:style>
  <w:style w:type="paragraph" w:styleId="19">
    <w:name w:val="Body Text Indent"/>
    <w:basedOn w:val="1"/>
    <w:next w:val="20"/>
    <w:link w:val="84"/>
    <w:unhideWhenUsed/>
    <w:qFormat/>
    <w:locked/>
    <w:uiPriority w:val="99"/>
    <w:pPr>
      <w:spacing w:after="120"/>
      <w:ind w:left="420" w:leftChars="200"/>
    </w:pPr>
  </w:style>
  <w:style w:type="paragraph" w:styleId="20">
    <w:name w:val="envelope return"/>
    <w:basedOn w:val="1"/>
    <w:unhideWhenUsed/>
    <w:qFormat/>
    <w:locked/>
    <w:uiPriority w:val="99"/>
    <w:rPr>
      <w:rFonts w:ascii="Arial" w:hAnsi="Arial"/>
    </w:rPr>
  </w:style>
  <w:style w:type="paragraph" w:styleId="21">
    <w:name w:val="List Bullet 2"/>
    <w:basedOn w:val="1"/>
    <w:unhideWhenUsed/>
    <w:qFormat/>
    <w:locked/>
    <w:uiPriority w:val="99"/>
    <w:pPr>
      <w:numPr>
        <w:ilvl w:val="0"/>
        <w:numId w:val="2"/>
      </w:numPr>
    </w:pPr>
  </w:style>
  <w:style w:type="paragraph" w:styleId="22">
    <w:name w:val="toc 3"/>
    <w:basedOn w:val="1"/>
    <w:next w:val="1"/>
    <w:qFormat/>
    <w:uiPriority w:val="0"/>
    <w:pPr>
      <w:ind w:left="840" w:leftChars="400"/>
    </w:pPr>
  </w:style>
  <w:style w:type="paragraph" w:styleId="23">
    <w:name w:val="Plain Text"/>
    <w:basedOn w:val="1"/>
    <w:link w:val="60"/>
    <w:qFormat/>
    <w:uiPriority w:val="0"/>
    <w:rPr>
      <w:rFonts w:ascii="宋体" w:hAnsi="Courier New"/>
      <w:kern w:val="0"/>
      <w:sz w:val="20"/>
      <w:szCs w:val="21"/>
    </w:rPr>
  </w:style>
  <w:style w:type="paragraph" w:styleId="24">
    <w:name w:val="Date"/>
    <w:basedOn w:val="1"/>
    <w:next w:val="1"/>
    <w:link w:val="61"/>
    <w:qFormat/>
    <w:uiPriority w:val="99"/>
    <w:rPr>
      <w:kern w:val="0"/>
      <w:sz w:val="24"/>
      <w:szCs w:val="20"/>
    </w:rPr>
  </w:style>
  <w:style w:type="paragraph" w:styleId="25">
    <w:name w:val="Balloon Text"/>
    <w:basedOn w:val="1"/>
    <w:link w:val="79"/>
    <w:unhideWhenUsed/>
    <w:qFormat/>
    <w:locked/>
    <w:uiPriority w:val="99"/>
    <w:rPr>
      <w:sz w:val="18"/>
      <w:szCs w:val="18"/>
    </w:rPr>
  </w:style>
  <w:style w:type="paragraph" w:styleId="26">
    <w:name w:val="footer"/>
    <w:basedOn w:val="1"/>
    <w:next w:val="27"/>
    <w:link w:val="62"/>
    <w:qFormat/>
    <w:uiPriority w:val="99"/>
    <w:pPr>
      <w:tabs>
        <w:tab w:val="center" w:pos="4153"/>
        <w:tab w:val="right" w:pos="8306"/>
      </w:tabs>
      <w:snapToGrid w:val="0"/>
      <w:jc w:val="left"/>
    </w:pPr>
    <w:rPr>
      <w:sz w:val="18"/>
    </w:rPr>
  </w:style>
  <w:style w:type="paragraph" w:customStyle="1" w:styleId="27">
    <w:name w:val="vsbcontent_start"/>
    <w:basedOn w:val="1"/>
    <w:next w:val="28"/>
    <w:qFormat/>
    <w:uiPriority w:val="0"/>
    <w:pPr>
      <w:widowControl/>
      <w:jc w:val="left"/>
    </w:pPr>
    <w:rPr>
      <w:rFonts w:ascii="宋体" w:hAnsi="宋体" w:cs="宋体"/>
      <w:sz w:val="24"/>
    </w:rPr>
  </w:style>
  <w:style w:type="paragraph" w:customStyle="1" w:styleId="28">
    <w:name w:val="Char Char Char1 Char8"/>
    <w:basedOn w:val="1"/>
    <w:next w:val="29"/>
    <w:unhideWhenUsed/>
    <w:qFormat/>
    <w:uiPriority w:val="99"/>
    <w:pPr>
      <w:spacing w:line="360" w:lineRule="auto"/>
    </w:pPr>
    <w:rPr>
      <w:rFonts w:hint="eastAsia" w:ascii="宋体" w:hAnsi="宋体"/>
      <w:sz w:val="24"/>
    </w:rPr>
  </w:style>
  <w:style w:type="paragraph" w:customStyle="1" w:styleId="29">
    <w:name w:val="Char Char Char1 Char1"/>
    <w:basedOn w:val="1"/>
    <w:unhideWhenUsed/>
    <w:qFormat/>
    <w:uiPriority w:val="99"/>
    <w:pPr>
      <w:spacing w:line="360" w:lineRule="auto"/>
      <w:ind w:firstLine="200"/>
    </w:pPr>
    <w:rPr>
      <w:rFonts w:hint="eastAsia" w:ascii="宋体" w:hAnsi="宋体"/>
      <w:sz w:val="24"/>
    </w:rPr>
  </w:style>
  <w:style w:type="paragraph" w:styleId="30">
    <w:name w:val="header"/>
    <w:basedOn w:val="1"/>
    <w:link w:val="6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1">
    <w:name w:val="toc 1"/>
    <w:basedOn w:val="1"/>
    <w:next w:val="1"/>
    <w:qFormat/>
    <w:uiPriority w:val="99"/>
  </w:style>
  <w:style w:type="paragraph" w:styleId="32">
    <w:name w:val="Body Text Indent 3"/>
    <w:basedOn w:val="1"/>
    <w:link w:val="80"/>
    <w:unhideWhenUsed/>
    <w:qFormat/>
    <w:locked/>
    <w:uiPriority w:val="99"/>
    <w:pPr>
      <w:spacing w:after="120"/>
      <w:ind w:left="420" w:leftChars="200"/>
    </w:pPr>
    <w:rPr>
      <w:sz w:val="16"/>
      <w:szCs w:val="16"/>
    </w:rPr>
  </w:style>
  <w:style w:type="paragraph" w:styleId="33">
    <w:name w:val="toc 2"/>
    <w:basedOn w:val="1"/>
    <w:next w:val="1"/>
    <w:qFormat/>
    <w:uiPriority w:val="0"/>
    <w:pPr>
      <w:ind w:left="420" w:leftChars="200"/>
    </w:pPr>
  </w:style>
  <w:style w:type="paragraph" w:styleId="34">
    <w:name w:val="toc 9"/>
    <w:basedOn w:val="1"/>
    <w:next w:val="1"/>
    <w:qFormat/>
    <w:uiPriority w:val="0"/>
    <w:pPr>
      <w:ind w:left="3360" w:leftChars="1600"/>
    </w:pPr>
    <w:rPr>
      <w:rFonts w:ascii="Calibri" w:hAnsi="Calibri"/>
    </w:rPr>
  </w:style>
  <w:style w:type="paragraph" w:styleId="35">
    <w:name w:val="Normal (Web)"/>
    <w:basedOn w:val="1"/>
    <w:qFormat/>
    <w:uiPriority w:val="99"/>
    <w:pPr>
      <w:spacing w:before="100" w:beforeAutospacing="1" w:after="100" w:afterAutospacing="1"/>
      <w:jc w:val="left"/>
    </w:pPr>
    <w:rPr>
      <w:kern w:val="0"/>
      <w:sz w:val="24"/>
    </w:rPr>
  </w:style>
  <w:style w:type="paragraph" w:styleId="36">
    <w:name w:val="Body Text First Indent 2"/>
    <w:basedOn w:val="19"/>
    <w:next w:val="26"/>
    <w:link w:val="98"/>
    <w:qFormat/>
    <w:locked/>
    <w:uiPriority w:val="0"/>
    <w:pPr>
      <w:ind w:firstLine="420"/>
    </w:pPr>
  </w:style>
  <w:style w:type="table" w:styleId="38">
    <w:name w:val="Table Grid"/>
    <w:basedOn w:val="3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99"/>
    <w:rPr>
      <w:rFonts w:cs="Times New Roman"/>
      <w:b/>
    </w:rPr>
  </w:style>
  <w:style w:type="character" w:styleId="41">
    <w:name w:val="page number"/>
    <w:qFormat/>
    <w:locked/>
    <w:uiPriority w:val="0"/>
    <w:rPr>
      <w:rFonts w:ascii="Times New Roman" w:hAnsi="Times New Roman" w:eastAsia="宋体" w:cs="Times New Roman"/>
    </w:rPr>
  </w:style>
  <w:style w:type="character" w:styleId="42">
    <w:name w:val="FollowedHyperlink"/>
    <w:basedOn w:val="39"/>
    <w:unhideWhenUsed/>
    <w:qFormat/>
    <w:locked/>
    <w:uiPriority w:val="99"/>
    <w:rPr>
      <w:color w:val="444444"/>
      <w:u w:val="none"/>
    </w:rPr>
  </w:style>
  <w:style w:type="character" w:styleId="43">
    <w:name w:val="Emphasis"/>
    <w:basedOn w:val="39"/>
    <w:qFormat/>
    <w:uiPriority w:val="0"/>
    <w:rPr>
      <w:i/>
    </w:rPr>
  </w:style>
  <w:style w:type="character" w:styleId="44">
    <w:name w:val="Hyperlink"/>
    <w:basedOn w:val="39"/>
    <w:unhideWhenUsed/>
    <w:qFormat/>
    <w:locked/>
    <w:uiPriority w:val="99"/>
    <w:rPr>
      <w:color w:val="444444"/>
      <w:u w:val="none"/>
    </w:rPr>
  </w:style>
  <w:style w:type="character" w:styleId="45">
    <w:name w:val="HTML Code"/>
    <w:basedOn w:val="39"/>
    <w:semiHidden/>
    <w:unhideWhenUsed/>
    <w:qFormat/>
    <w:locked/>
    <w:uiPriority w:val="99"/>
    <w:rPr>
      <w:rFonts w:ascii="Courier New" w:hAnsi="Courier New"/>
      <w:color w:val="2F332A"/>
      <w:sz w:val="20"/>
    </w:rPr>
  </w:style>
  <w:style w:type="character" w:styleId="46">
    <w:name w:val="annotation reference"/>
    <w:basedOn w:val="39"/>
    <w:semiHidden/>
    <w:unhideWhenUsed/>
    <w:qFormat/>
    <w:locked/>
    <w:uiPriority w:val="99"/>
    <w:rPr>
      <w:sz w:val="21"/>
      <w:szCs w:val="21"/>
    </w:rPr>
  </w:style>
  <w:style w:type="paragraph" w:customStyle="1" w:styleId="47">
    <w:name w:val="标题 31"/>
    <w:basedOn w:val="2"/>
    <w:next w:val="1"/>
    <w:qFormat/>
    <w:uiPriority w:val="0"/>
    <w:pPr>
      <w:keepNext/>
      <w:keepLines/>
      <w:widowControl w:val="0"/>
      <w:spacing w:before="260" w:after="260" w:line="413" w:lineRule="auto"/>
      <w:jc w:val="both"/>
      <w:outlineLvl w:val="2"/>
    </w:pPr>
    <w:rPr>
      <w:rFonts w:eastAsia="宋体"/>
      <w:b/>
      <w:kern w:val="2"/>
      <w:sz w:val="32"/>
      <w:szCs w:val="20"/>
    </w:rPr>
  </w:style>
  <w:style w:type="paragraph" w:customStyle="1" w:styleId="48">
    <w:name w:val="正文（缩进）"/>
    <w:basedOn w:val="1"/>
    <w:next w:val="49"/>
    <w:qFormat/>
    <w:uiPriority w:val="0"/>
    <w:pPr>
      <w:spacing w:line="360" w:lineRule="auto"/>
      <w:ind w:firstLine="200" w:firstLineChars="200"/>
    </w:pPr>
    <w:rPr>
      <w:rFonts w:ascii="宋体" w:hAnsi="宋体"/>
    </w:rPr>
  </w:style>
  <w:style w:type="paragraph" w:customStyle="1" w:styleId="49">
    <w:name w:val="Char Char Char Char Char Char Char Char Char"/>
    <w:basedOn w:val="1"/>
    <w:next w:val="50"/>
    <w:qFormat/>
    <w:uiPriority w:val="0"/>
    <w:pPr>
      <w:ind w:left="360" w:firstLine="5784"/>
    </w:pPr>
  </w:style>
  <w:style w:type="paragraph" w:customStyle="1" w:styleId="50">
    <w:name w:val="正文文本 21"/>
    <w:basedOn w:val="1"/>
    <w:next w:val="51"/>
    <w:qFormat/>
    <w:uiPriority w:val="0"/>
    <w:pPr>
      <w:widowControl/>
      <w:autoSpaceDE w:val="0"/>
      <w:autoSpaceDN w:val="0"/>
      <w:ind w:left="720" w:firstLine="5680"/>
    </w:pPr>
  </w:style>
  <w:style w:type="paragraph" w:customStyle="1" w:styleId="51">
    <w:name w:val="默认段落字体 Para Char Char Char Char Char Char Char"/>
    <w:basedOn w:val="1"/>
    <w:next w:val="52"/>
    <w:qFormat/>
    <w:uiPriority w:val="0"/>
    <w:pPr>
      <w:ind w:firstLine="5632"/>
    </w:pPr>
  </w:style>
  <w:style w:type="paragraph" w:customStyle="1" w:styleId="52">
    <w:name w:val="样式 首行缩进:  2 字符"/>
    <w:basedOn w:val="1"/>
    <w:next w:val="53"/>
    <w:qFormat/>
    <w:uiPriority w:val="0"/>
    <w:pPr>
      <w:spacing w:line="360" w:lineRule="auto"/>
      <w:ind w:left="480" w:firstLine="5856"/>
    </w:pPr>
  </w:style>
  <w:style w:type="paragraph" w:customStyle="1" w:styleId="53">
    <w:name w:val="样式 段后: 0.25 行"/>
    <w:basedOn w:val="1"/>
    <w:next w:val="54"/>
    <w:qFormat/>
    <w:uiPriority w:val="0"/>
    <w:pPr>
      <w:widowControl/>
      <w:spacing w:line="300" w:lineRule="auto"/>
      <w:ind w:left="420" w:firstLine="5796"/>
    </w:pPr>
  </w:style>
  <w:style w:type="paragraph" w:customStyle="1" w:styleId="54">
    <w:name w:val="正文 New New New New New New New New New New New New New New"/>
    <w:next w:val="34"/>
    <w:qFormat/>
    <w:uiPriority w:val="0"/>
    <w:pPr>
      <w:widowControl w:val="0"/>
      <w:ind w:firstLine="2048"/>
      <w:jc w:val="both"/>
    </w:pPr>
    <w:rPr>
      <w:rFonts w:ascii="Times New Roman" w:hAnsi="Times New Roman" w:eastAsia="宋体" w:cs="Times New Roman"/>
      <w:lang w:val="en-US" w:eastAsia="zh-CN" w:bidi="ar-SA"/>
    </w:rPr>
  </w:style>
  <w:style w:type="paragraph" w:customStyle="1" w:styleId="55">
    <w:name w:val="首行缩进"/>
    <w:basedOn w:val="1"/>
    <w:qFormat/>
    <w:uiPriority w:val="0"/>
    <w:pPr>
      <w:spacing w:line="360" w:lineRule="auto"/>
      <w:ind w:firstLine="480" w:firstLineChars="200"/>
      <w:jc w:val="left"/>
    </w:pPr>
    <w:rPr>
      <w:rFonts w:ascii="宋体" w:hAnsi="宋体"/>
      <w:sz w:val="24"/>
      <w:szCs w:val="24"/>
    </w:rPr>
  </w:style>
  <w:style w:type="paragraph" w:customStyle="1" w:styleId="56">
    <w:name w:val="正文缩进1"/>
    <w:basedOn w:val="1"/>
    <w:qFormat/>
    <w:uiPriority w:val="99"/>
    <w:pPr>
      <w:ind w:firstLine="420" w:firstLineChars="200"/>
    </w:pPr>
  </w:style>
  <w:style w:type="character" w:customStyle="1" w:styleId="57">
    <w:name w:val="标题 2 Char"/>
    <w:link w:val="8"/>
    <w:semiHidden/>
    <w:qFormat/>
    <w:locked/>
    <w:uiPriority w:val="99"/>
    <w:rPr>
      <w:rFonts w:ascii="Arial" w:hAnsi="Arial" w:eastAsia="宋体" w:cs="Times New Roman"/>
      <w:b/>
      <w:bCs/>
      <w:sz w:val="28"/>
      <w:szCs w:val="32"/>
    </w:rPr>
  </w:style>
  <w:style w:type="character" w:customStyle="1" w:styleId="58">
    <w:name w:val="标题 1 Char"/>
    <w:link w:val="7"/>
    <w:qFormat/>
    <w:locked/>
    <w:uiPriority w:val="99"/>
    <w:rPr>
      <w:rFonts w:ascii="Times New Roman" w:hAnsi="Times New Roman" w:eastAsia="宋体" w:cs="Times New Roman"/>
      <w:b/>
      <w:bCs/>
      <w:kern w:val="44"/>
      <w:sz w:val="32"/>
      <w:szCs w:val="44"/>
    </w:rPr>
  </w:style>
  <w:style w:type="character" w:customStyle="1" w:styleId="59">
    <w:name w:val="正文文本 Char"/>
    <w:link w:val="17"/>
    <w:qFormat/>
    <w:locked/>
    <w:uiPriority w:val="99"/>
    <w:rPr>
      <w:rFonts w:cs="Times New Roman"/>
    </w:rPr>
  </w:style>
  <w:style w:type="character" w:customStyle="1" w:styleId="60">
    <w:name w:val="纯文本 Char"/>
    <w:link w:val="23"/>
    <w:qFormat/>
    <w:locked/>
    <w:uiPriority w:val="0"/>
    <w:rPr>
      <w:rFonts w:ascii="宋体" w:hAnsi="Courier New" w:cs="Courier New"/>
      <w:sz w:val="21"/>
      <w:szCs w:val="21"/>
    </w:rPr>
  </w:style>
  <w:style w:type="character" w:customStyle="1" w:styleId="61">
    <w:name w:val="日期 Char"/>
    <w:link w:val="24"/>
    <w:qFormat/>
    <w:locked/>
    <w:uiPriority w:val="99"/>
    <w:rPr>
      <w:rFonts w:cs="Times New Roman"/>
    </w:rPr>
  </w:style>
  <w:style w:type="character" w:customStyle="1" w:styleId="62">
    <w:name w:val="页脚 Char"/>
    <w:link w:val="26"/>
    <w:qFormat/>
    <w:locked/>
    <w:uiPriority w:val="99"/>
    <w:rPr>
      <w:rFonts w:cs="Times New Roman"/>
      <w:sz w:val="18"/>
      <w:szCs w:val="18"/>
    </w:rPr>
  </w:style>
  <w:style w:type="character" w:customStyle="1" w:styleId="63">
    <w:name w:val="页眉 Char"/>
    <w:link w:val="30"/>
    <w:qFormat/>
    <w:locked/>
    <w:uiPriority w:val="99"/>
    <w:rPr>
      <w:rFonts w:cs="Times New Roman"/>
      <w:sz w:val="18"/>
      <w:szCs w:val="18"/>
    </w:rPr>
  </w:style>
  <w:style w:type="paragraph" w:customStyle="1" w:styleId="64">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65">
    <w:name w:val="Table Paragraph"/>
    <w:basedOn w:val="1"/>
    <w:qFormat/>
    <w:uiPriority w:val="99"/>
    <w:pPr>
      <w:autoSpaceDE w:val="0"/>
      <w:autoSpaceDN w:val="0"/>
      <w:adjustRightInd w:val="0"/>
      <w:jc w:val="left"/>
    </w:pPr>
    <w:rPr>
      <w:kern w:val="0"/>
      <w:sz w:val="24"/>
      <w:szCs w:val="24"/>
    </w:rPr>
  </w:style>
  <w:style w:type="paragraph" w:customStyle="1" w:styleId="66">
    <w:name w:val="列出段落1"/>
    <w:basedOn w:val="1"/>
    <w:link w:val="94"/>
    <w:qFormat/>
    <w:uiPriority w:val="0"/>
    <w:pPr>
      <w:widowControl/>
      <w:ind w:left="720"/>
      <w:contextualSpacing/>
      <w:jc w:val="left"/>
    </w:pPr>
    <w:rPr>
      <w:kern w:val="0"/>
      <w:sz w:val="24"/>
      <w:szCs w:val="24"/>
      <w:lang w:eastAsia="en-US"/>
    </w:rPr>
  </w:style>
  <w:style w:type="paragraph" w:customStyle="1" w:styleId="67">
    <w:name w:val="Char"/>
    <w:basedOn w:val="1"/>
    <w:qFormat/>
    <w:uiPriority w:val="99"/>
    <w:pPr>
      <w:tabs>
        <w:tab w:val="left" w:pos="360"/>
      </w:tabs>
      <w:ind w:firstLine="200" w:firstLineChars="200"/>
    </w:pPr>
    <w:rPr>
      <w:sz w:val="28"/>
      <w:szCs w:val="30"/>
    </w:rPr>
  </w:style>
  <w:style w:type="paragraph" w:customStyle="1" w:styleId="68">
    <w:name w:val="正文(其它)"/>
    <w:basedOn w:val="1"/>
    <w:qFormat/>
    <w:uiPriority w:val="0"/>
    <w:pPr>
      <w:jc w:val="center"/>
    </w:pPr>
    <w:rPr>
      <w:rFonts w:ascii="黑体" w:eastAsia="黑体"/>
      <w:sz w:val="32"/>
      <w:szCs w:val="32"/>
    </w:rPr>
  </w:style>
  <w:style w:type="paragraph" w:customStyle="1" w:styleId="69">
    <w:name w:val="正文_0_0_0"/>
    <w:qFormat/>
    <w:uiPriority w:val="0"/>
    <w:pPr>
      <w:widowControl w:val="0"/>
      <w:ind w:firstLine="360"/>
      <w:jc w:val="both"/>
    </w:pPr>
    <w:rPr>
      <w:rFonts w:ascii="Calibri" w:hAnsi="Calibri" w:eastAsia="宋体" w:cs="Times New Roman"/>
      <w:kern w:val="2"/>
      <w:sz w:val="21"/>
      <w:szCs w:val="22"/>
      <w:lang w:val="en-US" w:eastAsia="zh-CN" w:bidi="ar-SA"/>
    </w:rPr>
  </w:style>
  <w:style w:type="paragraph" w:customStyle="1" w:styleId="70">
    <w:name w:val="标题 41"/>
    <w:basedOn w:val="2"/>
    <w:next w:val="2"/>
    <w:qFormat/>
    <w:uiPriority w:val="0"/>
    <w:pPr>
      <w:keepNext/>
      <w:keepLines/>
      <w:widowControl w:val="0"/>
      <w:spacing w:before="280" w:after="290" w:line="372" w:lineRule="auto"/>
      <w:jc w:val="both"/>
      <w:outlineLvl w:val="3"/>
    </w:pPr>
    <w:rPr>
      <w:rFonts w:ascii="Arial" w:hAnsi="Arial" w:eastAsia="黑体"/>
      <w:b/>
      <w:sz w:val="28"/>
      <w:szCs w:val="20"/>
    </w:rPr>
  </w:style>
  <w:style w:type="paragraph" w:customStyle="1" w:styleId="71">
    <w:name w:val="Blockquote"/>
    <w:basedOn w:val="1"/>
    <w:qFormat/>
    <w:uiPriority w:val="0"/>
    <w:pPr>
      <w:autoSpaceDE w:val="0"/>
      <w:autoSpaceDN w:val="0"/>
      <w:adjustRightInd w:val="0"/>
      <w:ind w:left="360" w:right="360"/>
    </w:pPr>
    <w:rPr>
      <w:sz w:val="24"/>
    </w:rPr>
  </w:style>
  <w:style w:type="paragraph" w:customStyle="1" w:styleId="72">
    <w:name w:val="标题 4_0"/>
    <w:basedOn w:val="73"/>
    <w:next w:val="73"/>
    <w:qFormat/>
    <w:uiPriority w:val="0"/>
    <w:pPr>
      <w:keepNext/>
      <w:keepLines/>
      <w:spacing w:before="280" w:after="290" w:line="372" w:lineRule="auto"/>
      <w:outlineLvl w:val="3"/>
    </w:pPr>
    <w:rPr>
      <w:rFonts w:ascii="Cambria" w:hAnsi="Cambria"/>
      <w:b/>
      <w:bCs/>
      <w:sz w:val="28"/>
      <w:szCs w:val="28"/>
    </w:rPr>
  </w:style>
  <w:style w:type="paragraph" w:customStyle="1" w:styleId="73">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4">
    <w:name w:val="正文11"/>
    <w:qFormat/>
    <w:uiPriority w:val="0"/>
    <w:rPr>
      <w:rFonts w:ascii="Times New Roman" w:hAnsi="Times New Roman" w:eastAsia="宋体" w:cs="Times New Roman"/>
      <w:lang w:val="en-US" w:eastAsia="zh-CN" w:bidi="ar-SA"/>
    </w:rPr>
  </w:style>
  <w:style w:type="paragraph" w:customStyle="1" w:styleId="75">
    <w:name w:val="正文_0_0"/>
    <w:qFormat/>
    <w:uiPriority w:val="0"/>
    <w:pPr>
      <w:widowControl w:val="0"/>
      <w:jc w:val="both"/>
    </w:pPr>
    <w:rPr>
      <w:rFonts w:ascii="Calibri" w:hAnsi="Calibri" w:eastAsia="宋体" w:cs="Times New Roman"/>
      <w:lang w:val="en-US" w:eastAsia="zh-CN" w:bidi="ar-SA"/>
    </w:rPr>
  </w:style>
  <w:style w:type="paragraph" w:customStyle="1" w:styleId="76">
    <w:name w:val="标题_0"/>
    <w:basedOn w:val="77"/>
    <w:qFormat/>
    <w:uiPriority w:val="0"/>
    <w:pPr>
      <w:spacing w:before="120" w:after="120" w:line="360" w:lineRule="auto"/>
      <w:jc w:val="center"/>
      <w:outlineLvl w:val="0"/>
    </w:pPr>
    <w:rPr>
      <w:rFonts w:ascii="黑体" w:hAnsi="Arial" w:eastAsia="黑体"/>
      <w:b/>
      <w:bCs/>
      <w:sz w:val="32"/>
      <w:szCs w:val="32"/>
    </w:rPr>
  </w:style>
  <w:style w:type="paragraph" w:customStyle="1" w:styleId="77">
    <w:name w:val="正文_1"/>
    <w:qFormat/>
    <w:uiPriority w:val="0"/>
    <w:rPr>
      <w:rFonts w:ascii="Times New Roman" w:hAnsi="Times New Roman" w:eastAsia="宋体" w:cs="Times New Roman"/>
      <w:lang w:val="en-US" w:eastAsia="zh-CN" w:bidi="ar-SA"/>
    </w:rPr>
  </w:style>
  <w:style w:type="paragraph" w:customStyle="1" w:styleId="78">
    <w:name w:val="列出段落2"/>
    <w:basedOn w:val="1"/>
    <w:qFormat/>
    <w:uiPriority w:val="34"/>
    <w:pPr>
      <w:ind w:firstLine="420" w:firstLineChars="200"/>
    </w:pPr>
  </w:style>
  <w:style w:type="character" w:customStyle="1" w:styleId="79">
    <w:name w:val="批注框文本 Char"/>
    <w:link w:val="25"/>
    <w:qFormat/>
    <w:uiPriority w:val="99"/>
    <w:rPr>
      <w:kern w:val="2"/>
      <w:sz w:val="18"/>
      <w:szCs w:val="18"/>
    </w:rPr>
  </w:style>
  <w:style w:type="character" w:customStyle="1" w:styleId="80">
    <w:name w:val="正文文本缩进 3 Char"/>
    <w:basedOn w:val="39"/>
    <w:link w:val="32"/>
    <w:qFormat/>
    <w:uiPriority w:val="99"/>
    <w:rPr>
      <w:kern w:val="2"/>
      <w:sz w:val="16"/>
      <w:szCs w:val="16"/>
    </w:rPr>
  </w:style>
  <w:style w:type="paragraph" w:customStyle="1" w:styleId="81">
    <w:name w:val="标题 32"/>
    <w:basedOn w:val="2"/>
    <w:next w:val="2"/>
    <w:qFormat/>
    <w:uiPriority w:val="0"/>
    <w:pPr>
      <w:keepNext/>
      <w:keepLines/>
      <w:widowControl w:val="0"/>
      <w:spacing w:before="260" w:after="260" w:line="413" w:lineRule="auto"/>
      <w:jc w:val="both"/>
      <w:outlineLvl w:val="2"/>
    </w:pPr>
    <w:rPr>
      <w:b/>
      <w:kern w:val="2"/>
      <w:sz w:val="32"/>
    </w:rPr>
  </w:style>
  <w:style w:type="paragraph" w:customStyle="1" w:styleId="82">
    <w:name w:val="标题 42"/>
    <w:basedOn w:val="74"/>
    <w:next w:val="2"/>
    <w:qFormat/>
    <w:uiPriority w:val="0"/>
    <w:pPr>
      <w:keepNext/>
      <w:keepLines/>
      <w:widowControl w:val="0"/>
      <w:spacing w:before="280" w:after="290" w:line="372" w:lineRule="auto"/>
      <w:jc w:val="both"/>
      <w:outlineLvl w:val="3"/>
    </w:pPr>
    <w:rPr>
      <w:rFonts w:ascii="Arial" w:hAnsi="Arial" w:eastAsia="黑体"/>
      <w:b/>
      <w:sz w:val="28"/>
    </w:rPr>
  </w:style>
  <w:style w:type="character" w:customStyle="1" w:styleId="83">
    <w:name w:val="generalinfo-address-text2"/>
    <w:basedOn w:val="39"/>
    <w:qFormat/>
    <w:uiPriority w:val="0"/>
  </w:style>
  <w:style w:type="character" w:customStyle="1" w:styleId="84">
    <w:name w:val="正文文本缩进 Char"/>
    <w:basedOn w:val="39"/>
    <w:link w:val="19"/>
    <w:qFormat/>
    <w:uiPriority w:val="99"/>
    <w:rPr>
      <w:kern w:val="2"/>
      <w:sz w:val="21"/>
      <w:szCs w:val="22"/>
    </w:rPr>
  </w:style>
  <w:style w:type="character" w:customStyle="1" w:styleId="85">
    <w:name w:val="font01"/>
    <w:basedOn w:val="39"/>
    <w:qFormat/>
    <w:uiPriority w:val="0"/>
    <w:rPr>
      <w:rFonts w:hint="eastAsia" w:ascii="宋体" w:hAnsi="宋体" w:eastAsia="宋体"/>
      <w:color w:val="000000"/>
      <w:sz w:val="24"/>
      <w:szCs w:val="24"/>
      <w:u w:val="none"/>
    </w:rPr>
  </w:style>
  <w:style w:type="paragraph" w:customStyle="1" w:styleId="86">
    <w:name w:val="p1"/>
    <w:basedOn w:val="1"/>
    <w:qFormat/>
    <w:uiPriority w:val="0"/>
    <w:pPr>
      <w:spacing w:line="380" w:lineRule="atLeast"/>
      <w:jc w:val="left"/>
    </w:pPr>
    <w:rPr>
      <w:rFonts w:ascii="Cordia New" w:hAnsi="Cordia New" w:eastAsia="Cordia New"/>
      <w:color w:val="000000"/>
      <w:kern w:val="0"/>
      <w:sz w:val="26"/>
      <w:szCs w:val="26"/>
    </w:rPr>
  </w:style>
  <w:style w:type="paragraph" w:customStyle="1" w:styleId="87">
    <w:name w:val="WPSOffice手动目录 1"/>
    <w:qFormat/>
    <w:uiPriority w:val="0"/>
    <w:rPr>
      <w:rFonts w:ascii="Times New Roman" w:hAnsi="Times New Roman" w:eastAsia="宋体" w:cs="Times New Roman"/>
      <w:lang w:val="en-US" w:eastAsia="zh-CN" w:bidi="ar-SA"/>
    </w:rPr>
  </w:style>
  <w:style w:type="paragraph" w:customStyle="1" w:styleId="88">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89">
    <w:name w:val="font11"/>
    <w:basedOn w:val="39"/>
    <w:qFormat/>
    <w:uiPriority w:val="0"/>
    <w:rPr>
      <w:rFonts w:hint="eastAsia" w:ascii="宋体" w:hAnsi="宋体" w:eastAsia="宋体" w:cs="宋体"/>
      <w:color w:val="000000"/>
      <w:sz w:val="18"/>
      <w:szCs w:val="18"/>
      <w:u w:val="none"/>
    </w:rPr>
  </w:style>
  <w:style w:type="paragraph" w:styleId="90">
    <w:name w:val="List Paragraph"/>
    <w:basedOn w:val="1"/>
    <w:unhideWhenUsed/>
    <w:qFormat/>
    <w:uiPriority w:val="34"/>
    <w:pPr>
      <w:ind w:firstLine="420" w:firstLineChars="200"/>
    </w:pPr>
  </w:style>
  <w:style w:type="paragraph" w:customStyle="1" w:styleId="91">
    <w:name w:val="p0"/>
    <w:basedOn w:val="1"/>
    <w:qFormat/>
    <w:uiPriority w:val="0"/>
    <w:pPr>
      <w:widowControl/>
      <w:spacing w:before="100" w:beforeAutospacing="1" w:after="100" w:afterAutospacing="1"/>
      <w:jc w:val="left"/>
    </w:pPr>
    <w:rPr>
      <w:rFonts w:ascii="Cambria" w:hAnsi="Cambria" w:cs="Cambria"/>
      <w:sz w:val="24"/>
      <w:szCs w:val="24"/>
    </w:rPr>
  </w:style>
  <w:style w:type="paragraph" w:customStyle="1" w:styleId="92">
    <w:name w:val="Normal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3">
    <w:name w:val="标题 21"/>
    <w:basedOn w:val="1"/>
    <w:next w:val="15"/>
    <w:qFormat/>
    <w:uiPriority w:val="0"/>
    <w:pPr>
      <w:keepNext/>
      <w:keepLines/>
      <w:spacing w:before="260" w:after="260" w:line="416" w:lineRule="auto"/>
      <w:jc w:val="center"/>
      <w:outlineLvl w:val="1"/>
    </w:pPr>
    <w:rPr>
      <w:rFonts w:ascii="Arial" w:hAnsi="Arial" w:eastAsia="幼圆" w:cs="Arial"/>
      <w:b/>
      <w:bCs/>
      <w:sz w:val="44"/>
      <w:szCs w:val="44"/>
    </w:rPr>
  </w:style>
  <w:style w:type="character" w:customStyle="1" w:styleId="94">
    <w:name w:val="列出段落 Char"/>
    <w:link w:val="66"/>
    <w:qFormat/>
    <w:locked/>
    <w:uiPriority w:val="0"/>
    <w:rPr>
      <w:sz w:val="24"/>
      <w:szCs w:val="24"/>
      <w:lang w:eastAsia="en-US"/>
    </w:rPr>
  </w:style>
  <w:style w:type="character" w:customStyle="1" w:styleId="95">
    <w:name w:val="标题 5 Char"/>
    <w:basedOn w:val="39"/>
    <w:link w:val="11"/>
    <w:qFormat/>
    <w:uiPriority w:val="0"/>
    <w:rPr>
      <w:b/>
      <w:kern w:val="2"/>
      <w:sz w:val="28"/>
      <w:szCs w:val="22"/>
    </w:rPr>
  </w:style>
  <w:style w:type="character" w:customStyle="1" w:styleId="96">
    <w:name w:val="标题 3 Char"/>
    <w:basedOn w:val="39"/>
    <w:link w:val="9"/>
    <w:qFormat/>
    <w:uiPriority w:val="99"/>
    <w:rPr>
      <w:b/>
      <w:bCs/>
      <w:kern w:val="2"/>
      <w:sz w:val="32"/>
      <w:szCs w:val="32"/>
    </w:rPr>
  </w:style>
  <w:style w:type="character" w:customStyle="1" w:styleId="97">
    <w:name w:val="批注文字 Char"/>
    <w:basedOn w:val="39"/>
    <w:link w:val="16"/>
    <w:qFormat/>
    <w:uiPriority w:val="0"/>
    <w:rPr>
      <w:kern w:val="2"/>
      <w:sz w:val="21"/>
      <w:szCs w:val="22"/>
    </w:rPr>
  </w:style>
  <w:style w:type="character" w:customStyle="1" w:styleId="98">
    <w:name w:val="正文首行缩进 2 Char"/>
    <w:basedOn w:val="84"/>
    <w:link w:val="36"/>
    <w:qFormat/>
    <w:uiPriority w:val="0"/>
  </w:style>
  <w:style w:type="character" w:customStyle="1" w:styleId="99">
    <w:name w:val="grame"/>
    <w:qFormat/>
    <w:uiPriority w:val="0"/>
    <w:rPr>
      <w:rFonts w:cs="Times New Roman"/>
    </w:rPr>
  </w:style>
  <w:style w:type="paragraph" w:customStyle="1" w:styleId="100">
    <w:name w:val="列表段落1"/>
    <w:basedOn w:val="1"/>
    <w:qFormat/>
    <w:uiPriority w:val="0"/>
    <w:pPr>
      <w:ind w:firstLine="420" w:firstLineChars="200"/>
    </w:pPr>
    <w:rPr>
      <w:rFonts w:ascii="Times New Roman" w:hAnsi="Times New Roman"/>
      <w:szCs w:val="24"/>
    </w:rPr>
  </w:style>
  <w:style w:type="character" w:customStyle="1" w:styleId="101">
    <w:name w:val="NormalCharacter"/>
    <w:semiHidden/>
    <w:qFormat/>
    <w:uiPriority w:val="0"/>
  </w:style>
  <w:style w:type="character" w:customStyle="1" w:styleId="102">
    <w:name w:val="button"/>
    <w:basedOn w:val="39"/>
    <w:qFormat/>
    <w:uiPriority w:val="0"/>
  </w:style>
  <w:style w:type="character" w:customStyle="1" w:styleId="103">
    <w:name w:val="tmpztreemove_arrow"/>
    <w:basedOn w:val="39"/>
    <w:qFormat/>
    <w:uiPriority w:val="0"/>
  </w:style>
  <w:style w:type="table" w:customStyle="1" w:styleId="104">
    <w:name w:val="Table Normal"/>
    <w:semiHidden/>
    <w:unhideWhenUsed/>
    <w:qFormat/>
    <w:uiPriority w:val="2"/>
    <w:tblPr>
      <w:tblCellMar>
        <w:top w:w="0" w:type="dxa"/>
        <w:left w:w="0" w:type="dxa"/>
        <w:bottom w:w="0" w:type="dxa"/>
        <w:right w:w="0" w:type="dxa"/>
      </w:tblCellMar>
    </w:tblPr>
  </w:style>
  <w:style w:type="paragraph" w:customStyle="1" w:styleId="105">
    <w:name w:val="正文文本缩进 21"/>
    <w:basedOn w:val="1"/>
    <w:qFormat/>
    <w:uiPriority w:val="99"/>
    <w:pPr>
      <w:spacing w:line="480" w:lineRule="exact"/>
      <w:ind w:firstLine="562"/>
    </w:pPr>
    <w:rPr>
      <w:rFonts w:ascii="楷体_GB2312" w:eastAsia="楷体_GB2312"/>
      <w:b/>
      <w:bCs/>
      <w:sz w:val="28"/>
      <w:szCs w:val="24"/>
    </w:rPr>
  </w:style>
  <w:style w:type="paragraph" w:customStyle="1" w:styleId="106">
    <w:name w:val="页脚1"/>
    <w:basedOn w:val="1"/>
    <w:unhideWhenUsed/>
    <w:qFormat/>
    <w:uiPriority w:val="99"/>
    <w:pPr>
      <w:tabs>
        <w:tab w:val="center" w:pos="4153"/>
        <w:tab w:val="right" w:pos="8306"/>
      </w:tabs>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E48532-EC57-4D6A-A9A4-0C8339416B8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99</Pages>
  <Words>59484</Words>
  <Characters>61624</Characters>
  <Lines>328</Lines>
  <Paragraphs>92</Paragraphs>
  <TotalTime>13</TotalTime>
  <ScaleCrop>false</ScaleCrop>
  <LinksUpToDate>false</LinksUpToDate>
  <CharactersWithSpaces>65577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2022-12-16T02:16:00Z</dcterms:created>
  <dc:creator>二条</dc:creator>
  <cp:lastModifiedBy>景伟的圈子</cp:lastModifiedBy>
  <cp:lastPrinted>2023-06-12T06:38:00Z</cp:lastPrinted>
  <dcterms:modified xsi:type="dcterms:W3CDTF">2023-06-13T10:11:39Z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266B8C75490A4305A2B2B9BB0CE8DF16_13</vt:lpwstr>
  </property>
</Properties>
</file>