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10005" w:type="dxa"/>
        <w:tblInd w:w="288" w:type="dxa"/>
        <w:tblBorders>
          <w:top w:val="single" w:color="auto" w:sz="18" w:space="0"/>
          <w:left w:val="single" w:color="auto" w:sz="18" w:space="0"/>
          <w:bottom w:val="single" w:color="auto" w:sz="18" w:space="0"/>
          <w:right w:val="single" w:color="auto" w:sz="18" w:space="0"/>
          <w:insideH w:val="none" w:color="auto" w:sz="0" w:space="0"/>
          <w:insideV w:val="none" w:color="auto" w:sz="0" w:space="0"/>
        </w:tblBorders>
        <w:tblLayout w:type="fixed"/>
        <w:tblCellMar>
          <w:top w:w="0" w:type="dxa"/>
          <w:left w:w="108" w:type="dxa"/>
          <w:bottom w:w="0" w:type="dxa"/>
          <w:right w:w="108" w:type="dxa"/>
        </w:tblCellMar>
      </w:tblPr>
      <w:tblGrid>
        <w:gridCol w:w="10005"/>
      </w:tblGrid>
      <w:tr>
        <w:tblPrEx>
          <w:tblBorders>
            <w:top w:val="single" w:color="auto" w:sz="18" w:space="0"/>
            <w:left w:val="single" w:color="auto" w:sz="18" w:space="0"/>
            <w:bottom w:val="single" w:color="auto" w:sz="18" w:space="0"/>
            <w:right w:val="single" w:color="auto" w:sz="18" w:space="0"/>
            <w:insideH w:val="none" w:color="auto" w:sz="0" w:space="0"/>
            <w:insideV w:val="none" w:color="auto" w:sz="0" w:space="0"/>
          </w:tblBorders>
          <w:tblCellMar>
            <w:top w:w="0" w:type="dxa"/>
            <w:left w:w="108" w:type="dxa"/>
            <w:bottom w:w="0" w:type="dxa"/>
            <w:right w:w="108" w:type="dxa"/>
          </w:tblCellMar>
        </w:tblPrEx>
        <w:trPr>
          <w:trHeight w:val="13019" w:hRule="atLeast"/>
        </w:trPr>
        <w:tc>
          <w:tcPr>
            <w:tcW w:w="10005" w:type="dxa"/>
            <w:tcBorders>
              <w:top w:val="single" w:color="auto" w:sz="18" w:space="0"/>
              <w:bottom w:val="single" w:color="auto" w:sz="18" w:space="0"/>
            </w:tcBorders>
          </w:tcPr>
          <w:p>
            <w:pPr>
              <w:tabs>
                <w:tab w:val="left" w:pos="972"/>
              </w:tabs>
              <w:spacing w:line="360" w:lineRule="auto"/>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一、工程概况：</w:t>
            </w:r>
            <w:r>
              <w:rPr>
                <w:rFonts w:hint="eastAsia" w:ascii="仿宋_GB2312" w:hAnsi="仿宋_GB2312" w:eastAsia="仿宋_GB2312" w:cs="仿宋_GB2312"/>
                <w:color w:val="auto"/>
                <w:sz w:val="30"/>
                <w:szCs w:val="30"/>
                <w:highlight w:val="none"/>
                <w:lang w:val="en-US" w:eastAsia="zh-CN"/>
              </w:rPr>
              <w:t>维投地产展营销示中心改造工程</w:t>
            </w:r>
            <w:r>
              <w:rPr>
                <w:rFonts w:hint="eastAsia" w:ascii="仿宋_GB2312" w:eastAsia="仿宋_GB2312"/>
                <w:color w:val="auto"/>
                <w:sz w:val="30"/>
                <w:szCs w:val="30"/>
                <w:highlight w:val="none"/>
                <w:lang w:val="en-US" w:eastAsia="zh-CN"/>
              </w:rPr>
              <w:t xml:space="preserve"> </w:t>
            </w:r>
          </w:p>
          <w:p>
            <w:pPr>
              <w:tabs>
                <w:tab w:val="left" w:pos="972"/>
              </w:tabs>
              <w:spacing w:line="360" w:lineRule="auto"/>
              <w:rPr>
                <w:rFonts w:hint="eastAsia" w:ascii="仿宋_GB2312" w:hAnsi="仿宋_GB2312" w:eastAsia="仿宋_GB2312" w:cs="仿宋_GB2312"/>
                <w:sz w:val="30"/>
                <w:szCs w:val="30"/>
                <w:lang w:eastAsia="zh-CN"/>
              </w:rPr>
            </w:pPr>
            <w:r>
              <w:rPr>
                <w:rFonts w:hint="eastAsia" w:ascii="仿宋_GB2312" w:hAnsi="仿宋_GB2312" w:eastAsia="仿宋_GB2312" w:cs="仿宋_GB2312"/>
                <w:kern w:val="0"/>
                <w:sz w:val="30"/>
                <w:szCs w:val="30"/>
              </w:rPr>
              <w:t>二、招标范围：</w:t>
            </w:r>
            <w:r>
              <w:rPr>
                <w:rFonts w:hint="eastAsia" w:ascii="仿宋_GB2312" w:eastAsia="仿宋_GB2312"/>
                <w:color w:val="auto"/>
                <w:sz w:val="30"/>
                <w:szCs w:val="30"/>
                <w:highlight w:val="none"/>
                <w:lang w:val="en-US" w:eastAsia="zh-CN"/>
              </w:rPr>
              <w:t>本项目设计</w:t>
            </w:r>
            <w:r>
              <w:rPr>
                <w:rFonts w:hint="eastAsia" w:ascii="仿宋_GB2312" w:hAnsi="仿宋_GB2312" w:eastAsia="仿宋_GB2312" w:cs="仿宋_GB2312"/>
                <w:sz w:val="30"/>
                <w:szCs w:val="30"/>
                <w:lang w:eastAsia="zh-CN"/>
              </w:rPr>
              <w:t>图纸范围内的</w:t>
            </w:r>
            <w:r>
              <w:rPr>
                <w:rFonts w:hint="eastAsia" w:ascii="仿宋_GB2312" w:hAnsi="仿宋_GB2312" w:eastAsia="仿宋_GB2312" w:cs="仿宋_GB2312"/>
                <w:color w:val="auto"/>
                <w:sz w:val="30"/>
                <w:szCs w:val="30"/>
                <w:highlight w:val="none"/>
                <w:lang w:val="en-US" w:eastAsia="zh-CN"/>
              </w:rPr>
              <w:t>装饰安装工程</w:t>
            </w:r>
            <w:r>
              <w:rPr>
                <w:rFonts w:hint="eastAsia" w:ascii="仿宋_GB2312" w:hAnsi="仿宋_GB2312" w:eastAsia="仿宋_GB2312" w:cs="仿宋_GB2312"/>
                <w:sz w:val="30"/>
                <w:szCs w:val="30"/>
                <w:lang w:eastAsia="zh-CN"/>
              </w:rPr>
              <w:t>。</w:t>
            </w:r>
          </w:p>
          <w:p>
            <w:pPr>
              <w:tabs>
                <w:tab w:val="left" w:pos="972"/>
              </w:tabs>
              <w:spacing w:line="360" w:lineRule="auto"/>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三、工程量清单编制依据：</w:t>
            </w:r>
          </w:p>
          <w:p>
            <w:pPr>
              <w:keepNext w:val="0"/>
              <w:keepLines w:val="0"/>
              <w:pageBreakBefore w:val="0"/>
              <w:widowControl/>
              <w:numPr>
                <w:ilvl w:val="0"/>
                <w:numId w:val="1"/>
              </w:numPr>
              <w:kinsoku/>
              <w:wordWrap/>
              <w:overflowPunct/>
              <w:topLinePunct w:val="0"/>
              <w:autoSpaceDE/>
              <w:autoSpaceDN/>
              <w:bidi w:val="0"/>
              <w:adjustRightInd/>
              <w:snapToGrid/>
              <w:spacing w:line="500" w:lineRule="exact"/>
              <w:ind w:left="0" w:leftChars="0" w:firstLine="350" w:firstLineChars="0"/>
              <w:jc w:val="left"/>
              <w:rPr>
                <w:rFonts w:hint="eastAsia" w:ascii="仿宋_GB2312" w:eastAsia="仿宋_GB2312"/>
                <w:color w:val="auto"/>
                <w:sz w:val="30"/>
                <w:szCs w:val="30"/>
                <w:highlight w:val="none"/>
              </w:rPr>
            </w:pPr>
            <w:r>
              <w:rPr>
                <w:rFonts w:hint="eastAsia" w:ascii="仿宋_GB2312" w:eastAsia="仿宋_GB2312"/>
                <w:color w:val="auto"/>
                <w:kern w:val="2"/>
                <w:sz w:val="30"/>
                <w:szCs w:val="30"/>
                <w:highlight w:val="none"/>
                <w:lang w:val="en-US" w:eastAsia="zh-CN" w:bidi="ar-SA"/>
              </w:rPr>
              <w:t>贵单</w:t>
            </w:r>
            <w:r>
              <w:rPr>
                <w:rFonts w:hint="eastAsia" w:ascii="仿宋_GB2312" w:eastAsia="仿宋_GB2312"/>
                <w:color w:val="auto"/>
                <w:sz w:val="30"/>
                <w:szCs w:val="30"/>
                <w:highlight w:val="none"/>
              </w:rPr>
              <w:t>位提供的</w:t>
            </w:r>
            <w:r>
              <w:rPr>
                <w:rFonts w:hint="eastAsia" w:ascii="仿宋_GB2312" w:hAnsi="仿宋_GB2312" w:eastAsia="仿宋_GB2312" w:cs="仿宋_GB2312"/>
                <w:color w:val="auto"/>
                <w:sz w:val="30"/>
                <w:szCs w:val="30"/>
                <w:highlight w:val="none"/>
                <w:lang w:val="en-US" w:eastAsia="zh-CN"/>
              </w:rPr>
              <w:t>“维投地产展示中心改造工程”施工图纸</w:t>
            </w:r>
            <w:r>
              <w:rPr>
                <w:rFonts w:hint="eastAsia" w:ascii="仿宋_GB2312" w:eastAsia="仿宋_GB2312"/>
                <w:color w:val="auto"/>
                <w:sz w:val="30"/>
                <w:szCs w:val="30"/>
                <w:highlight w:val="none"/>
              </w:rPr>
              <w:t>；</w:t>
            </w:r>
          </w:p>
          <w:p>
            <w:pPr>
              <w:keepNext w:val="0"/>
              <w:keepLines w:val="0"/>
              <w:pageBreakBefore w:val="0"/>
              <w:widowControl/>
              <w:numPr>
                <w:ilvl w:val="0"/>
                <w:numId w:val="1"/>
              </w:numPr>
              <w:kinsoku/>
              <w:wordWrap/>
              <w:overflowPunct/>
              <w:topLinePunct w:val="0"/>
              <w:autoSpaceDE/>
              <w:autoSpaceDN/>
              <w:bidi w:val="0"/>
              <w:adjustRightInd/>
              <w:snapToGrid/>
              <w:spacing w:line="500" w:lineRule="exact"/>
              <w:ind w:left="0" w:leftChars="0" w:firstLine="350" w:firstLineChars="0"/>
              <w:jc w:val="left"/>
              <w:rPr>
                <w:rFonts w:hint="eastAsia" w:ascii="仿宋_GB2312" w:eastAsia="仿宋_GB2312"/>
                <w:color w:val="auto"/>
                <w:sz w:val="30"/>
                <w:szCs w:val="30"/>
                <w:highlight w:val="none"/>
              </w:rPr>
            </w:pPr>
            <w:r>
              <w:rPr>
                <w:rFonts w:hint="eastAsia" w:ascii="仿宋_GB2312" w:hAnsi="仿宋_GB2312" w:eastAsia="仿宋_GB2312" w:cs="仿宋_GB2312"/>
                <w:color w:val="auto"/>
                <w:sz w:val="30"/>
                <w:szCs w:val="30"/>
                <w:highlight w:val="none"/>
                <w:lang w:val="en-US" w:eastAsia="zh-CN"/>
              </w:rPr>
              <w:t>《建设工程工程量清单计价规范》(GB 50500-2013 ) 、</w:t>
            </w:r>
            <w:r>
              <w:rPr>
                <w:rFonts w:hint="eastAsia" w:ascii="仿宋_GB2312" w:hAnsi="宋体" w:eastAsia="仿宋_GB2312"/>
                <w:color w:val="auto"/>
                <w:sz w:val="30"/>
                <w:szCs w:val="30"/>
                <w:highlight w:val="none"/>
              </w:rPr>
              <w:t>《房屋建筑与装饰工程工程量清单计算规范》（GB</w:t>
            </w:r>
            <w:r>
              <w:rPr>
                <w:rFonts w:hint="eastAsia" w:ascii="仿宋_GB2312" w:hAnsi="宋体" w:eastAsia="仿宋_GB2312"/>
                <w:color w:val="auto"/>
                <w:sz w:val="30"/>
                <w:szCs w:val="30"/>
                <w:highlight w:val="none"/>
                <w:lang w:val="en-US" w:eastAsia="zh-CN"/>
              </w:rPr>
              <w:t xml:space="preserve"> </w:t>
            </w:r>
            <w:r>
              <w:rPr>
                <w:rFonts w:ascii="仿宋_GB2312" w:hAnsi="宋体" w:eastAsia="仿宋_GB2312"/>
                <w:color w:val="auto"/>
                <w:sz w:val="30"/>
                <w:szCs w:val="30"/>
                <w:highlight w:val="none"/>
              </w:rPr>
              <w:t>50854-2013</w:t>
            </w:r>
            <w:r>
              <w:rPr>
                <w:rFonts w:hint="eastAsia" w:ascii="仿宋_GB2312" w:hAnsi="宋体" w:eastAsia="仿宋_GB2312"/>
                <w:color w:val="auto"/>
                <w:sz w:val="30"/>
                <w:szCs w:val="30"/>
                <w:highlight w:val="none"/>
              </w:rPr>
              <w:t>）</w:t>
            </w:r>
            <w:r>
              <w:rPr>
                <w:rFonts w:hint="eastAsia" w:ascii="仿宋_GB2312" w:eastAsia="仿宋_GB2312"/>
                <w:color w:val="auto"/>
                <w:sz w:val="30"/>
                <w:szCs w:val="30"/>
                <w:highlight w:val="none"/>
                <w:lang w:eastAsia="zh-CN"/>
              </w:rPr>
              <w:t>；</w:t>
            </w:r>
          </w:p>
          <w:p>
            <w:pPr>
              <w:keepNext w:val="0"/>
              <w:keepLines w:val="0"/>
              <w:pageBreakBefore w:val="0"/>
              <w:widowControl/>
              <w:numPr>
                <w:ilvl w:val="0"/>
                <w:numId w:val="1"/>
              </w:numPr>
              <w:kinsoku/>
              <w:wordWrap/>
              <w:overflowPunct/>
              <w:topLinePunct w:val="0"/>
              <w:autoSpaceDE/>
              <w:autoSpaceDN/>
              <w:bidi w:val="0"/>
              <w:adjustRightInd/>
              <w:snapToGrid/>
              <w:spacing w:line="500" w:lineRule="exact"/>
              <w:ind w:left="0" w:leftChars="0" w:firstLine="350" w:firstLineChars="0"/>
              <w:jc w:val="left"/>
              <w:rPr>
                <w:rFonts w:hint="eastAsia" w:ascii="仿宋_GB2312" w:eastAsia="仿宋_GB2312"/>
                <w:color w:val="auto"/>
                <w:sz w:val="30"/>
                <w:szCs w:val="30"/>
                <w:highlight w:val="none"/>
              </w:rPr>
            </w:pPr>
            <w:r>
              <w:rPr>
                <w:rFonts w:hint="eastAsia" w:ascii="仿宋_GB2312" w:hAnsi="仿宋_GB2312" w:eastAsia="仿宋_GB2312" w:cs="仿宋_GB2312"/>
                <w:color w:val="auto"/>
                <w:sz w:val="30"/>
                <w:szCs w:val="30"/>
                <w:highlight w:val="none"/>
                <w:lang w:val="en-US" w:eastAsia="zh-CN"/>
              </w:rPr>
              <w:t>《江苏省建筑与装饰工程计价表 》(2014)、</w:t>
            </w:r>
            <w:r>
              <w:rPr>
                <w:rFonts w:hint="eastAsia" w:ascii="仿宋_GB2312" w:hAnsi="宋体" w:eastAsia="仿宋_GB2312"/>
                <w:color w:val="auto"/>
                <w:sz w:val="30"/>
                <w:szCs w:val="30"/>
                <w:highlight w:val="none"/>
                <w:lang w:val="en-US" w:eastAsia="zh-CN"/>
              </w:rPr>
              <w:t>2009江苏修缮定额（土建）</w:t>
            </w:r>
            <w:r>
              <w:rPr>
                <w:rFonts w:hint="eastAsia" w:ascii="仿宋_GB2312" w:eastAsia="仿宋_GB2312"/>
                <w:color w:val="auto"/>
                <w:sz w:val="30"/>
                <w:szCs w:val="30"/>
                <w:highlight w:val="none"/>
                <w:lang w:eastAsia="zh-CN"/>
              </w:rPr>
              <w:t>；</w:t>
            </w:r>
          </w:p>
          <w:p>
            <w:pPr>
              <w:keepNext w:val="0"/>
              <w:keepLines w:val="0"/>
              <w:pageBreakBefore w:val="0"/>
              <w:widowControl/>
              <w:numPr>
                <w:ilvl w:val="0"/>
                <w:numId w:val="1"/>
              </w:numPr>
              <w:kinsoku/>
              <w:wordWrap/>
              <w:overflowPunct/>
              <w:topLinePunct w:val="0"/>
              <w:autoSpaceDE/>
              <w:autoSpaceDN/>
              <w:bidi w:val="0"/>
              <w:adjustRightInd/>
              <w:snapToGrid/>
              <w:spacing w:line="500" w:lineRule="exact"/>
              <w:ind w:left="0" w:leftChars="0" w:firstLine="350" w:firstLineChars="0"/>
              <w:jc w:val="left"/>
              <w:rPr>
                <w:rFonts w:hint="eastAsia" w:ascii="仿宋_GB2312" w:eastAsia="仿宋_GB2312"/>
                <w:color w:val="auto"/>
                <w:sz w:val="30"/>
                <w:szCs w:val="30"/>
                <w:highlight w:val="none"/>
              </w:rPr>
            </w:pPr>
            <w:r>
              <w:rPr>
                <w:rFonts w:hint="eastAsia" w:ascii="仿宋_GB2312" w:eastAsia="仿宋_GB2312"/>
                <w:color w:val="auto"/>
                <w:sz w:val="30"/>
                <w:szCs w:val="30"/>
                <w:highlight w:val="none"/>
              </w:rPr>
              <w:t>《江苏省建设工程费用定额》（2014）；</w:t>
            </w:r>
          </w:p>
          <w:p>
            <w:pPr>
              <w:keepNext w:val="0"/>
              <w:keepLines w:val="0"/>
              <w:pageBreakBefore w:val="0"/>
              <w:widowControl/>
              <w:numPr>
                <w:ilvl w:val="0"/>
                <w:numId w:val="1"/>
              </w:numPr>
              <w:kinsoku/>
              <w:wordWrap/>
              <w:overflowPunct/>
              <w:topLinePunct w:val="0"/>
              <w:autoSpaceDE/>
              <w:autoSpaceDN/>
              <w:bidi w:val="0"/>
              <w:adjustRightInd/>
              <w:snapToGrid/>
              <w:spacing w:line="500" w:lineRule="exact"/>
              <w:ind w:left="0" w:leftChars="0" w:firstLine="350" w:firstLineChars="0"/>
              <w:jc w:val="left"/>
              <w:rPr>
                <w:rFonts w:hint="eastAsia" w:ascii="仿宋_GB2312" w:eastAsia="仿宋_GB2312"/>
                <w:color w:val="auto"/>
                <w:sz w:val="30"/>
                <w:szCs w:val="30"/>
                <w:highlight w:val="none"/>
              </w:rPr>
            </w:pPr>
            <w:r>
              <w:rPr>
                <w:rFonts w:hint="eastAsia" w:ascii="仿宋_GB2312" w:eastAsia="仿宋_GB2312"/>
                <w:color w:val="auto"/>
                <w:sz w:val="30"/>
                <w:szCs w:val="30"/>
                <w:highlight w:val="none"/>
              </w:rPr>
              <w:t>人工工资执行苏建函价〔</w:t>
            </w:r>
            <w:r>
              <w:rPr>
                <w:rFonts w:hint="eastAsia" w:ascii="仿宋_GB2312" w:eastAsia="仿宋_GB2312"/>
                <w:color w:val="auto"/>
                <w:sz w:val="30"/>
                <w:szCs w:val="30"/>
                <w:highlight w:val="none"/>
                <w:lang w:val="en-US" w:eastAsia="zh-CN"/>
              </w:rPr>
              <w:t>2024</w:t>
            </w:r>
            <w:r>
              <w:rPr>
                <w:rFonts w:hint="eastAsia" w:ascii="仿宋_GB2312" w:eastAsia="仿宋_GB2312"/>
                <w:color w:val="auto"/>
                <w:sz w:val="30"/>
                <w:szCs w:val="30"/>
                <w:highlight w:val="none"/>
              </w:rPr>
              <w:t>〕</w:t>
            </w:r>
            <w:r>
              <w:rPr>
                <w:rFonts w:hint="eastAsia" w:ascii="仿宋_GB2312" w:eastAsia="仿宋_GB2312"/>
                <w:color w:val="auto"/>
                <w:sz w:val="30"/>
                <w:szCs w:val="30"/>
                <w:highlight w:val="none"/>
                <w:lang w:val="en-US" w:eastAsia="zh-CN"/>
              </w:rPr>
              <w:t>83</w:t>
            </w:r>
            <w:r>
              <w:rPr>
                <w:rFonts w:hint="eastAsia" w:ascii="仿宋_GB2312" w:eastAsia="仿宋_GB2312"/>
                <w:color w:val="auto"/>
                <w:sz w:val="30"/>
                <w:szCs w:val="30"/>
                <w:highlight w:val="none"/>
              </w:rPr>
              <w:t>号文</w:t>
            </w:r>
            <w:r>
              <w:rPr>
                <w:rFonts w:hint="eastAsia" w:ascii="仿宋_GB2312" w:hAnsi="仿宋_GB2312" w:eastAsia="仿宋_GB2312" w:cs="仿宋_GB2312"/>
                <w:color w:val="auto"/>
                <w:sz w:val="30"/>
                <w:szCs w:val="30"/>
                <w:highlight w:val="none"/>
                <w:lang w:val="en-US" w:eastAsia="zh-CN"/>
              </w:rPr>
              <w:t>《江苏省住房城乡建设厅关于发布建设工程人工工资指导价的通知》</w:t>
            </w:r>
            <w:r>
              <w:rPr>
                <w:rFonts w:hint="eastAsia" w:ascii="仿宋_GB2312" w:eastAsia="仿宋_GB2312"/>
                <w:color w:val="auto"/>
                <w:sz w:val="30"/>
                <w:szCs w:val="30"/>
                <w:highlight w:val="none"/>
              </w:rPr>
              <w:t>；</w:t>
            </w:r>
          </w:p>
          <w:p>
            <w:pPr>
              <w:keepNext w:val="0"/>
              <w:keepLines w:val="0"/>
              <w:pageBreakBefore w:val="0"/>
              <w:widowControl/>
              <w:numPr>
                <w:ilvl w:val="0"/>
                <w:numId w:val="1"/>
              </w:numPr>
              <w:kinsoku/>
              <w:wordWrap/>
              <w:overflowPunct/>
              <w:topLinePunct w:val="0"/>
              <w:autoSpaceDE/>
              <w:autoSpaceDN/>
              <w:bidi w:val="0"/>
              <w:adjustRightInd/>
              <w:snapToGrid/>
              <w:spacing w:line="500" w:lineRule="exact"/>
              <w:ind w:left="0" w:leftChars="0" w:firstLine="350" w:firstLineChars="0"/>
              <w:jc w:val="left"/>
              <w:rPr>
                <w:rFonts w:hint="eastAsia" w:ascii="仿宋_GB2312" w:eastAsia="仿宋_GB2312"/>
                <w:color w:val="auto"/>
                <w:sz w:val="30"/>
                <w:szCs w:val="30"/>
                <w:highlight w:val="none"/>
              </w:rPr>
            </w:pPr>
            <w:r>
              <w:rPr>
                <w:rFonts w:hint="eastAsia" w:ascii="仿宋_GB2312" w:eastAsia="仿宋_GB2312"/>
                <w:color w:val="auto"/>
                <w:sz w:val="30"/>
                <w:szCs w:val="30"/>
                <w:highlight w:val="none"/>
              </w:rPr>
              <w:t>《扬州工程造价管理》20</w:t>
            </w:r>
            <w:r>
              <w:rPr>
                <w:rFonts w:hint="eastAsia" w:ascii="仿宋_GB2312" w:eastAsia="仿宋_GB2312"/>
                <w:color w:val="auto"/>
                <w:sz w:val="30"/>
                <w:szCs w:val="30"/>
                <w:highlight w:val="none"/>
                <w:lang w:val="en-US" w:eastAsia="zh-CN"/>
              </w:rPr>
              <w:t>24</w:t>
            </w:r>
            <w:r>
              <w:rPr>
                <w:rFonts w:hint="eastAsia" w:ascii="仿宋_GB2312" w:eastAsia="仿宋_GB2312"/>
                <w:color w:val="auto"/>
                <w:sz w:val="30"/>
                <w:szCs w:val="30"/>
                <w:highlight w:val="none"/>
              </w:rPr>
              <w:t>年</w:t>
            </w:r>
            <w:r>
              <w:rPr>
                <w:rFonts w:hint="eastAsia" w:ascii="仿宋_GB2312" w:eastAsia="仿宋_GB2312"/>
                <w:color w:val="auto"/>
                <w:sz w:val="30"/>
                <w:szCs w:val="30"/>
                <w:highlight w:val="none"/>
                <w:lang w:val="en-US" w:eastAsia="zh-CN"/>
              </w:rPr>
              <w:t>4</w:t>
            </w:r>
            <w:r>
              <w:rPr>
                <w:rFonts w:hint="eastAsia" w:ascii="仿宋_GB2312" w:eastAsia="仿宋_GB2312"/>
                <w:color w:val="auto"/>
                <w:sz w:val="30"/>
                <w:szCs w:val="30"/>
                <w:highlight w:val="none"/>
              </w:rPr>
              <w:t>月，信息价中没有的材料，按市场询价；</w:t>
            </w:r>
          </w:p>
          <w:p>
            <w:pPr>
              <w:numPr>
                <w:ilvl w:val="0"/>
                <w:numId w:val="1"/>
              </w:numPr>
              <w:spacing w:line="480" w:lineRule="exact"/>
              <w:ind w:left="0" w:leftChars="0" w:firstLine="350" w:firstLineChars="0"/>
              <w:rPr>
                <w:rFonts w:hint="eastAsia" w:ascii="仿宋_GB2312" w:hAnsi="仿宋_GB2312" w:eastAsia="仿宋_GB2312" w:cs="仿宋_GB2312"/>
                <w:color w:val="auto"/>
                <w:sz w:val="30"/>
                <w:szCs w:val="30"/>
                <w:highlight w:val="none"/>
                <w:lang w:val="en-US" w:eastAsia="zh-CN"/>
              </w:rPr>
            </w:pPr>
            <w:r>
              <w:rPr>
                <w:rFonts w:hint="eastAsia" w:ascii="仿宋_GB2312" w:hAnsi="仿宋_GB2312" w:eastAsia="仿宋_GB2312" w:cs="仿宋_GB2312"/>
                <w:color w:val="auto"/>
                <w:sz w:val="30"/>
                <w:szCs w:val="30"/>
                <w:highlight w:val="none"/>
                <w:lang w:val="en-US" w:eastAsia="zh-CN"/>
              </w:rPr>
              <w:t>苏建价〔2016〕154号文《关于建筑业实施营改增后江苏省建设工程计价依据调整的通知》；</w:t>
            </w:r>
          </w:p>
          <w:p>
            <w:pPr>
              <w:numPr>
                <w:ilvl w:val="0"/>
                <w:numId w:val="1"/>
              </w:numPr>
              <w:spacing w:line="480" w:lineRule="exact"/>
              <w:ind w:left="0" w:leftChars="0" w:firstLine="350" w:firstLineChars="0"/>
              <w:rPr>
                <w:rFonts w:hint="eastAsia" w:ascii="仿宋_GB2312" w:hAnsi="仿宋_GB2312" w:eastAsia="仿宋_GB2312" w:cs="仿宋_GB2312"/>
                <w:color w:val="auto"/>
                <w:sz w:val="30"/>
                <w:szCs w:val="30"/>
                <w:highlight w:val="none"/>
                <w:lang w:val="en-US" w:eastAsia="zh-CN"/>
              </w:rPr>
            </w:pPr>
            <w:r>
              <w:rPr>
                <w:rFonts w:hint="eastAsia" w:ascii="仿宋_GB2312" w:hAnsi="仿宋_GB2312" w:eastAsia="仿宋_GB2312" w:cs="仿宋_GB2312"/>
                <w:color w:val="auto"/>
                <w:sz w:val="30"/>
                <w:szCs w:val="30"/>
                <w:highlight w:val="none"/>
                <w:lang w:val="en-US" w:eastAsia="zh-CN"/>
              </w:rPr>
              <w:t>苏建函价〔2019〕178号文江苏省住房和城乡建设厅关于调整建设工程计价增值税税率的通知；</w:t>
            </w:r>
          </w:p>
          <w:p>
            <w:pPr>
              <w:numPr>
                <w:ilvl w:val="0"/>
                <w:numId w:val="1"/>
              </w:numPr>
              <w:spacing w:line="480" w:lineRule="exact"/>
              <w:ind w:left="0" w:leftChars="0" w:firstLine="350" w:firstLineChars="0"/>
              <w:rPr>
                <w:rFonts w:hint="eastAsia" w:ascii="仿宋_GB2312" w:hAnsi="仿宋_GB2312" w:eastAsia="仿宋_GB2312" w:cs="仿宋_GB2312"/>
                <w:color w:val="auto"/>
                <w:sz w:val="30"/>
                <w:szCs w:val="30"/>
                <w:highlight w:val="none"/>
                <w:lang w:val="en-US" w:eastAsia="zh-CN"/>
              </w:rPr>
            </w:pPr>
            <w:r>
              <w:rPr>
                <w:rFonts w:hint="eastAsia" w:ascii="仿宋_GB2312" w:hAnsi="仿宋_GB2312" w:eastAsia="仿宋_GB2312" w:cs="仿宋_GB2312"/>
                <w:color w:val="auto"/>
                <w:sz w:val="30"/>
                <w:szCs w:val="30"/>
                <w:highlight w:val="none"/>
                <w:lang w:val="en-US" w:eastAsia="zh-CN"/>
              </w:rPr>
              <w:t>本项目拟定招标文件；</w:t>
            </w:r>
          </w:p>
          <w:p>
            <w:pPr>
              <w:numPr>
                <w:ilvl w:val="0"/>
                <w:numId w:val="1"/>
              </w:numPr>
              <w:spacing w:line="480" w:lineRule="exact"/>
              <w:ind w:left="0" w:leftChars="0" w:firstLine="350" w:firstLineChars="0"/>
              <w:rPr>
                <w:rFonts w:hint="eastAsia" w:ascii="仿宋_GB2312" w:hAnsi="仿宋_GB2312" w:eastAsia="仿宋_GB2312" w:cs="仿宋_GB2312"/>
                <w:color w:val="auto"/>
                <w:sz w:val="30"/>
                <w:szCs w:val="30"/>
                <w:highlight w:val="none"/>
                <w:lang w:val="en-US" w:eastAsia="zh-CN"/>
              </w:rPr>
            </w:pPr>
            <w:r>
              <w:rPr>
                <w:rFonts w:hint="eastAsia" w:ascii="仿宋_GB2312" w:hAnsi="仿宋_GB2312" w:eastAsia="仿宋_GB2312" w:cs="仿宋_GB2312"/>
                <w:color w:val="auto"/>
                <w:sz w:val="30"/>
                <w:szCs w:val="30"/>
                <w:highlight w:val="none"/>
                <w:lang w:val="en-US" w:eastAsia="zh-CN"/>
              </w:rPr>
              <w:t>施工现场情况；</w:t>
            </w:r>
          </w:p>
          <w:p>
            <w:pPr>
              <w:numPr>
                <w:ilvl w:val="0"/>
                <w:numId w:val="1"/>
              </w:numPr>
              <w:spacing w:line="480" w:lineRule="exact"/>
              <w:ind w:left="0" w:leftChars="0" w:firstLine="350" w:firstLineChars="0"/>
              <w:rPr>
                <w:rFonts w:hint="eastAsia" w:ascii="仿宋_GB2312" w:hAnsi="仿宋_GB2312" w:eastAsia="仿宋_GB2312" w:cs="仿宋_GB2312"/>
                <w:color w:val="auto"/>
                <w:sz w:val="30"/>
                <w:szCs w:val="30"/>
                <w:highlight w:val="none"/>
                <w:lang w:val="en-US" w:eastAsia="zh-CN"/>
              </w:rPr>
            </w:pPr>
            <w:r>
              <w:rPr>
                <w:rFonts w:hint="eastAsia" w:ascii="仿宋_GB2312" w:hAnsi="仿宋_GB2312" w:eastAsia="仿宋_GB2312" w:cs="仿宋_GB2312"/>
                <w:color w:val="auto"/>
                <w:sz w:val="30"/>
                <w:szCs w:val="30"/>
                <w:highlight w:val="none"/>
                <w:lang w:val="en-US" w:eastAsia="zh-CN"/>
              </w:rPr>
              <w:t>各级建设行政主管部门发布的现行计价规定；</w:t>
            </w:r>
          </w:p>
          <w:p>
            <w:pPr>
              <w:numPr>
                <w:ilvl w:val="0"/>
                <w:numId w:val="1"/>
              </w:numPr>
              <w:spacing w:line="480" w:lineRule="exact"/>
              <w:ind w:left="0" w:leftChars="0" w:firstLine="350" w:firstLineChars="0"/>
              <w:rPr>
                <w:rFonts w:hint="eastAsia" w:ascii="仿宋_GB2312" w:hAnsi="仿宋_GB2312" w:eastAsia="仿宋_GB2312" w:cs="仿宋_GB2312"/>
                <w:color w:val="auto"/>
                <w:sz w:val="30"/>
                <w:szCs w:val="30"/>
                <w:highlight w:val="none"/>
                <w:lang w:val="en-US" w:eastAsia="zh-CN"/>
              </w:rPr>
            </w:pPr>
            <w:r>
              <w:rPr>
                <w:rFonts w:hint="eastAsia" w:ascii="仿宋_GB2312" w:hAnsi="仿宋_GB2312" w:eastAsia="仿宋_GB2312" w:cs="仿宋_GB2312"/>
                <w:color w:val="auto"/>
                <w:sz w:val="30"/>
                <w:szCs w:val="30"/>
                <w:highlight w:val="none"/>
                <w:lang w:val="en-US" w:eastAsia="zh-CN"/>
              </w:rPr>
              <w:t>建设单位提供的相关说明；</w:t>
            </w:r>
          </w:p>
          <w:p>
            <w:pPr>
              <w:numPr>
                <w:ilvl w:val="0"/>
                <w:numId w:val="1"/>
              </w:numPr>
              <w:spacing w:line="480" w:lineRule="exact"/>
              <w:ind w:left="0" w:leftChars="0" w:firstLine="350" w:firstLineChars="0"/>
              <w:rPr>
                <w:rFonts w:hint="eastAsia" w:ascii="仿宋_GB2312" w:hAnsi="仿宋_GB2312" w:eastAsia="仿宋_GB2312" w:cs="仿宋_GB2312"/>
                <w:color w:val="auto"/>
                <w:sz w:val="30"/>
                <w:szCs w:val="30"/>
                <w:highlight w:val="none"/>
                <w:lang w:val="en-US" w:eastAsia="zh-CN"/>
              </w:rPr>
            </w:pPr>
            <w:r>
              <w:rPr>
                <w:rFonts w:hint="eastAsia" w:ascii="仿宋_GB2312" w:hAnsi="仿宋_GB2312" w:eastAsia="仿宋_GB2312" w:cs="仿宋_GB2312"/>
                <w:color w:val="auto"/>
                <w:sz w:val="30"/>
                <w:szCs w:val="30"/>
                <w:highlight w:val="none"/>
                <w:lang w:val="en-US" w:eastAsia="zh-CN"/>
              </w:rPr>
              <w:t>其他相关资料。</w:t>
            </w:r>
          </w:p>
          <w:p>
            <w:pPr>
              <w:tabs>
                <w:tab w:val="left" w:pos="972"/>
              </w:tabs>
              <w:spacing w:line="360" w:lineRule="auto"/>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四、其他需说明的问题： </w:t>
            </w:r>
          </w:p>
          <w:p>
            <w:pPr>
              <w:keepNext w:val="0"/>
              <w:keepLines w:val="0"/>
              <w:pageBreakBefore w:val="0"/>
              <w:widowControl/>
              <w:numPr>
                <w:ilvl w:val="0"/>
                <w:numId w:val="2"/>
              </w:numPr>
              <w:kinsoku/>
              <w:wordWrap/>
              <w:overflowPunct/>
              <w:topLinePunct w:val="0"/>
              <w:autoSpaceDE/>
              <w:autoSpaceDN/>
              <w:bidi w:val="0"/>
              <w:adjustRightInd/>
              <w:snapToGrid/>
              <w:spacing w:line="500" w:lineRule="exact"/>
              <w:ind w:left="0" w:leftChars="0" w:firstLine="350" w:firstLineChars="0"/>
              <w:jc w:val="left"/>
              <w:rPr>
                <w:rFonts w:hint="eastAsia" w:ascii="仿宋_GB2312" w:eastAsia="仿宋_GB2312"/>
                <w:color w:val="auto"/>
                <w:kern w:val="2"/>
                <w:sz w:val="30"/>
                <w:szCs w:val="30"/>
                <w:highlight w:val="none"/>
                <w:lang w:val="en-US" w:eastAsia="zh-CN" w:bidi="ar-SA"/>
              </w:rPr>
            </w:pPr>
            <w:r>
              <w:rPr>
                <w:rFonts w:hint="eastAsia" w:ascii="仿宋_GB2312" w:eastAsia="仿宋_GB2312"/>
                <w:color w:val="auto"/>
                <w:kern w:val="2"/>
                <w:sz w:val="30"/>
                <w:szCs w:val="30"/>
                <w:highlight w:val="none"/>
                <w:lang w:val="en-US" w:eastAsia="zh-CN" w:bidi="ar-SA"/>
              </w:rPr>
              <w:t>本工程按一般计税方法计价；</w:t>
            </w:r>
          </w:p>
          <w:p>
            <w:pPr>
              <w:keepNext w:val="0"/>
              <w:keepLines w:val="0"/>
              <w:pageBreakBefore w:val="0"/>
              <w:widowControl/>
              <w:numPr>
                <w:ilvl w:val="0"/>
                <w:numId w:val="2"/>
              </w:numPr>
              <w:kinsoku/>
              <w:wordWrap/>
              <w:overflowPunct/>
              <w:topLinePunct w:val="0"/>
              <w:autoSpaceDE/>
              <w:autoSpaceDN/>
              <w:bidi w:val="0"/>
              <w:adjustRightInd/>
              <w:snapToGrid/>
              <w:spacing w:line="500" w:lineRule="exact"/>
              <w:ind w:left="0" w:leftChars="0" w:firstLine="350" w:firstLineChars="0"/>
              <w:jc w:val="left"/>
              <w:rPr>
                <w:rFonts w:hint="eastAsia" w:ascii="仿宋_GB2312" w:eastAsia="仿宋_GB2312"/>
                <w:color w:val="auto"/>
                <w:kern w:val="2"/>
                <w:sz w:val="30"/>
                <w:szCs w:val="30"/>
                <w:highlight w:val="none"/>
                <w:lang w:val="en-US" w:eastAsia="zh-CN" w:bidi="ar-SA"/>
              </w:rPr>
            </w:pPr>
            <w:r>
              <w:rPr>
                <w:rFonts w:hint="eastAsia" w:ascii="仿宋_GB2312" w:eastAsia="仿宋_GB2312"/>
                <w:color w:val="auto"/>
                <w:kern w:val="2"/>
                <w:sz w:val="30"/>
                <w:szCs w:val="30"/>
                <w:highlight w:val="none"/>
                <w:lang w:val="en-US" w:eastAsia="zh-CN" w:bidi="ar-SA"/>
              </w:rPr>
              <w:t>暂定价情况 ：</w:t>
            </w:r>
            <w:r>
              <w:rPr>
                <w:rFonts w:hint="eastAsia" w:ascii="仿宋_GB2312" w:eastAsia="仿宋_GB2312"/>
                <w:color w:val="auto"/>
                <w:sz w:val="30"/>
                <w:szCs w:val="30"/>
                <w:lang w:val="en-US" w:eastAsia="zh-CN"/>
              </w:rPr>
              <w:t>无</w:t>
            </w:r>
            <w:r>
              <w:rPr>
                <w:rFonts w:hint="eastAsia" w:ascii="仿宋_GB2312" w:eastAsia="仿宋_GB2312"/>
                <w:color w:val="auto"/>
                <w:kern w:val="2"/>
                <w:sz w:val="30"/>
                <w:szCs w:val="30"/>
                <w:highlight w:val="none"/>
                <w:lang w:val="en-US" w:eastAsia="zh-CN" w:bidi="ar-SA"/>
              </w:rPr>
              <w:t>；</w:t>
            </w:r>
          </w:p>
          <w:p>
            <w:pPr>
              <w:keepNext w:val="0"/>
              <w:keepLines w:val="0"/>
              <w:pageBreakBefore w:val="0"/>
              <w:widowControl/>
              <w:numPr>
                <w:ilvl w:val="0"/>
                <w:numId w:val="2"/>
              </w:numPr>
              <w:kinsoku/>
              <w:wordWrap/>
              <w:overflowPunct/>
              <w:topLinePunct w:val="0"/>
              <w:autoSpaceDE/>
              <w:autoSpaceDN/>
              <w:bidi w:val="0"/>
              <w:adjustRightInd/>
              <w:snapToGrid/>
              <w:spacing w:line="500" w:lineRule="exact"/>
              <w:ind w:left="0" w:leftChars="0" w:firstLine="350" w:firstLineChars="0"/>
              <w:jc w:val="left"/>
              <w:rPr>
                <w:rFonts w:hint="eastAsia" w:ascii="仿宋_GB2312" w:eastAsia="仿宋_GB2312"/>
                <w:color w:val="auto"/>
                <w:kern w:val="2"/>
                <w:sz w:val="30"/>
                <w:szCs w:val="30"/>
                <w:highlight w:val="none"/>
                <w:lang w:val="en-US" w:eastAsia="zh-CN" w:bidi="ar-SA"/>
              </w:rPr>
            </w:pPr>
            <w:r>
              <w:rPr>
                <w:rFonts w:hint="eastAsia" w:ascii="仿宋_GB2312" w:eastAsia="仿宋_GB2312"/>
                <w:color w:val="auto"/>
                <w:kern w:val="2"/>
                <w:sz w:val="30"/>
                <w:szCs w:val="30"/>
                <w:highlight w:val="none"/>
                <w:lang w:val="en-US" w:eastAsia="zh-CN" w:bidi="ar-SA"/>
              </w:rPr>
              <w:t>暂列金额情况：详见工程量清单；</w:t>
            </w:r>
          </w:p>
          <w:p>
            <w:pPr>
              <w:keepNext w:val="0"/>
              <w:keepLines w:val="0"/>
              <w:pageBreakBefore w:val="0"/>
              <w:widowControl/>
              <w:numPr>
                <w:ilvl w:val="0"/>
                <w:numId w:val="2"/>
              </w:numPr>
              <w:kinsoku/>
              <w:wordWrap/>
              <w:overflowPunct/>
              <w:topLinePunct w:val="0"/>
              <w:autoSpaceDE/>
              <w:autoSpaceDN/>
              <w:bidi w:val="0"/>
              <w:adjustRightInd/>
              <w:snapToGrid/>
              <w:spacing w:line="500" w:lineRule="exact"/>
              <w:ind w:left="0" w:leftChars="0" w:firstLine="350" w:firstLineChars="0"/>
              <w:jc w:val="left"/>
              <w:rPr>
                <w:rFonts w:hint="eastAsia" w:ascii="仿宋_GB2312" w:eastAsia="仿宋_GB2312"/>
                <w:color w:val="auto"/>
                <w:kern w:val="2"/>
                <w:sz w:val="30"/>
                <w:szCs w:val="30"/>
                <w:highlight w:val="none"/>
                <w:lang w:val="en-US" w:eastAsia="zh-CN" w:bidi="ar-SA"/>
              </w:rPr>
            </w:pPr>
            <w:r>
              <w:rPr>
                <w:rFonts w:hint="eastAsia" w:ascii="仿宋_GB2312" w:eastAsia="仿宋_GB2312"/>
                <w:color w:val="auto"/>
                <w:kern w:val="2"/>
                <w:sz w:val="30"/>
                <w:szCs w:val="30"/>
                <w:highlight w:val="none"/>
                <w:lang w:val="en-US" w:eastAsia="zh-CN" w:bidi="ar-SA"/>
              </w:rPr>
              <w:t>安全文明施工费计取情况：招标控制价中现场安全文明施工费计取基本费、增加费及扬尘污染防治费，结算时按核定费用计取，未核定则扣除；</w:t>
            </w:r>
          </w:p>
          <w:p>
            <w:pPr>
              <w:keepNext w:val="0"/>
              <w:keepLines w:val="0"/>
              <w:pageBreakBefore w:val="0"/>
              <w:widowControl/>
              <w:numPr>
                <w:ilvl w:val="0"/>
                <w:numId w:val="2"/>
              </w:numPr>
              <w:kinsoku/>
              <w:wordWrap/>
              <w:overflowPunct/>
              <w:topLinePunct w:val="0"/>
              <w:autoSpaceDE/>
              <w:autoSpaceDN/>
              <w:bidi w:val="0"/>
              <w:adjustRightInd/>
              <w:snapToGrid/>
              <w:spacing w:line="500" w:lineRule="exact"/>
              <w:ind w:left="0" w:leftChars="0" w:firstLine="350" w:firstLineChars="0"/>
              <w:jc w:val="left"/>
              <w:rPr>
                <w:rFonts w:hint="eastAsia" w:ascii="仿宋_GB2312" w:eastAsia="仿宋_GB2312"/>
                <w:color w:val="auto"/>
                <w:kern w:val="2"/>
                <w:sz w:val="30"/>
                <w:szCs w:val="30"/>
                <w:highlight w:val="none"/>
                <w:lang w:val="en-US" w:eastAsia="zh-CN" w:bidi="ar-SA"/>
              </w:rPr>
            </w:pPr>
            <w:r>
              <w:rPr>
                <w:rFonts w:hint="eastAsia" w:ascii="仿宋_GB2312" w:eastAsia="仿宋_GB2312"/>
                <w:color w:val="auto"/>
                <w:kern w:val="2"/>
                <w:sz w:val="30"/>
                <w:szCs w:val="30"/>
                <w:highlight w:val="none"/>
                <w:lang w:val="en-US" w:eastAsia="zh-CN" w:bidi="ar-SA"/>
              </w:rPr>
              <w:t>本工程不计取环境保护税；</w:t>
            </w:r>
          </w:p>
          <w:p>
            <w:pPr>
              <w:keepNext w:val="0"/>
              <w:keepLines w:val="0"/>
              <w:pageBreakBefore w:val="0"/>
              <w:widowControl/>
              <w:numPr>
                <w:ilvl w:val="0"/>
                <w:numId w:val="2"/>
              </w:numPr>
              <w:kinsoku/>
              <w:wordWrap/>
              <w:overflowPunct/>
              <w:topLinePunct w:val="0"/>
              <w:autoSpaceDE/>
              <w:autoSpaceDN/>
              <w:bidi w:val="0"/>
              <w:adjustRightInd/>
              <w:snapToGrid/>
              <w:spacing w:line="500" w:lineRule="exact"/>
              <w:ind w:left="0" w:leftChars="0" w:firstLine="350" w:firstLineChars="0"/>
              <w:jc w:val="left"/>
              <w:rPr>
                <w:rFonts w:hint="eastAsia" w:ascii="仿宋_GB2312" w:hAnsi="仿宋_GB2312" w:eastAsia="仿宋_GB2312" w:cs="仿宋_GB2312"/>
                <w:color w:val="auto"/>
                <w:sz w:val="30"/>
                <w:szCs w:val="30"/>
                <w:highlight w:val="none"/>
                <w:lang w:val="en-US" w:eastAsia="zh-CN"/>
              </w:rPr>
            </w:pPr>
            <w:r>
              <w:rPr>
                <w:rFonts w:hint="eastAsia" w:ascii="仿宋_GB2312" w:eastAsia="仿宋_GB2312"/>
                <w:color w:val="auto"/>
                <w:kern w:val="2"/>
                <w:sz w:val="30"/>
                <w:szCs w:val="30"/>
                <w:highlight w:val="none"/>
                <w:lang w:val="en-US" w:eastAsia="zh-CN" w:bidi="ar-SA"/>
              </w:rPr>
              <w:t>本工程不计取赶工措施费；</w:t>
            </w:r>
          </w:p>
          <w:p>
            <w:pPr>
              <w:spacing w:line="480" w:lineRule="exact"/>
              <w:ind w:firstLine="300" w:firstLineChars="100"/>
              <w:rPr>
                <w:rFonts w:hint="default" w:ascii="仿宋_GB2312" w:hAnsi="仿宋" w:eastAsia="仿宋_GB2312" w:cs="Times New Roman"/>
                <w:b w:val="0"/>
                <w:bCs w:val="0"/>
                <w:sz w:val="30"/>
                <w:szCs w:val="30"/>
                <w:lang w:val="en-US" w:eastAsia="zh-CN"/>
              </w:rPr>
            </w:pPr>
            <w:r>
              <w:rPr>
                <w:rFonts w:hint="eastAsia" w:ascii="仿宋_GB2312" w:hAnsi="仿宋" w:eastAsia="仿宋_GB2312" w:cs="Times New Roman"/>
                <w:b w:val="0"/>
                <w:bCs w:val="0"/>
                <w:sz w:val="30"/>
                <w:szCs w:val="30"/>
                <w:lang w:val="en-US" w:eastAsia="zh-CN"/>
              </w:rPr>
              <w:t>7、干挂石材钢骨架竖向8#镀锌槽钢5mm厚，间距600,横向50*5镀锌角钢，每块石材上下各一道；</w:t>
            </w:r>
          </w:p>
          <w:p>
            <w:pPr>
              <w:spacing w:line="480" w:lineRule="exact"/>
              <w:ind w:firstLine="300" w:firstLineChars="100"/>
              <w:rPr>
                <w:rFonts w:hint="default" w:ascii="仿宋_GB2312" w:hAnsi="仿宋" w:eastAsia="仿宋_GB2312" w:cs="Times New Roman"/>
                <w:b w:val="0"/>
                <w:bCs w:val="0"/>
                <w:sz w:val="30"/>
                <w:szCs w:val="30"/>
                <w:lang w:val="en-US" w:eastAsia="zh-CN"/>
              </w:rPr>
            </w:pPr>
            <w:r>
              <w:rPr>
                <w:rFonts w:hint="eastAsia" w:ascii="仿宋_GB2312" w:hAnsi="仿宋" w:eastAsia="仿宋_GB2312" w:cs="Times New Roman"/>
                <w:b w:val="0"/>
                <w:bCs w:val="0"/>
                <w:sz w:val="30"/>
                <w:szCs w:val="30"/>
                <w:lang w:val="en-US" w:eastAsia="zh-CN"/>
              </w:rPr>
              <w:t>8、移门边框按铝合金边框考虑，玻璃按12mm厚钢化玻璃；</w:t>
            </w:r>
          </w:p>
          <w:p>
            <w:pPr>
              <w:spacing w:line="480" w:lineRule="exact"/>
              <w:ind w:firstLine="300" w:firstLineChars="100"/>
              <w:rPr>
                <w:rFonts w:hint="eastAsia" w:ascii="仿宋_GB2312" w:hAnsi="仿宋" w:eastAsia="仿宋_GB2312" w:cs="Times New Roman"/>
                <w:b w:val="0"/>
                <w:bCs w:val="0"/>
                <w:sz w:val="30"/>
                <w:szCs w:val="30"/>
                <w:lang w:val="en-US" w:eastAsia="zh-CN"/>
              </w:rPr>
            </w:pPr>
            <w:r>
              <w:rPr>
                <w:rFonts w:hint="eastAsia" w:ascii="仿宋_GB2312" w:hAnsi="仿宋" w:eastAsia="仿宋_GB2312" w:cs="Times New Roman"/>
                <w:b w:val="0"/>
                <w:bCs w:val="0"/>
                <w:sz w:val="30"/>
                <w:szCs w:val="30"/>
                <w:lang w:val="en-US" w:eastAsia="zh-CN"/>
              </w:rPr>
              <w:t>9、墙地砖均考虑美缝；</w:t>
            </w:r>
          </w:p>
          <w:p>
            <w:pPr>
              <w:spacing w:line="480" w:lineRule="exact"/>
              <w:ind w:firstLine="300" w:firstLineChars="100"/>
              <w:rPr>
                <w:rFonts w:hint="eastAsia" w:ascii="仿宋_GB2312" w:hAnsi="仿宋" w:eastAsia="仿宋_GB2312" w:cs="Times New Roman"/>
                <w:b w:val="0"/>
                <w:bCs w:val="0"/>
                <w:sz w:val="30"/>
                <w:szCs w:val="30"/>
                <w:lang w:val="en-US" w:eastAsia="zh-CN"/>
              </w:rPr>
            </w:pPr>
            <w:r>
              <w:rPr>
                <w:rFonts w:hint="eastAsia" w:ascii="仿宋_GB2312" w:hAnsi="仿宋" w:eastAsia="仿宋_GB2312" w:cs="Times New Roman"/>
                <w:b w:val="0"/>
                <w:bCs w:val="0"/>
                <w:sz w:val="30"/>
                <w:szCs w:val="30"/>
                <w:lang w:val="en-US" w:eastAsia="zh-CN"/>
              </w:rPr>
              <w:t>10、轻质砌块砖隔墙按A5.0  B06蒸压砂加气混凝土砌块，M5混合砂浆砌筑；</w:t>
            </w:r>
          </w:p>
          <w:p>
            <w:pPr>
              <w:spacing w:line="480" w:lineRule="exact"/>
              <w:ind w:firstLine="300" w:firstLineChars="100"/>
              <w:rPr>
                <w:rFonts w:hint="eastAsia" w:ascii="仿宋_GB2312" w:hAnsi="仿宋" w:eastAsia="仿宋_GB2312" w:cs="Times New Roman"/>
                <w:b w:val="0"/>
                <w:bCs w:val="0"/>
                <w:sz w:val="30"/>
                <w:szCs w:val="30"/>
                <w:lang w:val="en-US" w:eastAsia="zh-CN"/>
              </w:rPr>
            </w:pPr>
            <w:r>
              <w:rPr>
                <w:rFonts w:hint="eastAsia" w:ascii="仿宋_GB2312" w:hAnsi="仿宋" w:eastAsia="仿宋_GB2312" w:cs="Times New Roman"/>
                <w:b w:val="0"/>
                <w:bCs w:val="0"/>
                <w:sz w:val="30"/>
                <w:szCs w:val="30"/>
                <w:lang w:val="en-US" w:eastAsia="zh-CN"/>
              </w:rPr>
              <w:t>11、卫生间墙下考虑C25素砼止水坎，200mm高；</w:t>
            </w:r>
          </w:p>
          <w:p>
            <w:pPr>
              <w:spacing w:line="480" w:lineRule="exact"/>
              <w:ind w:firstLine="300" w:firstLineChars="100"/>
              <w:rPr>
                <w:rFonts w:hint="eastAsia" w:ascii="仿宋_GB2312" w:hAnsi="仿宋" w:eastAsia="仿宋_GB2312" w:cs="Times New Roman"/>
                <w:b w:val="0"/>
                <w:bCs w:val="0"/>
                <w:sz w:val="30"/>
                <w:szCs w:val="30"/>
                <w:lang w:val="en-US" w:eastAsia="zh-CN"/>
              </w:rPr>
            </w:pPr>
            <w:r>
              <w:rPr>
                <w:rFonts w:hint="eastAsia" w:ascii="仿宋_GB2312" w:hAnsi="仿宋" w:eastAsia="仿宋_GB2312" w:cs="Times New Roman"/>
                <w:b w:val="0"/>
                <w:bCs w:val="0"/>
                <w:sz w:val="30"/>
                <w:szCs w:val="30"/>
                <w:lang w:val="en-US" w:eastAsia="zh-CN"/>
              </w:rPr>
              <w:t xml:space="preserve">12、2F电梯厅、门厅交接处钢骨架隔墙40*80镀锌方管横向@600，40*40镀锌方管竖向@600；  </w:t>
            </w:r>
          </w:p>
          <w:p>
            <w:pPr>
              <w:spacing w:line="480" w:lineRule="exact"/>
              <w:ind w:firstLine="300" w:firstLineChars="100"/>
              <w:rPr>
                <w:rFonts w:hint="eastAsia" w:ascii="仿宋_GB2312" w:hAnsi="仿宋" w:eastAsia="仿宋_GB2312" w:cs="Times New Roman"/>
                <w:b w:val="0"/>
                <w:bCs w:val="0"/>
                <w:sz w:val="30"/>
                <w:szCs w:val="30"/>
                <w:lang w:val="en-US" w:eastAsia="zh-CN"/>
              </w:rPr>
            </w:pPr>
            <w:r>
              <w:rPr>
                <w:rFonts w:hint="eastAsia" w:ascii="仿宋_GB2312" w:hAnsi="仿宋" w:eastAsia="仿宋_GB2312" w:cs="Times New Roman"/>
                <w:b w:val="0"/>
                <w:bCs w:val="0"/>
                <w:sz w:val="30"/>
                <w:szCs w:val="30"/>
                <w:lang w:val="en-US" w:eastAsia="zh-CN"/>
              </w:rPr>
              <w:t>13、涂膜防水：卫生间、更衣室墙面0.45m高、淋浴间墙面2.7m高；</w:t>
            </w:r>
          </w:p>
          <w:p>
            <w:pPr>
              <w:numPr>
                <w:ilvl w:val="0"/>
                <w:numId w:val="0"/>
              </w:numPr>
              <w:spacing w:line="480" w:lineRule="exact"/>
              <w:ind w:firstLine="300" w:firstLineChars="100"/>
              <w:rPr>
                <w:rFonts w:hint="default" w:ascii="仿宋_GB2312" w:hAnsi="仿宋" w:eastAsia="仿宋_GB2312" w:cs="Times New Roman"/>
                <w:b w:val="0"/>
                <w:bCs w:val="0"/>
                <w:sz w:val="30"/>
                <w:szCs w:val="30"/>
                <w:lang w:val="en-US" w:eastAsia="zh-CN"/>
              </w:rPr>
            </w:pPr>
            <w:r>
              <w:rPr>
                <w:rFonts w:hint="eastAsia" w:ascii="仿宋_GB2312" w:hAnsi="仿宋" w:eastAsia="仿宋_GB2312" w:cs="Times New Roman"/>
                <w:b w:val="0"/>
                <w:bCs w:val="0"/>
                <w:sz w:val="30"/>
                <w:szCs w:val="30"/>
                <w:lang w:val="en-US" w:eastAsia="zh-CN"/>
              </w:rPr>
              <w:t>14、淋浴间隔断：</w:t>
            </w:r>
            <w:r>
              <w:rPr>
                <w:rFonts w:hint="default" w:ascii="仿宋_GB2312" w:hAnsi="仿宋" w:eastAsia="仿宋_GB2312" w:cs="Times New Roman"/>
                <w:b w:val="0"/>
                <w:bCs w:val="0"/>
                <w:sz w:val="30"/>
                <w:szCs w:val="30"/>
                <w:lang w:val="en-US" w:eastAsia="zh-CN"/>
              </w:rPr>
              <w:t>10mm钢化玻璃贴防爆膜</w:t>
            </w:r>
            <w:r>
              <w:rPr>
                <w:rFonts w:hint="eastAsia" w:ascii="仿宋_GB2312" w:hAnsi="仿宋" w:eastAsia="仿宋_GB2312" w:cs="Times New Roman"/>
                <w:b w:val="0"/>
                <w:bCs w:val="0"/>
                <w:sz w:val="30"/>
                <w:szCs w:val="30"/>
                <w:lang w:val="en-US" w:eastAsia="zh-CN"/>
              </w:rPr>
              <w:t>；</w:t>
            </w:r>
          </w:p>
          <w:p>
            <w:pPr>
              <w:numPr>
                <w:ilvl w:val="0"/>
                <w:numId w:val="0"/>
              </w:numPr>
              <w:spacing w:line="480" w:lineRule="exact"/>
              <w:ind w:firstLine="300" w:firstLineChars="100"/>
              <w:rPr>
                <w:rFonts w:hint="default" w:ascii="仿宋_GB2312" w:hAnsi="仿宋" w:eastAsia="仿宋_GB2312" w:cs="Times New Roman"/>
                <w:b w:val="0"/>
                <w:bCs w:val="0"/>
                <w:sz w:val="30"/>
                <w:szCs w:val="30"/>
                <w:lang w:val="en-US" w:eastAsia="zh-CN"/>
              </w:rPr>
            </w:pPr>
            <w:r>
              <w:rPr>
                <w:rFonts w:hint="eastAsia" w:ascii="仿宋_GB2312" w:hAnsi="仿宋" w:eastAsia="仿宋_GB2312" w:cs="Times New Roman"/>
                <w:b w:val="0"/>
                <w:bCs w:val="0"/>
                <w:sz w:val="30"/>
                <w:szCs w:val="30"/>
                <w:lang w:val="en-US" w:eastAsia="zh-CN"/>
              </w:rPr>
              <w:t>15、格栅吊顶龙骨φ8全丝杆吊筋H=880mm，D50轻钢龙骨；</w:t>
            </w:r>
          </w:p>
          <w:p>
            <w:pPr>
              <w:numPr>
                <w:ilvl w:val="0"/>
                <w:numId w:val="0"/>
              </w:numPr>
              <w:spacing w:line="480" w:lineRule="exact"/>
              <w:ind w:firstLine="300" w:firstLineChars="100"/>
              <w:rPr>
                <w:rFonts w:hint="default" w:ascii="仿宋_GB2312" w:hAnsi="仿宋" w:eastAsia="仿宋_GB2312" w:cs="Times New Roman"/>
                <w:b w:val="0"/>
                <w:bCs w:val="0"/>
                <w:sz w:val="30"/>
                <w:szCs w:val="30"/>
                <w:lang w:val="en-US" w:eastAsia="zh-CN"/>
              </w:rPr>
            </w:pPr>
            <w:r>
              <w:rPr>
                <w:rFonts w:hint="eastAsia" w:ascii="仿宋_GB2312" w:hAnsi="仿宋" w:eastAsia="仿宋_GB2312" w:cs="Times New Roman"/>
                <w:b w:val="0"/>
                <w:bCs w:val="0"/>
                <w:sz w:val="30"/>
                <w:szCs w:val="30"/>
                <w:lang w:val="en-US" w:eastAsia="zh-CN"/>
              </w:rPr>
              <w:t>16、</w:t>
            </w:r>
            <w:r>
              <w:rPr>
                <w:rFonts w:hint="default" w:ascii="仿宋_GB2312" w:hAnsi="仿宋" w:eastAsia="仿宋_GB2312" w:cs="Times New Roman"/>
                <w:b w:val="0"/>
                <w:bCs w:val="0"/>
                <w:sz w:val="30"/>
                <w:szCs w:val="30"/>
                <w:lang w:val="en-US" w:eastAsia="zh-CN"/>
              </w:rPr>
              <w:t>附墙成品书柜</w:t>
            </w:r>
            <w:r>
              <w:rPr>
                <w:rFonts w:hint="eastAsia" w:ascii="仿宋_GB2312" w:hAnsi="仿宋" w:eastAsia="仿宋_GB2312" w:cs="Times New Roman"/>
                <w:b w:val="0"/>
                <w:bCs w:val="0"/>
                <w:sz w:val="30"/>
                <w:szCs w:val="30"/>
                <w:lang w:val="en-US" w:eastAsia="zh-CN"/>
              </w:rPr>
              <w:t>按柜体板材为18mm厚多层板贴木皮，二度开放漆；</w:t>
            </w:r>
          </w:p>
          <w:p>
            <w:pPr>
              <w:numPr>
                <w:ilvl w:val="0"/>
                <w:numId w:val="0"/>
              </w:numPr>
              <w:spacing w:line="480" w:lineRule="exact"/>
              <w:ind w:firstLine="300" w:firstLineChars="100"/>
              <w:rPr>
                <w:rFonts w:hint="default" w:ascii="仿宋_GB2312" w:hAnsi="仿宋" w:eastAsia="仿宋_GB2312" w:cs="Times New Roman"/>
                <w:b w:val="0"/>
                <w:bCs w:val="0"/>
                <w:sz w:val="30"/>
                <w:szCs w:val="30"/>
                <w:lang w:val="en-US" w:eastAsia="zh-CN"/>
              </w:rPr>
            </w:pPr>
            <w:r>
              <w:rPr>
                <w:rFonts w:hint="eastAsia" w:ascii="仿宋_GB2312" w:hAnsi="仿宋" w:eastAsia="仿宋_GB2312" w:cs="Times New Roman"/>
                <w:b w:val="0"/>
                <w:bCs w:val="0"/>
                <w:sz w:val="30"/>
                <w:szCs w:val="30"/>
                <w:lang w:val="en-US" w:eastAsia="zh-CN"/>
              </w:rPr>
              <w:t>17、设备基础为C30素砼；</w:t>
            </w:r>
          </w:p>
          <w:p>
            <w:pPr>
              <w:numPr>
                <w:ilvl w:val="0"/>
                <w:numId w:val="0"/>
              </w:numPr>
              <w:spacing w:line="480" w:lineRule="exact"/>
              <w:ind w:firstLine="300" w:firstLineChars="100"/>
              <w:rPr>
                <w:rFonts w:hint="default" w:ascii="仿宋_GB2312" w:hAnsi="仿宋" w:eastAsia="仿宋_GB2312" w:cs="Times New Roman"/>
                <w:b w:val="0"/>
                <w:bCs w:val="0"/>
                <w:sz w:val="30"/>
                <w:szCs w:val="30"/>
                <w:lang w:val="en-US" w:eastAsia="zh-CN"/>
              </w:rPr>
            </w:pPr>
            <w:r>
              <w:rPr>
                <w:rFonts w:hint="eastAsia" w:ascii="仿宋_GB2312" w:hAnsi="仿宋" w:eastAsia="仿宋_GB2312" w:cs="Times New Roman"/>
                <w:b w:val="0"/>
                <w:bCs w:val="0"/>
                <w:sz w:val="30"/>
                <w:szCs w:val="30"/>
                <w:lang w:val="en-US" w:eastAsia="zh-CN"/>
              </w:rPr>
              <w:t>18、室外玻璃幕墙按铝合金边框、10mm厚钢化玻璃；</w:t>
            </w:r>
          </w:p>
          <w:p>
            <w:pPr>
              <w:numPr>
                <w:ilvl w:val="0"/>
                <w:numId w:val="0"/>
              </w:numPr>
              <w:spacing w:line="480" w:lineRule="exact"/>
              <w:ind w:firstLine="300" w:firstLineChars="100"/>
              <w:rPr>
                <w:rFonts w:hint="default" w:ascii="仿宋_GB2312" w:hAnsi="仿宋" w:eastAsia="仿宋_GB2312" w:cs="Times New Roman"/>
                <w:b w:val="0"/>
                <w:bCs w:val="0"/>
                <w:sz w:val="30"/>
                <w:szCs w:val="30"/>
                <w:lang w:val="en-US" w:eastAsia="zh-CN"/>
              </w:rPr>
            </w:pPr>
            <w:r>
              <w:rPr>
                <w:rFonts w:hint="eastAsia" w:ascii="仿宋_GB2312" w:hAnsi="仿宋" w:eastAsia="仿宋_GB2312" w:cs="Times New Roman"/>
                <w:b w:val="0"/>
                <w:bCs w:val="0"/>
                <w:sz w:val="30"/>
                <w:szCs w:val="30"/>
                <w:lang w:val="en-US" w:eastAsia="zh-CN"/>
              </w:rPr>
              <w:t>19、</w:t>
            </w:r>
            <w:r>
              <w:rPr>
                <w:rFonts w:hint="default" w:ascii="仿宋_GB2312" w:hAnsi="仿宋" w:eastAsia="仿宋_GB2312" w:cs="Times New Roman"/>
                <w:b w:val="0"/>
                <w:bCs w:val="0"/>
                <w:sz w:val="30"/>
                <w:szCs w:val="30"/>
                <w:lang w:val="en-US" w:eastAsia="zh-CN"/>
              </w:rPr>
              <w:t>格栅上方原顶</w:t>
            </w:r>
            <w:r>
              <w:rPr>
                <w:rFonts w:hint="eastAsia" w:ascii="仿宋_GB2312" w:hAnsi="仿宋" w:eastAsia="仿宋_GB2312" w:cs="Times New Roman"/>
                <w:b w:val="0"/>
                <w:bCs w:val="0"/>
                <w:sz w:val="30"/>
                <w:szCs w:val="30"/>
                <w:lang w:val="en-US" w:eastAsia="zh-CN"/>
              </w:rPr>
              <w:t>按喷涂灰色乳胶漆三遍；</w:t>
            </w:r>
            <w:bookmarkStart w:id="0" w:name="_GoBack"/>
            <w:bookmarkEnd w:id="0"/>
          </w:p>
          <w:p>
            <w:pPr>
              <w:numPr>
                <w:ilvl w:val="0"/>
                <w:numId w:val="0"/>
              </w:numPr>
              <w:spacing w:line="480" w:lineRule="exact"/>
              <w:ind w:firstLine="300" w:firstLineChars="100"/>
              <w:rPr>
                <w:rFonts w:hint="default" w:ascii="仿宋_GB2312" w:hAnsi="仿宋" w:eastAsia="仿宋_GB2312" w:cs="Times New Roman"/>
                <w:b w:val="0"/>
                <w:bCs w:val="0"/>
                <w:sz w:val="30"/>
                <w:szCs w:val="30"/>
                <w:lang w:val="en-US" w:eastAsia="zh-CN"/>
              </w:rPr>
            </w:pPr>
            <w:r>
              <w:rPr>
                <w:rFonts w:hint="eastAsia" w:ascii="仿宋_GB2312" w:hAnsi="仿宋" w:eastAsia="仿宋_GB2312" w:cs="Times New Roman"/>
                <w:b w:val="0"/>
                <w:bCs w:val="0"/>
                <w:sz w:val="30"/>
                <w:szCs w:val="30"/>
                <w:lang w:val="en-US" w:eastAsia="zh-CN"/>
              </w:rPr>
              <w:t>20、石材、墙地砖均采用国产高档石材、墙地砖；</w:t>
            </w:r>
          </w:p>
          <w:p>
            <w:pPr>
              <w:numPr>
                <w:ilvl w:val="0"/>
                <w:numId w:val="0"/>
              </w:numPr>
              <w:spacing w:line="480" w:lineRule="exact"/>
              <w:ind w:firstLine="300" w:firstLineChars="100"/>
              <w:rPr>
                <w:rFonts w:hint="eastAsia" w:ascii="仿宋_GB2312" w:hAnsi="仿宋" w:eastAsia="仿宋_GB2312" w:cs="Times New Roman"/>
                <w:b w:val="0"/>
                <w:bCs w:val="0"/>
                <w:sz w:val="30"/>
                <w:szCs w:val="30"/>
                <w:lang w:val="en-US" w:eastAsia="zh-CN"/>
              </w:rPr>
            </w:pPr>
            <w:r>
              <w:rPr>
                <w:rFonts w:hint="eastAsia" w:ascii="仿宋_GB2312" w:hAnsi="仿宋" w:eastAsia="仿宋_GB2312" w:cs="Times New Roman"/>
                <w:b w:val="0"/>
                <w:bCs w:val="0"/>
                <w:sz w:val="30"/>
                <w:szCs w:val="30"/>
                <w:lang w:val="en-US" w:eastAsia="zh-CN"/>
              </w:rPr>
              <w:t>21、乳胶漆采用环保乳胶漆。</w:t>
            </w:r>
          </w:p>
          <w:p>
            <w:pPr>
              <w:spacing w:line="480" w:lineRule="exact"/>
              <w:ind w:firstLine="300" w:firstLineChars="100"/>
              <w:rPr>
                <w:rFonts w:hint="eastAsia" w:ascii="仿宋_GB2312" w:hAnsi="仿宋" w:eastAsia="仿宋_GB2312" w:cs="Times New Roman"/>
                <w:sz w:val="30"/>
                <w:szCs w:val="30"/>
                <w:lang w:val="en-US" w:eastAsia="zh-CN"/>
              </w:rPr>
            </w:pPr>
            <w:r>
              <w:rPr>
                <w:rFonts w:hint="eastAsia" w:ascii="仿宋_GB2312" w:hAnsi="仿宋" w:eastAsia="仿宋_GB2312" w:cs="Times New Roman"/>
                <w:sz w:val="30"/>
                <w:szCs w:val="30"/>
                <w:lang w:val="en-US" w:eastAsia="zh-CN"/>
              </w:rPr>
              <w:t>22、屋面桥架尺寸按100*100计算；</w:t>
            </w:r>
          </w:p>
          <w:p>
            <w:pPr>
              <w:spacing w:line="480" w:lineRule="exact"/>
              <w:ind w:firstLine="300" w:firstLineChars="100"/>
              <w:rPr>
                <w:rFonts w:hint="eastAsia" w:ascii="仿宋_GB2312" w:hAnsi="仿宋" w:eastAsia="仿宋_GB2312" w:cs="Times New Roman"/>
                <w:sz w:val="30"/>
                <w:szCs w:val="30"/>
                <w:lang w:val="en-US" w:eastAsia="zh-CN"/>
              </w:rPr>
            </w:pPr>
            <w:r>
              <w:rPr>
                <w:rFonts w:hint="eastAsia" w:ascii="仿宋_GB2312" w:hAnsi="仿宋" w:eastAsia="仿宋_GB2312" w:cs="Times New Roman"/>
                <w:sz w:val="30"/>
                <w:szCs w:val="30"/>
                <w:lang w:val="en-US" w:eastAsia="zh-CN"/>
              </w:rPr>
              <w:t>23、火灾报警管线接入原线路；</w:t>
            </w:r>
          </w:p>
          <w:p>
            <w:pPr>
              <w:spacing w:line="480" w:lineRule="exact"/>
              <w:ind w:firstLine="300" w:firstLineChars="100"/>
              <w:rPr>
                <w:rFonts w:hint="eastAsia" w:ascii="仿宋_GB2312" w:hAnsi="仿宋" w:eastAsia="仿宋_GB2312" w:cs="Times New Roman"/>
                <w:sz w:val="30"/>
                <w:szCs w:val="30"/>
                <w:lang w:val="en-US" w:eastAsia="zh-CN"/>
              </w:rPr>
            </w:pPr>
            <w:r>
              <w:rPr>
                <w:rFonts w:hint="eastAsia" w:ascii="仿宋_GB2312" w:hAnsi="仿宋" w:eastAsia="仿宋_GB2312" w:cs="Times New Roman"/>
                <w:sz w:val="30"/>
                <w:szCs w:val="30"/>
                <w:lang w:val="en-US" w:eastAsia="zh-CN"/>
              </w:rPr>
              <w:t>24、安装拆除考虑与土建一同拆除，不单独计算；</w:t>
            </w:r>
          </w:p>
          <w:p>
            <w:pPr>
              <w:spacing w:line="480" w:lineRule="exact"/>
              <w:ind w:firstLine="300" w:firstLineChars="100"/>
              <w:rPr>
                <w:rFonts w:hint="eastAsia" w:ascii="仿宋_GB2312" w:hAnsi="仿宋" w:eastAsia="仿宋_GB2312" w:cs="Times New Roman"/>
                <w:sz w:val="30"/>
                <w:szCs w:val="30"/>
                <w:lang w:val="en-US" w:eastAsia="zh-CN"/>
              </w:rPr>
            </w:pPr>
            <w:r>
              <w:rPr>
                <w:rFonts w:hint="eastAsia" w:ascii="仿宋_GB2312" w:hAnsi="仿宋" w:eastAsia="仿宋_GB2312" w:cs="Times New Roman"/>
                <w:sz w:val="30"/>
                <w:szCs w:val="30"/>
                <w:lang w:val="en-US" w:eastAsia="zh-CN"/>
              </w:rPr>
              <w:t>25、智能化设备工程量按设计提供工程量清单计算；</w:t>
            </w:r>
          </w:p>
          <w:p>
            <w:pPr>
              <w:numPr>
                <w:ilvl w:val="0"/>
                <w:numId w:val="0"/>
              </w:numPr>
              <w:spacing w:line="480" w:lineRule="exact"/>
              <w:ind w:firstLine="300" w:firstLineChars="100"/>
              <w:rPr>
                <w:rFonts w:hint="eastAsia" w:ascii="仿宋_GB2312" w:hAnsi="仿宋" w:eastAsia="仿宋_GB2312" w:cs="Times New Roman"/>
                <w:sz w:val="30"/>
                <w:szCs w:val="30"/>
                <w:lang w:val="en-US" w:eastAsia="zh-CN"/>
              </w:rPr>
            </w:pPr>
            <w:r>
              <w:rPr>
                <w:rFonts w:hint="eastAsia" w:ascii="仿宋_GB2312" w:hAnsi="仿宋" w:eastAsia="仿宋_GB2312" w:cs="Times New Roman"/>
                <w:sz w:val="30"/>
                <w:szCs w:val="30"/>
                <w:lang w:val="en-US" w:eastAsia="zh-CN"/>
              </w:rPr>
              <w:t>26、一层电梯厅吊灯换新，吊灯新合品牌需与甲方确认</w:t>
            </w:r>
          </w:p>
          <w:p>
            <w:pPr>
              <w:numPr>
                <w:ilvl w:val="0"/>
                <w:numId w:val="0"/>
              </w:numPr>
              <w:spacing w:line="480" w:lineRule="exact"/>
              <w:ind w:firstLine="300" w:firstLineChars="100"/>
              <w:rPr>
                <w:rFonts w:hint="eastAsia" w:ascii="仿宋_GB2312" w:hAnsi="Times New Roman" w:eastAsia="仿宋_GB2312" w:cs="Times New Roman"/>
                <w:color w:val="auto"/>
                <w:sz w:val="30"/>
                <w:szCs w:val="30"/>
                <w:lang w:val="en-US" w:eastAsia="zh-CN"/>
              </w:rPr>
            </w:pPr>
            <w:r>
              <w:rPr>
                <w:rFonts w:hint="eastAsia" w:ascii="仿宋_GB2312" w:hAnsi="仿宋" w:eastAsia="仿宋_GB2312" w:cs="Times New Roman"/>
                <w:sz w:val="30"/>
                <w:szCs w:val="30"/>
                <w:lang w:val="en-US" w:eastAsia="zh-CN"/>
              </w:rPr>
              <w:t>27、一层增加一套门禁系统。</w:t>
            </w:r>
          </w:p>
        </w:tc>
      </w:tr>
    </w:tbl>
    <w:p>
      <w:pPr>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ascii="宋体" w:eastAsia="宋体"/>
          <w:lang w:val="en-US" w:eastAsia="zh-CN"/>
        </w:rPr>
      </w:pPr>
    </w:p>
    <w:sectPr>
      <w:headerReference r:id="rId3" w:type="default"/>
      <w:pgSz w:w="11906" w:h="16838"/>
      <w:pgMar w:top="1713" w:right="881" w:bottom="935" w:left="945" w:header="567" w:footer="56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8"/>
      </w:pBdr>
      <w:ind w:left="176" w:leftChars="84" w:firstLine="177" w:firstLineChars="40"/>
      <w:jc w:val="center"/>
      <w:rPr>
        <w:rFonts w:hint="default"/>
        <w:b/>
        <w:kern w:val="0"/>
        <w:sz w:val="44"/>
        <w:szCs w:val="44"/>
        <w:lang w:val="en-US"/>
      </w:rPr>
    </w:pPr>
    <w:r>
      <w:rPr>
        <w:rFonts w:hint="eastAsia"/>
        <w:b/>
        <w:kern w:val="0"/>
        <w:sz w:val="44"/>
        <w:szCs w:val="44"/>
        <w:lang w:val="en-US" w:eastAsia="zh-CN"/>
      </w:rPr>
      <w:t>工程量清单总说明</w:t>
    </w:r>
  </w:p>
  <w:p>
    <w:pPr>
      <w:pStyle w:val="5"/>
      <w:pBdr>
        <w:bottom w:val="none" w:color="auto" w:sz="0" w:space="8"/>
      </w:pBdr>
      <w:ind w:left="176" w:leftChars="84" w:firstLine="177" w:firstLineChars="40"/>
      <w:rPr>
        <w:b/>
        <w:kern w:val="0"/>
        <w:sz w:val="44"/>
        <w:szCs w:val="44"/>
      </w:rPr>
    </w:pPr>
  </w:p>
  <w:p>
    <w:pPr>
      <w:pStyle w:val="5"/>
      <w:pBdr>
        <w:bottom w:val="none" w:color="auto" w:sz="0" w:space="8"/>
      </w:pBdr>
      <w:ind w:firstLine="240" w:firstLineChars="100"/>
      <w:jc w:val="left"/>
      <w:rPr>
        <w:rFonts w:ascii="仿宋_GB2312" w:hAnsi="仿宋" w:eastAsia="仿宋_GB2312"/>
        <w:sz w:val="30"/>
        <w:szCs w:val="30"/>
      </w:rPr>
    </w:pPr>
    <w:r>
      <w:rPr>
        <w:rFonts w:hint="eastAsia"/>
        <w:kern w:val="0"/>
        <w:sz w:val="24"/>
        <w:szCs w:val="24"/>
      </w:rPr>
      <w:t>工程名称</w:t>
    </w:r>
    <w:r>
      <w:rPr>
        <w:kern w:val="0"/>
        <w:sz w:val="24"/>
        <w:szCs w:val="24"/>
      </w:rPr>
      <w:t>:</w:t>
    </w:r>
    <w:r>
      <w:rPr>
        <w:rFonts w:hint="eastAsia" w:ascii="宋体" w:hAnsi="宋体" w:eastAsia="宋体" w:cs="宋体"/>
        <w:kern w:val="0"/>
        <w:sz w:val="24"/>
        <w:szCs w:val="24"/>
      </w:rPr>
      <w:t xml:space="preserve"> </w:t>
    </w:r>
    <w:r>
      <w:rPr>
        <w:rFonts w:hint="eastAsia"/>
        <w:kern w:val="0"/>
        <w:sz w:val="24"/>
        <w:szCs w:val="24"/>
        <w:lang w:val="en-US" w:eastAsia="zh-CN"/>
      </w:rPr>
      <w:t xml:space="preserve">维投地产营销展示中心改造工程                             </w:t>
    </w:r>
    <w:r>
      <w:rPr>
        <w:rFonts w:hint="eastAsia" w:ascii="宋体" w:hAnsi="宋体" w:eastAsia="宋体" w:cs="宋体"/>
        <w:kern w:val="0"/>
        <w:sz w:val="24"/>
        <w:szCs w:val="24"/>
      </w:rPr>
      <w:t xml:space="preserve">第 </w:t>
    </w:r>
    <w:r>
      <w:rPr>
        <w:rFonts w:hint="eastAsia" w:ascii="宋体" w:hAnsi="宋体" w:eastAsia="宋体" w:cs="宋体"/>
        <w:kern w:val="0"/>
        <w:sz w:val="24"/>
        <w:szCs w:val="24"/>
      </w:rPr>
      <w:fldChar w:fldCharType="begin"/>
    </w:r>
    <w:r>
      <w:rPr>
        <w:rFonts w:hint="eastAsia" w:ascii="宋体" w:hAnsi="宋体" w:eastAsia="宋体" w:cs="宋体"/>
        <w:kern w:val="0"/>
        <w:sz w:val="24"/>
        <w:szCs w:val="24"/>
      </w:rPr>
      <w:instrText xml:space="preserve"> PAGE </w:instrText>
    </w:r>
    <w:r>
      <w:rPr>
        <w:rFonts w:hint="eastAsia" w:ascii="宋体" w:hAnsi="宋体" w:eastAsia="宋体" w:cs="宋体"/>
        <w:kern w:val="0"/>
        <w:sz w:val="24"/>
        <w:szCs w:val="24"/>
      </w:rPr>
      <w:fldChar w:fldCharType="separate"/>
    </w:r>
    <w:r>
      <w:rPr>
        <w:rFonts w:hint="eastAsia" w:ascii="宋体" w:hAnsi="宋体" w:eastAsia="宋体" w:cs="宋体"/>
        <w:kern w:val="0"/>
        <w:sz w:val="24"/>
        <w:szCs w:val="24"/>
      </w:rPr>
      <w:t>1</w:t>
    </w:r>
    <w:r>
      <w:rPr>
        <w:rFonts w:hint="eastAsia" w:ascii="宋体" w:hAnsi="宋体" w:eastAsia="宋体" w:cs="宋体"/>
        <w:kern w:val="0"/>
        <w:sz w:val="24"/>
        <w:szCs w:val="24"/>
      </w:rPr>
      <w:fldChar w:fldCharType="end"/>
    </w:r>
    <w:r>
      <w:rPr>
        <w:rFonts w:hint="eastAsia" w:ascii="宋体" w:hAnsi="宋体" w:eastAsia="宋体" w:cs="宋体"/>
        <w:kern w:val="0"/>
        <w:sz w:val="24"/>
        <w:szCs w:val="24"/>
      </w:rPr>
      <w:t xml:space="preserve"> 页 共 </w:t>
    </w:r>
    <w:r>
      <w:rPr>
        <w:rFonts w:hint="eastAsia" w:ascii="宋体" w:hAnsi="宋体" w:eastAsia="宋体" w:cs="宋体"/>
        <w:kern w:val="0"/>
        <w:sz w:val="24"/>
        <w:szCs w:val="24"/>
      </w:rPr>
      <w:fldChar w:fldCharType="begin"/>
    </w:r>
    <w:r>
      <w:rPr>
        <w:rFonts w:hint="eastAsia" w:ascii="宋体" w:hAnsi="宋体" w:eastAsia="宋体" w:cs="宋体"/>
        <w:kern w:val="0"/>
        <w:sz w:val="24"/>
        <w:szCs w:val="24"/>
      </w:rPr>
      <w:instrText xml:space="preserve"> NUMPAGES </w:instrText>
    </w:r>
    <w:r>
      <w:rPr>
        <w:rFonts w:hint="eastAsia" w:ascii="宋体" w:hAnsi="宋体" w:eastAsia="宋体" w:cs="宋体"/>
        <w:kern w:val="0"/>
        <w:sz w:val="24"/>
        <w:szCs w:val="24"/>
      </w:rPr>
      <w:fldChar w:fldCharType="separate"/>
    </w:r>
    <w:r>
      <w:rPr>
        <w:rFonts w:hint="eastAsia" w:ascii="宋体" w:hAnsi="宋体" w:eastAsia="宋体" w:cs="宋体"/>
        <w:kern w:val="0"/>
        <w:sz w:val="24"/>
        <w:szCs w:val="24"/>
      </w:rPr>
      <w:t>1</w:t>
    </w:r>
    <w:r>
      <w:rPr>
        <w:rFonts w:hint="eastAsia" w:ascii="宋体" w:hAnsi="宋体" w:eastAsia="宋体" w:cs="宋体"/>
        <w:kern w:val="0"/>
        <w:sz w:val="24"/>
        <w:szCs w:val="24"/>
      </w:rPr>
      <w:fldChar w:fldCharType="end"/>
    </w:r>
    <w:r>
      <w:rPr>
        <w:rFonts w:hint="eastAsia" w:ascii="宋体" w:hAnsi="宋体" w:eastAsia="宋体" w:cs="宋体"/>
        <w:kern w:val="0"/>
        <w:sz w:val="24"/>
        <w:szCs w:val="24"/>
      </w:rPr>
      <w:t xml:space="preserve"> 页</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4422AB"/>
    <w:multiLevelType w:val="singleLevel"/>
    <w:tmpl w:val="094422AB"/>
    <w:lvl w:ilvl="0" w:tentative="0">
      <w:start w:val="1"/>
      <w:numFmt w:val="decimal"/>
      <w:suff w:val="nothing"/>
      <w:lvlText w:val="%1、"/>
      <w:lvlJc w:val="left"/>
      <w:pPr>
        <w:ind w:left="0" w:firstLine="350"/>
      </w:pPr>
      <w:rPr>
        <w:rFonts w:hint="default"/>
      </w:rPr>
    </w:lvl>
  </w:abstractNum>
  <w:abstractNum w:abstractNumId="1">
    <w:nsid w:val="1EA59BC0"/>
    <w:multiLevelType w:val="singleLevel"/>
    <w:tmpl w:val="1EA59BC0"/>
    <w:lvl w:ilvl="0" w:tentative="0">
      <w:start w:val="1"/>
      <w:numFmt w:val="decimal"/>
      <w:suff w:val="nothing"/>
      <w:lvlText w:val="%1、"/>
      <w:lvlJc w:val="left"/>
      <w:pPr>
        <w:ind w:left="0" w:firstLine="35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NotTrackMove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NjNWZlOTc1NDAyN2Q3MzA1MGRkY2I4YWIxYzM3NzgifQ=="/>
    <w:docVar w:name="KSO_WPS_MARK_KEY" w:val="ade22580-ca71-4836-afaf-f74deb21de4d"/>
  </w:docVars>
  <w:rsids>
    <w:rsidRoot w:val="004D1285"/>
    <w:rsid w:val="00002B31"/>
    <w:rsid w:val="0001502E"/>
    <w:rsid w:val="00020D2D"/>
    <w:rsid w:val="00020E5E"/>
    <w:rsid w:val="00023468"/>
    <w:rsid w:val="0002524F"/>
    <w:rsid w:val="00031782"/>
    <w:rsid w:val="000338E0"/>
    <w:rsid w:val="0004035C"/>
    <w:rsid w:val="000555DD"/>
    <w:rsid w:val="00057C66"/>
    <w:rsid w:val="00061CE3"/>
    <w:rsid w:val="00071F1F"/>
    <w:rsid w:val="00095AE9"/>
    <w:rsid w:val="0009600C"/>
    <w:rsid w:val="000A691E"/>
    <w:rsid w:val="000A6E9C"/>
    <w:rsid w:val="000B6F53"/>
    <w:rsid w:val="000C25D2"/>
    <w:rsid w:val="000C2E12"/>
    <w:rsid w:val="000C4E0E"/>
    <w:rsid w:val="000C4E21"/>
    <w:rsid w:val="000D1CC7"/>
    <w:rsid w:val="000D1D2E"/>
    <w:rsid w:val="000D231A"/>
    <w:rsid w:val="000D6B8D"/>
    <w:rsid w:val="000E668B"/>
    <w:rsid w:val="000F056F"/>
    <w:rsid w:val="000F1BA8"/>
    <w:rsid w:val="000F347F"/>
    <w:rsid w:val="000F5F50"/>
    <w:rsid w:val="000F65B6"/>
    <w:rsid w:val="000F7300"/>
    <w:rsid w:val="00101F59"/>
    <w:rsid w:val="0010315C"/>
    <w:rsid w:val="00103AE7"/>
    <w:rsid w:val="00104079"/>
    <w:rsid w:val="00105C29"/>
    <w:rsid w:val="00107F28"/>
    <w:rsid w:val="00111D7B"/>
    <w:rsid w:val="001164D2"/>
    <w:rsid w:val="001241DE"/>
    <w:rsid w:val="001264C2"/>
    <w:rsid w:val="001307EF"/>
    <w:rsid w:val="00135F7D"/>
    <w:rsid w:val="001471DF"/>
    <w:rsid w:val="001534AC"/>
    <w:rsid w:val="001538ED"/>
    <w:rsid w:val="00167688"/>
    <w:rsid w:val="00167C8C"/>
    <w:rsid w:val="0017464B"/>
    <w:rsid w:val="0018508A"/>
    <w:rsid w:val="00187F5F"/>
    <w:rsid w:val="0019151D"/>
    <w:rsid w:val="001939C5"/>
    <w:rsid w:val="0019533B"/>
    <w:rsid w:val="001A408C"/>
    <w:rsid w:val="001B63A7"/>
    <w:rsid w:val="001C6061"/>
    <w:rsid w:val="001D0DAB"/>
    <w:rsid w:val="001E5322"/>
    <w:rsid w:val="001E62E2"/>
    <w:rsid w:val="002046F2"/>
    <w:rsid w:val="00205DF7"/>
    <w:rsid w:val="002103F3"/>
    <w:rsid w:val="002109C6"/>
    <w:rsid w:val="00213AB4"/>
    <w:rsid w:val="00213B46"/>
    <w:rsid w:val="00214256"/>
    <w:rsid w:val="00214D8A"/>
    <w:rsid w:val="002331B1"/>
    <w:rsid w:val="002357D9"/>
    <w:rsid w:val="00235B56"/>
    <w:rsid w:val="002427D1"/>
    <w:rsid w:val="00243EED"/>
    <w:rsid w:val="0024655D"/>
    <w:rsid w:val="00254D75"/>
    <w:rsid w:val="00264A7B"/>
    <w:rsid w:val="00266EF0"/>
    <w:rsid w:val="00275976"/>
    <w:rsid w:val="00282945"/>
    <w:rsid w:val="002830C0"/>
    <w:rsid w:val="00283355"/>
    <w:rsid w:val="00283B70"/>
    <w:rsid w:val="00284D1D"/>
    <w:rsid w:val="00287EB8"/>
    <w:rsid w:val="00294E10"/>
    <w:rsid w:val="00295B11"/>
    <w:rsid w:val="002A0A5C"/>
    <w:rsid w:val="002A40CF"/>
    <w:rsid w:val="002B2B4B"/>
    <w:rsid w:val="002B5E12"/>
    <w:rsid w:val="002B6D25"/>
    <w:rsid w:val="002B74F9"/>
    <w:rsid w:val="002D442F"/>
    <w:rsid w:val="002D5942"/>
    <w:rsid w:val="002E03C1"/>
    <w:rsid w:val="002E0AB7"/>
    <w:rsid w:val="002E3B19"/>
    <w:rsid w:val="002E3D56"/>
    <w:rsid w:val="002F5B17"/>
    <w:rsid w:val="002F76CB"/>
    <w:rsid w:val="003001BA"/>
    <w:rsid w:val="00302213"/>
    <w:rsid w:val="00306EAA"/>
    <w:rsid w:val="00314081"/>
    <w:rsid w:val="00320D0B"/>
    <w:rsid w:val="00320E4E"/>
    <w:rsid w:val="00327F72"/>
    <w:rsid w:val="003346B4"/>
    <w:rsid w:val="00337B0F"/>
    <w:rsid w:val="00343241"/>
    <w:rsid w:val="0034684F"/>
    <w:rsid w:val="00351D48"/>
    <w:rsid w:val="00352537"/>
    <w:rsid w:val="003529EE"/>
    <w:rsid w:val="00357FF6"/>
    <w:rsid w:val="00376308"/>
    <w:rsid w:val="00377F2F"/>
    <w:rsid w:val="00383D5E"/>
    <w:rsid w:val="003861D7"/>
    <w:rsid w:val="00391F87"/>
    <w:rsid w:val="003A1D24"/>
    <w:rsid w:val="003A7361"/>
    <w:rsid w:val="003B1F54"/>
    <w:rsid w:val="003B5814"/>
    <w:rsid w:val="003B69B8"/>
    <w:rsid w:val="003C2976"/>
    <w:rsid w:val="003E0F2B"/>
    <w:rsid w:val="003E5D3E"/>
    <w:rsid w:val="003E7D8D"/>
    <w:rsid w:val="003F0B47"/>
    <w:rsid w:val="003F0F2A"/>
    <w:rsid w:val="003F3335"/>
    <w:rsid w:val="004002BD"/>
    <w:rsid w:val="004008EC"/>
    <w:rsid w:val="00402EAD"/>
    <w:rsid w:val="00405230"/>
    <w:rsid w:val="00411CA2"/>
    <w:rsid w:val="00425B87"/>
    <w:rsid w:val="00431265"/>
    <w:rsid w:val="0043147D"/>
    <w:rsid w:val="0043148E"/>
    <w:rsid w:val="00431607"/>
    <w:rsid w:val="00435D6E"/>
    <w:rsid w:val="004405FB"/>
    <w:rsid w:val="004425EE"/>
    <w:rsid w:val="00447743"/>
    <w:rsid w:val="004564F6"/>
    <w:rsid w:val="004635D7"/>
    <w:rsid w:val="00466082"/>
    <w:rsid w:val="0047062A"/>
    <w:rsid w:val="00480641"/>
    <w:rsid w:val="00482434"/>
    <w:rsid w:val="00482627"/>
    <w:rsid w:val="00484E64"/>
    <w:rsid w:val="00492F2A"/>
    <w:rsid w:val="004941CB"/>
    <w:rsid w:val="0049787D"/>
    <w:rsid w:val="004A3DB4"/>
    <w:rsid w:val="004A6E9B"/>
    <w:rsid w:val="004B5BE6"/>
    <w:rsid w:val="004C191C"/>
    <w:rsid w:val="004C32CD"/>
    <w:rsid w:val="004C51E6"/>
    <w:rsid w:val="004C7203"/>
    <w:rsid w:val="004D1285"/>
    <w:rsid w:val="004D31D2"/>
    <w:rsid w:val="004D50BB"/>
    <w:rsid w:val="004D5CBA"/>
    <w:rsid w:val="004E1C1A"/>
    <w:rsid w:val="005049C6"/>
    <w:rsid w:val="00507661"/>
    <w:rsid w:val="00520621"/>
    <w:rsid w:val="005275A0"/>
    <w:rsid w:val="005330E9"/>
    <w:rsid w:val="00544FC2"/>
    <w:rsid w:val="0055105A"/>
    <w:rsid w:val="0055546D"/>
    <w:rsid w:val="005644F5"/>
    <w:rsid w:val="00570939"/>
    <w:rsid w:val="00577EF9"/>
    <w:rsid w:val="00580159"/>
    <w:rsid w:val="005815CD"/>
    <w:rsid w:val="00582580"/>
    <w:rsid w:val="00591CC6"/>
    <w:rsid w:val="00594125"/>
    <w:rsid w:val="005956D9"/>
    <w:rsid w:val="005B2979"/>
    <w:rsid w:val="005B7600"/>
    <w:rsid w:val="005C1A20"/>
    <w:rsid w:val="005D3A6E"/>
    <w:rsid w:val="005E35C4"/>
    <w:rsid w:val="005E3896"/>
    <w:rsid w:val="005E6E30"/>
    <w:rsid w:val="005F1AAC"/>
    <w:rsid w:val="005F75DC"/>
    <w:rsid w:val="006044E1"/>
    <w:rsid w:val="006076C1"/>
    <w:rsid w:val="00611914"/>
    <w:rsid w:val="00615B70"/>
    <w:rsid w:val="006204FF"/>
    <w:rsid w:val="0063212E"/>
    <w:rsid w:val="0063472F"/>
    <w:rsid w:val="006462F3"/>
    <w:rsid w:val="006552EC"/>
    <w:rsid w:val="0066238A"/>
    <w:rsid w:val="00670786"/>
    <w:rsid w:val="006746F8"/>
    <w:rsid w:val="00674CF7"/>
    <w:rsid w:val="00675DD3"/>
    <w:rsid w:val="00682714"/>
    <w:rsid w:val="00683A20"/>
    <w:rsid w:val="00684FA7"/>
    <w:rsid w:val="006A7942"/>
    <w:rsid w:val="006A79C5"/>
    <w:rsid w:val="006B2D2C"/>
    <w:rsid w:val="006B2FA9"/>
    <w:rsid w:val="006B4348"/>
    <w:rsid w:val="006C026C"/>
    <w:rsid w:val="006C1C4E"/>
    <w:rsid w:val="006C25F0"/>
    <w:rsid w:val="006C4D31"/>
    <w:rsid w:val="006E00C4"/>
    <w:rsid w:val="006F07C9"/>
    <w:rsid w:val="00704DF9"/>
    <w:rsid w:val="00722383"/>
    <w:rsid w:val="00724987"/>
    <w:rsid w:val="00724A08"/>
    <w:rsid w:val="007254AA"/>
    <w:rsid w:val="007434C6"/>
    <w:rsid w:val="007449FA"/>
    <w:rsid w:val="00746883"/>
    <w:rsid w:val="0075313E"/>
    <w:rsid w:val="00763576"/>
    <w:rsid w:val="007758F1"/>
    <w:rsid w:val="00776DBC"/>
    <w:rsid w:val="007829F0"/>
    <w:rsid w:val="00786C64"/>
    <w:rsid w:val="007A025B"/>
    <w:rsid w:val="007A236D"/>
    <w:rsid w:val="007C173E"/>
    <w:rsid w:val="007C44CF"/>
    <w:rsid w:val="007D37D7"/>
    <w:rsid w:val="007D3FF3"/>
    <w:rsid w:val="007E4CDD"/>
    <w:rsid w:val="00800DA6"/>
    <w:rsid w:val="00803DAC"/>
    <w:rsid w:val="0080531B"/>
    <w:rsid w:val="0081017C"/>
    <w:rsid w:val="008156E5"/>
    <w:rsid w:val="00816306"/>
    <w:rsid w:val="00817BFB"/>
    <w:rsid w:val="00820D3A"/>
    <w:rsid w:val="0082593E"/>
    <w:rsid w:val="0083134D"/>
    <w:rsid w:val="00836063"/>
    <w:rsid w:val="00836365"/>
    <w:rsid w:val="00837B65"/>
    <w:rsid w:val="00846872"/>
    <w:rsid w:val="00846FCA"/>
    <w:rsid w:val="008508DA"/>
    <w:rsid w:val="00860FD8"/>
    <w:rsid w:val="00873694"/>
    <w:rsid w:val="0087463B"/>
    <w:rsid w:val="00874764"/>
    <w:rsid w:val="00876414"/>
    <w:rsid w:val="0088011A"/>
    <w:rsid w:val="008849B6"/>
    <w:rsid w:val="008909D0"/>
    <w:rsid w:val="008A0A91"/>
    <w:rsid w:val="008B637C"/>
    <w:rsid w:val="008C418F"/>
    <w:rsid w:val="008C4C6A"/>
    <w:rsid w:val="008D07F8"/>
    <w:rsid w:val="008D5D40"/>
    <w:rsid w:val="008D6FCD"/>
    <w:rsid w:val="008D7751"/>
    <w:rsid w:val="008E2DB4"/>
    <w:rsid w:val="008E5294"/>
    <w:rsid w:val="008F1195"/>
    <w:rsid w:val="008F2A44"/>
    <w:rsid w:val="008F5E3E"/>
    <w:rsid w:val="008F62E1"/>
    <w:rsid w:val="0090321B"/>
    <w:rsid w:val="0091372B"/>
    <w:rsid w:val="00913DF1"/>
    <w:rsid w:val="00914F1E"/>
    <w:rsid w:val="00921BCC"/>
    <w:rsid w:val="00922E37"/>
    <w:rsid w:val="00924713"/>
    <w:rsid w:val="00924D40"/>
    <w:rsid w:val="00931129"/>
    <w:rsid w:val="0093123C"/>
    <w:rsid w:val="00931EA9"/>
    <w:rsid w:val="00942860"/>
    <w:rsid w:val="00944CE1"/>
    <w:rsid w:val="00947BD0"/>
    <w:rsid w:val="009537F4"/>
    <w:rsid w:val="00955E60"/>
    <w:rsid w:val="00956562"/>
    <w:rsid w:val="0095664F"/>
    <w:rsid w:val="00971A1C"/>
    <w:rsid w:val="009744A5"/>
    <w:rsid w:val="0097652E"/>
    <w:rsid w:val="00981943"/>
    <w:rsid w:val="009829D8"/>
    <w:rsid w:val="009871C7"/>
    <w:rsid w:val="009A0855"/>
    <w:rsid w:val="009A3868"/>
    <w:rsid w:val="009C2098"/>
    <w:rsid w:val="009C4BCE"/>
    <w:rsid w:val="009C7747"/>
    <w:rsid w:val="009D157C"/>
    <w:rsid w:val="009D1C81"/>
    <w:rsid w:val="009D3EB6"/>
    <w:rsid w:val="009D5D68"/>
    <w:rsid w:val="009D7DDA"/>
    <w:rsid w:val="009E1CC9"/>
    <w:rsid w:val="009E2017"/>
    <w:rsid w:val="009F2625"/>
    <w:rsid w:val="009F7BB1"/>
    <w:rsid w:val="00A014CD"/>
    <w:rsid w:val="00A03E52"/>
    <w:rsid w:val="00A14385"/>
    <w:rsid w:val="00A15384"/>
    <w:rsid w:val="00A2598B"/>
    <w:rsid w:val="00A25C4B"/>
    <w:rsid w:val="00A40FD5"/>
    <w:rsid w:val="00A41DD4"/>
    <w:rsid w:val="00A42536"/>
    <w:rsid w:val="00A46CBA"/>
    <w:rsid w:val="00A47A97"/>
    <w:rsid w:val="00A51C44"/>
    <w:rsid w:val="00A57031"/>
    <w:rsid w:val="00A616B7"/>
    <w:rsid w:val="00A618BD"/>
    <w:rsid w:val="00A63942"/>
    <w:rsid w:val="00A71B7C"/>
    <w:rsid w:val="00A773B5"/>
    <w:rsid w:val="00A8166C"/>
    <w:rsid w:val="00AA2696"/>
    <w:rsid w:val="00AA4631"/>
    <w:rsid w:val="00AA5C7B"/>
    <w:rsid w:val="00AA7ACD"/>
    <w:rsid w:val="00AB0C21"/>
    <w:rsid w:val="00AB155E"/>
    <w:rsid w:val="00AB7586"/>
    <w:rsid w:val="00AC645B"/>
    <w:rsid w:val="00AC654F"/>
    <w:rsid w:val="00AD0A43"/>
    <w:rsid w:val="00AD5B78"/>
    <w:rsid w:val="00AE143E"/>
    <w:rsid w:val="00AE2B79"/>
    <w:rsid w:val="00AE5B58"/>
    <w:rsid w:val="00AF736A"/>
    <w:rsid w:val="00B0354A"/>
    <w:rsid w:val="00B0610B"/>
    <w:rsid w:val="00B11A04"/>
    <w:rsid w:val="00B11D9B"/>
    <w:rsid w:val="00B149B6"/>
    <w:rsid w:val="00B15B00"/>
    <w:rsid w:val="00B25003"/>
    <w:rsid w:val="00B2766F"/>
    <w:rsid w:val="00B42139"/>
    <w:rsid w:val="00B4540C"/>
    <w:rsid w:val="00B5571E"/>
    <w:rsid w:val="00B57FFB"/>
    <w:rsid w:val="00B64D39"/>
    <w:rsid w:val="00B66025"/>
    <w:rsid w:val="00B66242"/>
    <w:rsid w:val="00B72B87"/>
    <w:rsid w:val="00B73DF7"/>
    <w:rsid w:val="00B8597F"/>
    <w:rsid w:val="00BB073D"/>
    <w:rsid w:val="00BB4D00"/>
    <w:rsid w:val="00BB5124"/>
    <w:rsid w:val="00BB667F"/>
    <w:rsid w:val="00BC1D49"/>
    <w:rsid w:val="00BC2904"/>
    <w:rsid w:val="00BC728D"/>
    <w:rsid w:val="00BE0C96"/>
    <w:rsid w:val="00BF101B"/>
    <w:rsid w:val="00BF25C6"/>
    <w:rsid w:val="00BF3961"/>
    <w:rsid w:val="00BF6CA0"/>
    <w:rsid w:val="00C0498C"/>
    <w:rsid w:val="00C04BD4"/>
    <w:rsid w:val="00C0689C"/>
    <w:rsid w:val="00C072BF"/>
    <w:rsid w:val="00C172F2"/>
    <w:rsid w:val="00C20C00"/>
    <w:rsid w:val="00C352F7"/>
    <w:rsid w:val="00C40831"/>
    <w:rsid w:val="00C44C19"/>
    <w:rsid w:val="00C46BCB"/>
    <w:rsid w:val="00C50AA2"/>
    <w:rsid w:val="00C51CB6"/>
    <w:rsid w:val="00C55574"/>
    <w:rsid w:val="00C6425F"/>
    <w:rsid w:val="00C84556"/>
    <w:rsid w:val="00C84677"/>
    <w:rsid w:val="00C86700"/>
    <w:rsid w:val="00C94633"/>
    <w:rsid w:val="00CA012F"/>
    <w:rsid w:val="00CA2E89"/>
    <w:rsid w:val="00CA7BD1"/>
    <w:rsid w:val="00CB3D1F"/>
    <w:rsid w:val="00CB44EC"/>
    <w:rsid w:val="00CB576B"/>
    <w:rsid w:val="00CD14E8"/>
    <w:rsid w:val="00CD7F04"/>
    <w:rsid w:val="00CE3EAD"/>
    <w:rsid w:val="00CE6361"/>
    <w:rsid w:val="00CE737F"/>
    <w:rsid w:val="00CF0AAF"/>
    <w:rsid w:val="00D05152"/>
    <w:rsid w:val="00D05511"/>
    <w:rsid w:val="00D13EE6"/>
    <w:rsid w:val="00D16F6A"/>
    <w:rsid w:val="00D36060"/>
    <w:rsid w:val="00D418A7"/>
    <w:rsid w:val="00D475E3"/>
    <w:rsid w:val="00D47980"/>
    <w:rsid w:val="00D50E61"/>
    <w:rsid w:val="00D56D38"/>
    <w:rsid w:val="00D614A8"/>
    <w:rsid w:val="00D63042"/>
    <w:rsid w:val="00D63700"/>
    <w:rsid w:val="00D64CEE"/>
    <w:rsid w:val="00D6550F"/>
    <w:rsid w:val="00D67782"/>
    <w:rsid w:val="00D745FA"/>
    <w:rsid w:val="00D75128"/>
    <w:rsid w:val="00D7671C"/>
    <w:rsid w:val="00D814F3"/>
    <w:rsid w:val="00D84C8A"/>
    <w:rsid w:val="00D860F6"/>
    <w:rsid w:val="00D93104"/>
    <w:rsid w:val="00DB1C56"/>
    <w:rsid w:val="00DB4326"/>
    <w:rsid w:val="00DC11EA"/>
    <w:rsid w:val="00DD279B"/>
    <w:rsid w:val="00DD2BEC"/>
    <w:rsid w:val="00DD604F"/>
    <w:rsid w:val="00DE717B"/>
    <w:rsid w:val="00DF177D"/>
    <w:rsid w:val="00DF4C11"/>
    <w:rsid w:val="00E02B85"/>
    <w:rsid w:val="00E038B8"/>
    <w:rsid w:val="00E05722"/>
    <w:rsid w:val="00E06CC3"/>
    <w:rsid w:val="00E07DC5"/>
    <w:rsid w:val="00E1622C"/>
    <w:rsid w:val="00E21281"/>
    <w:rsid w:val="00E229FC"/>
    <w:rsid w:val="00E261C0"/>
    <w:rsid w:val="00E2643E"/>
    <w:rsid w:val="00E32566"/>
    <w:rsid w:val="00E329F5"/>
    <w:rsid w:val="00E4766D"/>
    <w:rsid w:val="00E5442F"/>
    <w:rsid w:val="00E55A5F"/>
    <w:rsid w:val="00E7073D"/>
    <w:rsid w:val="00E80458"/>
    <w:rsid w:val="00E812FD"/>
    <w:rsid w:val="00E81A74"/>
    <w:rsid w:val="00E8269A"/>
    <w:rsid w:val="00E935ED"/>
    <w:rsid w:val="00EB2B30"/>
    <w:rsid w:val="00EB2CC6"/>
    <w:rsid w:val="00EC1983"/>
    <w:rsid w:val="00ED4E5C"/>
    <w:rsid w:val="00EE15B8"/>
    <w:rsid w:val="00EE530A"/>
    <w:rsid w:val="00EE7D4A"/>
    <w:rsid w:val="00F0166F"/>
    <w:rsid w:val="00F06DA2"/>
    <w:rsid w:val="00F12FC9"/>
    <w:rsid w:val="00F13A30"/>
    <w:rsid w:val="00F345EF"/>
    <w:rsid w:val="00F40B5B"/>
    <w:rsid w:val="00F42B24"/>
    <w:rsid w:val="00F43C6D"/>
    <w:rsid w:val="00F45944"/>
    <w:rsid w:val="00F46196"/>
    <w:rsid w:val="00F46410"/>
    <w:rsid w:val="00F61121"/>
    <w:rsid w:val="00F75B3F"/>
    <w:rsid w:val="00F762ED"/>
    <w:rsid w:val="00F76347"/>
    <w:rsid w:val="00F81A04"/>
    <w:rsid w:val="00F85553"/>
    <w:rsid w:val="00F93EE8"/>
    <w:rsid w:val="00F95356"/>
    <w:rsid w:val="00FA6322"/>
    <w:rsid w:val="00FA6755"/>
    <w:rsid w:val="00FA77E7"/>
    <w:rsid w:val="00FC1977"/>
    <w:rsid w:val="00FC3EAA"/>
    <w:rsid w:val="00FC40CA"/>
    <w:rsid w:val="00FC4FE8"/>
    <w:rsid w:val="00FD19BC"/>
    <w:rsid w:val="00FD74FF"/>
    <w:rsid w:val="00FE047E"/>
    <w:rsid w:val="00FE345B"/>
    <w:rsid w:val="00FF61FF"/>
    <w:rsid w:val="00FF676C"/>
    <w:rsid w:val="00FF72B6"/>
    <w:rsid w:val="00FF7B2E"/>
    <w:rsid w:val="01EA5078"/>
    <w:rsid w:val="03C719DE"/>
    <w:rsid w:val="058620B7"/>
    <w:rsid w:val="06D6476D"/>
    <w:rsid w:val="078E7FB9"/>
    <w:rsid w:val="09C00FB9"/>
    <w:rsid w:val="09E301BA"/>
    <w:rsid w:val="0DF127BC"/>
    <w:rsid w:val="0F971304"/>
    <w:rsid w:val="10460629"/>
    <w:rsid w:val="109554B7"/>
    <w:rsid w:val="11D4551C"/>
    <w:rsid w:val="14E66889"/>
    <w:rsid w:val="15365FA6"/>
    <w:rsid w:val="15C30AF7"/>
    <w:rsid w:val="16384034"/>
    <w:rsid w:val="169D0665"/>
    <w:rsid w:val="169E4072"/>
    <w:rsid w:val="183F0836"/>
    <w:rsid w:val="18EC354E"/>
    <w:rsid w:val="191B33EB"/>
    <w:rsid w:val="19B05F64"/>
    <w:rsid w:val="1A7A52AD"/>
    <w:rsid w:val="1B895A13"/>
    <w:rsid w:val="1CF12943"/>
    <w:rsid w:val="1CFC5DD9"/>
    <w:rsid w:val="1D831972"/>
    <w:rsid w:val="1E4A6465"/>
    <w:rsid w:val="1E6A2137"/>
    <w:rsid w:val="200776F7"/>
    <w:rsid w:val="20A106AC"/>
    <w:rsid w:val="246515EA"/>
    <w:rsid w:val="24D67FB7"/>
    <w:rsid w:val="25B45380"/>
    <w:rsid w:val="25E74F61"/>
    <w:rsid w:val="26543C2E"/>
    <w:rsid w:val="27B3047E"/>
    <w:rsid w:val="28A30A5D"/>
    <w:rsid w:val="29547B4A"/>
    <w:rsid w:val="2A0C0DD2"/>
    <w:rsid w:val="2B5D4EF8"/>
    <w:rsid w:val="2D226B96"/>
    <w:rsid w:val="2FD7379F"/>
    <w:rsid w:val="2FF9215E"/>
    <w:rsid w:val="323D4904"/>
    <w:rsid w:val="352E067E"/>
    <w:rsid w:val="35D40EF5"/>
    <w:rsid w:val="36D950E6"/>
    <w:rsid w:val="3A561AA4"/>
    <w:rsid w:val="3E57114E"/>
    <w:rsid w:val="40AE60D4"/>
    <w:rsid w:val="42827092"/>
    <w:rsid w:val="42E12DBE"/>
    <w:rsid w:val="43886C1F"/>
    <w:rsid w:val="443E6B2F"/>
    <w:rsid w:val="45CD3229"/>
    <w:rsid w:val="465C44E2"/>
    <w:rsid w:val="46EE3D5E"/>
    <w:rsid w:val="470C701B"/>
    <w:rsid w:val="48C97C71"/>
    <w:rsid w:val="49BB273A"/>
    <w:rsid w:val="49C04382"/>
    <w:rsid w:val="4D3B0086"/>
    <w:rsid w:val="4F7347B4"/>
    <w:rsid w:val="51266DF8"/>
    <w:rsid w:val="51F21579"/>
    <w:rsid w:val="523A473D"/>
    <w:rsid w:val="52AE6BAE"/>
    <w:rsid w:val="54442D6D"/>
    <w:rsid w:val="561C53C9"/>
    <w:rsid w:val="57BF5E96"/>
    <w:rsid w:val="592326F8"/>
    <w:rsid w:val="5A3F7B96"/>
    <w:rsid w:val="5BAB4654"/>
    <w:rsid w:val="5F203BB9"/>
    <w:rsid w:val="605C0FFE"/>
    <w:rsid w:val="62534231"/>
    <w:rsid w:val="627129BC"/>
    <w:rsid w:val="62B81DA1"/>
    <w:rsid w:val="64154A9C"/>
    <w:rsid w:val="658B73E3"/>
    <w:rsid w:val="660D3C0C"/>
    <w:rsid w:val="67C311FF"/>
    <w:rsid w:val="68096913"/>
    <w:rsid w:val="6A212D8B"/>
    <w:rsid w:val="6BC3339E"/>
    <w:rsid w:val="6BF804DF"/>
    <w:rsid w:val="6C522483"/>
    <w:rsid w:val="6F1A5838"/>
    <w:rsid w:val="70EF11E3"/>
    <w:rsid w:val="72E16540"/>
    <w:rsid w:val="733A4B7C"/>
    <w:rsid w:val="73411AA1"/>
    <w:rsid w:val="73FE28A9"/>
    <w:rsid w:val="75AD7DD4"/>
    <w:rsid w:val="76B34DCE"/>
    <w:rsid w:val="797468D2"/>
    <w:rsid w:val="79D313F3"/>
    <w:rsid w:val="7A832C0B"/>
    <w:rsid w:val="7ABE5B19"/>
    <w:rsid w:val="7BEB34CF"/>
    <w:rsid w:val="7C490C55"/>
    <w:rsid w:val="7C5F1FE0"/>
    <w:rsid w:val="7D2D5507"/>
    <w:rsid w:val="7D9C3B89"/>
    <w:rsid w:val="7DDC65A4"/>
    <w:rsid w:val="7DEB49CB"/>
    <w:rsid w:val="7E9270B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2"/>
    <w:qFormat/>
    <w:uiPriority w:val="99"/>
    <w:pPr>
      <w:jc w:val="center"/>
    </w:pPr>
    <w:rPr>
      <w:rFonts w:ascii="宋体" w:hAnsi="宋体"/>
      <w:sz w:val="36"/>
    </w:rPr>
  </w:style>
  <w:style w:type="paragraph" w:styleId="3">
    <w:name w:val="Balloon Text"/>
    <w:basedOn w:val="1"/>
    <w:link w:val="11"/>
    <w:semiHidden/>
    <w:qFormat/>
    <w:uiPriority w:val="99"/>
    <w:rPr>
      <w:sz w:val="18"/>
      <w:szCs w:val="18"/>
    </w:rPr>
  </w:style>
  <w:style w:type="paragraph" w:styleId="4">
    <w:name w:val="footer"/>
    <w:basedOn w:val="1"/>
    <w:link w:val="10"/>
    <w:qFormat/>
    <w:uiPriority w:val="99"/>
    <w:pPr>
      <w:tabs>
        <w:tab w:val="center" w:pos="4153"/>
        <w:tab w:val="right" w:pos="8306"/>
      </w:tabs>
      <w:snapToGrid w:val="0"/>
      <w:jc w:val="left"/>
    </w:pPr>
    <w:rPr>
      <w:sz w:val="18"/>
      <w:szCs w:val="18"/>
    </w:rPr>
  </w:style>
  <w:style w:type="paragraph" w:styleId="5">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autoRedefine/>
    <w:qFormat/>
    <w:locked/>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link w:val="5"/>
    <w:autoRedefine/>
    <w:semiHidden/>
    <w:qFormat/>
    <w:locked/>
    <w:uiPriority w:val="99"/>
    <w:rPr>
      <w:rFonts w:cs="Times New Roman"/>
      <w:sz w:val="18"/>
      <w:szCs w:val="18"/>
    </w:rPr>
  </w:style>
  <w:style w:type="character" w:customStyle="1" w:styleId="10">
    <w:name w:val="页脚 字符"/>
    <w:link w:val="4"/>
    <w:autoRedefine/>
    <w:semiHidden/>
    <w:qFormat/>
    <w:locked/>
    <w:uiPriority w:val="99"/>
    <w:rPr>
      <w:rFonts w:cs="Times New Roman"/>
      <w:sz w:val="18"/>
      <w:szCs w:val="18"/>
    </w:rPr>
  </w:style>
  <w:style w:type="character" w:customStyle="1" w:styleId="11">
    <w:name w:val="批注框文本 字符"/>
    <w:link w:val="3"/>
    <w:autoRedefine/>
    <w:semiHidden/>
    <w:qFormat/>
    <w:locked/>
    <w:uiPriority w:val="99"/>
    <w:rPr>
      <w:rFonts w:cs="Times New Roman"/>
      <w:sz w:val="2"/>
    </w:rPr>
  </w:style>
  <w:style w:type="character" w:customStyle="1" w:styleId="12">
    <w:name w:val="正文文本 字符"/>
    <w:link w:val="2"/>
    <w:semiHidden/>
    <w:qFormat/>
    <w:locked/>
    <w:uiPriority w:val="99"/>
    <w:rPr>
      <w:rFonts w:cs="Times New Roman"/>
      <w:sz w:val="24"/>
      <w:szCs w:val="24"/>
    </w:rPr>
  </w:style>
  <w:style w:type="paragraph" w:customStyle="1" w:styleId="13">
    <w:name w:val="列表段落1"/>
    <w:basedOn w:val="1"/>
    <w:autoRedefine/>
    <w:qFormat/>
    <w:uiPriority w:val="34"/>
    <w:pPr>
      <w:ind w:firstLine="420" w:firstLineChars="200"/>
    </w:pPr>
    <w:rPr>
      <w:rFonts w:asciiTheme="minorHAnsi" w:hAnsiTheme="minorHAnsi" w:eastAsiaTheme="minorEastAsia" w:cstheme="minorBidi"/>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newtech</Company>
  <Pages>2</Pages>
  <Words>971</Words>
  <Characters>1110</Characters>
  <Lines>19</Lines>
  <Paragraphs>5</Paragraphs>
  <TotalTime>1</TotalTime>
  <ScaleCrop>false</ScaleCrop>
  <LinksUpToDate>false</LinksUpToDate>
  <CharactersWithSpaces>1122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2014-07-17T09:03:00Z</dcterms:created>
  <dc:creator>系统管理员(admin)</dc:creator>
  <cp:lastModifiedBy>Administrator</cp:lastModifiedBy>
  <cp:lastPrinted>2023-05-10T11:27:00Z</cp:lastPrinted>
  <dcterms:modified xsi:type="dcterms:W3CDTF">2024-05-17T07:43:50Z</dcterms:modified>
  <dc:title>填 表 须 知</dc:title>
  <cp:revision>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E1DB94A75BC94314B1635852C6BAA9DD</vt:lpwstr>
  </property>
</Properties>
</file>