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85543">
      <w:pPr>
        <w:pStyle w:val="11"/>
        <w:numPr>
          <w:ilvl w:val="0"/>
          <w:numId w:val="1"/>
        </w:numPr>
        <w:spacing w:line="460" w:lineRule="exact"/>
        <w:ind w:firstLineChars="0"/>
        <w:jc w:val="left"/>
        <w:rPr>
          <w:rFonts w:ascii="宋体" w:hAnsi="宋体"/>
          <w:b/>
          <w:sz w:val="24"/>
          <w:szCs w:val="24"/>
        </w:rPr>
      </w:pPr>
      <w:r>
        <w:rPr>
          <w:rFonts w:hint="eastAsia" w:ascii="宋体" w:hAnsi="宋体"/>
          <w:b/>
          <w:sz w:val="24"/>
          <w:szCs w:val="24"/>
        </w:rPr>
        <w:t>工程概况</w:t>
      </w:r>
    </w:p>
    <w:p w14:paraId="5FC19371">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项目名称：</w:t>
      </w:r>
      <w:r>
        <w:rPr>
          <w:rFonts w:hint="eastAsia" w:ascii="宋体" w:hAnsi="宋体"/>
          <w:bCs/>
          <w:sz w:val="24"/>
          <w:szCs w:val="24"/>
          <w:lang w:val="en-US" w:eastAsia="zh-CN"/>
        </w:rPr>
        <w:t>扬州</w:t>
      </w:r>
      <w:r>
        <w:rPr>
          <w:rFonts w:hint="eastAsia" w:ascii="宋体" w:hAnsi="宋体"/>
          <w:bCs/>
          <w:sz w:val="24"/>
          <w:szCs w:val="24"/>
        </w:rPr>
        <w:t>GZ569地块项目临时用电工程。</w:t>
      </w:r>
    </w:p>
    <w:p w14:paraId="780449BC">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工程特征：本工程为</w:t>
      </w:r>
      <w:r>
        <w:rPr>
          <w:rFonts w:hint="eastAsia" w:ascii="宋体" w:hAnsi="宋体"/>
          <w:bCs/>
          <w:sz w:val="24"/>
          <w:szCs w:val="24"/>
          <w:lang w:val="en-US" w:eastAsia="zh-CN"/>
        </w:rPr>
        <w:t>扬州</w:t>
      </w:r>
      <w:r>
        <w:rPr>
          <w:rFonts w:hint="eastAsia" w:ascii="宋体" w:hAnsi="宋体"/>
          <w:bCs/>
          <w:sz w:val="24"/>
          <w:szCs w:val="24"/>
        </w:rPr>
        <w:t>GZ569地块项目临时用电工程，建设地点为江苏省扬州市</w:t>
      </w:r>
      <w:r>
        <w:rPr>
          <w:rFonts w:hint="eastAsia" w:ascii="宋体" w:hAnsi="宋体"/>
          <w:bCs/>
          <w:sz w:val="24"/>
          <w:szCs w:val="24"/>
          <w:lang w:val="en-US" w:eastAsia="zh-CN"/>
        </w:rPr>
        <w:t>邗江区蒋王街道</w:t>
      </w:r>
      <w:r>
        <w:rPr>
          <w:rFonts w:hint="eastAsia" w:ascii="宋体" w:hAnsi="宋体"/>
          <w:bCs/>
          <w:sz w:val="24"/>
          <w:szCs w:val="24"/>
        </w:rPr>
        <w:t>。</w:t>
      </w:r>
    </w:p>
    <w:p w14:paraId="41B7308B">
      <w:pPr>
        <w:pStyle w:val="11"/>
        <w:numPr>
          <w:ilvl w:val="0"/>
          <w:numId w:val="1"/>
        </w:numPr>
        <w:spacing w:line="460" w:lineRule="exact"/>
        <w:ind w:firstLineChars="0"/>
        <w:jc w:val="left"/>
        <w:rPr>
          <w:rFonts w:ascii="宋体" w:hAnsi="宋体"/>
          <w:b/>
          <w:sz w:val="24"/>
          <w:szCs w:val="24"/>
        </w:rPr>
      </w:pPr>
      <w:bookmarkStart w:id="0" w:name="_Hlk104041832"/>
      <w:r>
        <w:rPr>
          <w:rFonts w:hint="eastAsia" w:ascii="宋体" w:hAnsi="宋体"/>
          <w:b/>
          <w:sz w:val="24"/>
          <w:szCs w:val="24"/>
        </w:rPr>
        <w:t>清单</w:t>
      </w:r>
      <w:r>
        <w:rPr>
          <w:rFonts w:hint="eastAsia" w:ascii="宋体" w:hAnsi="宋体"/>
          <w:b/>
          <w:sz w:val="24"/>
          <w:szCs w:val="24"/>
          <w:lang w:val="en-US" w:eastAsia="zh-CN"/>
        </w:rPr>
        <w:t>审核</w:t>
      </w:r>
      <w:r>
        <w:rPr>
          <w:rFonts w:hint="eastAsia" w:ascii="宋体" w:hAnsi="宋体"/>
          <w:b/>
          <w:sz w:val="24"/>
          <w:szCs w:val="24"/>
        </w:rPr>
        <w:t>依据</w:t>
      </w:r>
    </w:p>
    <w:bookmarkEnd w:id="0"/>
    <w:p w14:paraId="56768054">
      <w:pPr>
        <w:pStyle w:val="11"/>
        <w:numPr>
          <w:ilvl w:val="3"/>
          <w:numId w:val="1"/>
        </w:numPr>
        <w:spacing w:line="460" w:lineRule="exact"/>
        <w:ind w:firstLineChars="0"/>
        <w:jc w:val="left"/>
        <w:rPr>
          <w:rFonts w:ascii="宋体" w:hAnsi="宋体"/>
          <w:bCs/>
          <w:sz w:val="24"/>
          <w:szCs w:val="24"/>
        </w:rPr>
      </w:pPr>
      <w:bookmarkStart w:id="1" w:name="_Hlk104039528"/>
      <w:r>
        <w:rPr>
          <w:rFonts w:hint="eastAsia" w:ascii="宋体" w:hAnsi="宋体"/>
          <w:bCs/>
          <w:sz w:val="24"/>
          <w:szCs w:val="24"/>
        </w:rPr>
        <w:t>建设单位提供的设计图纸。</w:t>
      </w:r>
    </w:p>
    <w:p w14:paraId="4ADE21BE">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《建设工程工程量清单计价规范》（</w:t>
      </w:r>
      <w:r>
        <w:rPr>
          <w:rFonts w:ascii="宋体" w:hAnsi="宋体"/>
          <w:bCs/>
          <w:sz w:val="24"/>
          <w:szCs w:val="24"/>
        </w:rPr>
        <w:t>GB50500-2013）及其9本工程量计算规范。</w:t>
      </w:r>
    </w:p>
    <w:p w14:paraId="5329F5F7">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扬州市现行的不可竞争费用内容及标准。</w:t>
      </w:r>
    </w:p>
    <w:p w14:paraId="3C493D23">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扬州市安全生产、文明施工的相关规定。</w:t>
      </w:r>
    </w:p>
    <w:p w14:paraId="1AB8A026">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与本工程相关的现行设计、施工规范和标准图集、造价文件等。</w:t>
      </w:r>
    </w:p>
    <w:p w14:paraId="24E906FF">
      <w:pPr>
        <w:pStyle w:val="11"/>
        <w:numPr>
          <w:ilvl w:val="0"/>
          <w:numId w:val="1"/>
        </w:numPr>
        <w:spacing w:line="460" w:lineRule="exact"/>
        <w:ind w:firstLineChars="0"/>
        <w:jc w:val="left"/>
        <w:rPr>
          <w:rFonts w:ascii="宋体" w:hAnsi="宋体"/>
          <w:b/>
          <w:sz w:val="24"/>
          <w:szCs w:val="24"/>
        </w:rPr>
      </w:pPr>
      <w:r>
        <w:rPr>
          <w:rFonts w:hint="eastAsia" w:ascii="宋体" w:hAnsi="宋体"/>
          <w:b/>
          <w:sz w:val="24"/>
          <w:szCs w:val="24"/>
          <w:lang w:val="en-US" w:eastAsia="zh-CN"/>
        </w:rPr>
        <w:t>审核</w:t>
      </w:r>
      <w:r>
        <w:rPr>
          <w:rFonts w:hint="eastAsia" w:ascii="宋体" w:hAnsi="宋体"/>
          <w:b/>
          <w:sz w:val="24"/>
          <w:szCs w:val="24"/>
        </w:rPr>
        <w:t>说明</w:t>
      </w:r>
    </w:p>
    <w:p w14:paraId="3E524971">
      <w:pPr>
        <w:pStyle w:val="11"/>
        <w:numPr>
          <w:ilvl w:val="1"/>
          <w:numId w:val="1"/>
        </w:numPr>
        <w:spacing w:line="460" w:lineRule="exact"/>
        <w:ind w:firstLineChars="0"/>
        <w:jc w:val="left"/>
        <w:rPr>
          <w:rFonts w:ascii="宋体" w:hAnsi="宋体"/>
          <w:bCs/>
          <w:sz w:val="24"/>
          <w:szCs w:val="24"/>
        </w:rPr>
      </w:pPr>
      <w:r>
        <w:rPr>
          <w:rFonts w:hint="eastAsia" w:ascii="宋体" w:hAnsi="宋体"/>
          <w:bCs/>
          <w:sz w:val="24"/>
          <w:szCs w:val="24"/>
        </w:rPr>
        <w:t>一般说明</w:t>
      </w:r>
    </w:p>
    <w:p w14:paraId="201EAD6F">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施工现场情况：以现场踏勘情况为准。</w:t>
      </w:r>
    </w:p>
    <w:p w14:paraId="7A981D10">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交通运输情况：以现场踏勘情况为准。</w:t>
      </w:r>
    </w:p>
    <w:p w14:paraId="6B9465DD">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环境保护要求：满足省、市及当地政府对环境保护的相关要求和规定。</w:t>
      </w:r>
    </w:p>
    <w:p w14:paraId="338A0083">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本工程投标报价按《建设工程工程量清单计价规范》和相应计算规范的规定及要求，使用表格及格式按《建设工程工程量清单计价规范》要求执行。</w:t>
      </w:r>
    </w:p>
    <w:p w14:paraId="7E596000">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工程量清单中的每一个项目，都需填入综合单价及合价。</w:t>
      </w:r>
    </w:p>
    <w:p w14:paraId="3E721B26">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本工程量清单中的分部分项工程量及措施项目工程量均是根据本工程施工图、按照“工程量计算规范”或本项目清单总说明中的规定进行计算的，仅作为施工企业投标报价的共同基础，不能作为最终结算与支付价款的依据。</w:t>
      </w:r>
    </w:p>
    <w:p w14:paraId="5B283675">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工程量清单及其计价格式中的任何内容不得随意删除或涂改，若有错误，在招标答疑时及时提出，以“补遗”资料为准。</w:t>
      </w:r>
    </w:p>
    <w:p w14:paraId="46DFA95A">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分部分项工程量清单中对工程项目的项目特征及具体做法制作重点描述，详细情况见施工图设计、技术说明及相关标准图集。组价时应结合投标人现场勘查情况包括完成所有工序工作内容的全部费用。</w:t>
      </w:r>
    </w:p>
    <w:p w14:paraId="649DCC30">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投标人可根据工程实际与施工组织设计进行增补措施项目，但不得更改本清单中已列措施项目。结算时，除工程变更引起施工方案改变外，承包人不得以招标工程措施项目清单缺项为由要求新增措施项目。</w:t>
      </w:r>
    </w:p>
    <w:p w14:paraId="60C537A1">
      <w:pPr>
        <w:pStyle w:val="11"/>
        <w:numPr>
          <w:ilvl w:val="1"/>
          <w:numId w:val="1"/>
        </w:numPr>
        <w:spacing w:line="460" w:lineRule="exact"/>
        <w:ind w:firstLineChars="0"/>
        <w:jc w:val="left"/>
        <w:rPr>
          <w:rFonts w:ascii="宋体" w:hAnsi="宋体"/>
          <w:bCs/>
          <w:color w:val="FF0000"/>
          <w:sz w:val="24"/>
          <w:szCs w:val="24"/>
        </w:rPr>
      </w:pPr>
      <w:r>
        <w:rPr>
          <w:rFonts w:hint="eastAsia" w:ascii="宋体" w:hAnsi="宋体"/>
          <w:bCs/>
          <w:color w:val="FF0000"/>
          <w:sz w:val="24"/>
          <w:szCs w:val="24"/>
        </w:rPr>
        <w:t>分部分项说明</w:t>
      </w:r>
    </w:p>
    <w:p w14:paraId="2964C1A5">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土方施工方案、运距及土方</w:t>
      </w:r>
      <w:r>
        <w:rPr>
          <w:rFonts w:hint="eastAsia" w:ascii="宋体" w:hAnsi="宋体"/>
          <w:bCs/>
          <w:sz w:val="24"/>
          <w:szCs w:val="24"/>
          <w:lang w:val="en-US" w:eastAsia="zh-CN"/>
        </w:rPr>
        <w:t>消耗</w:t>
      </w:r>
      <w:r>
        <w:rPr>
          <w:rFonts w:hint="eastAsia" w:ascii="宋体" w:hAnsi="宋体"/>
          <w:bCs/>
          <w:sz w:val="24"/>
          <w:szCs w:val="24"/>
        </w:rPr>
        <w:t>由投标人自行考虑</w:t>
      </w:r>
      <w:r>
        <w:rPr>
          <w:rFonts w:hint="eastAsia" w:ascii="宋体" w:hAnsi="宋体"/>
          <w:bCs/>
          <w:sz w:val="24"/>
          <w:szCs w:val="24"/>
          <w:lang w:eastAsia="zh-CN"/>
        </w:rPr>
        <w:t>；</w:t>
      </w:r>
    </w:p>
    <w:p w14:paraId="381CFC8C">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箱变按成套组合式计算，包含柜体、变压器、接地、围栏</w:t>
      </w:r>
      <w:r>
        <w:rPr>
          <w:rFonts w:hint="eastAsia" w:ascii="宋体" w:hAnsi="宋体"/>
          <w:bCs/>
          <w:sz w:val="24"/>
          <w:szCs w:val="24"/>
          <w:lang w:val="en-US" w:eastAsia="zh-CN"/>
        </w:rPr>
        <w:t>等；</w:t>
      </w:r>
    </w:p>
    <w:p w14:paraId="3BD4F73D">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管枕按</w:t>
      </w:r>
      <w:r>
        <w:rPr>
          <w:rFonts w:ascii="宋体" w:hAnsi="宋体"/>
          <w:bCs/>
          <w:sz w:val="24"/>
          <w:szCs w:val="24"/>
        </w:rPr>
        <w:t>每间隔</w:t>
      </w:r>
      <w:r>
        <w:rPr>
          <w:rFonts w:hint="eastAsia" w:ascii="宋体" w:hAnsi="宋体"/>
          <w:bCs/>
          <w:sz w:val="24"/>
          <w:szCs w:val="24"/>
          <w:lang w:val="en-US" w:eastAsia="zh-CN"/>
        </w:rPr>
        <w:t>1.5</w:t>
      </w:r>
      <w:r>
        <w:rPr>
          <w:rFonts w:ascii="宋体" w:hAnsi="宋体"/>
          <w:bCs/>
          <w:sz w:val="24"/>
          <w:szCs w:val="24"/>
        </w:rPr>
        <w:t>m布置一道</w:t>
      </w:r>
      <w:r>
        <w:rPr>
          <w:rFonts w:hint="eastAsia" w:ascii="宋体" w:hAnsi="宋体"/>
          <w:bCs/>
          <w:sz w:val="24"/>
          <w:szCs w:val="24"/>
          <w:lang w:eastAsia="zh-CN"/>
        </w:rPr>
        <w:t>；</w:t>
      </w:r>
    </w:p>
    <w:p w14:paraId="21A3A3C6">
      <w:pPr>
        <w:pStyle w:val="11"/>
        <w:numPr>
          <w:ilvl w:val="3"/>
          <w:numId w:val="1"/>
        </w:numPr>
        <w:spacing w:line="460" w:lineRule="exact"/>
        <w:ind w:firstLineChars="0"/>
        <w:jc w:val="left"/>
        <w:rPr>
          <w:rFonts w:hint="eastAsia" w:ascii="宋体" w:hAnsi="宋体"/>
          <w:bCs/>
          <w:sz w:val="24"/>
          <w:szCs w:val="24"/>
        </w:rPr>
      </w:pPr>
      <w:r>
        <w:rPr>
          <w:rFonts w:hint="eastAsia" w:ascii="宋体" w:hAnsi="宋体" w:eastAsia="宋体" w:cs="宋体"/>
          <w:sz w:val="24"/>
          <w:lang w:val="en-US" w:eastAsia="zh-CN"/>
        </w:rPr>
        <w:t>设计说明中的电缆型号与箱变系统图中不一致，按设计说明中电缆型号计入</w:t>
      </w:r>
      <w:r>
        <w:rPr>
          <w:rFonts w:hint="eastAsia" w:ascii="宋体" w:hAnsi="宋体" w:cs="宋体"/>
          <w:sz w:val="24"/>
          <w:lang w:val="en-US" w:eastAsia="zh-CN"/>
        </w:rPr>
        <w:t>；</w:t>
      </w:r>
    </w:p>
    <w:p w14:paraId="02371115">
      <w:pPr>
        <w:pStyle w:val="11"/>
        <w:numPr>
          <w:ilvl w:val="1"/>
          <w:numId w:val="1"/>
        </w:numPr>
        <w:spacing w:line="460" w:lineRule="exact"/>
        <w:ind w:firstLineChars="0"/>
        <w:jc w:val="left"/>
        <w:rPr>
          <w:rFonts w:ascii="宋体" w:hAnsi="宋体"/>
          <w:bCs/>
          <w:sz w:val="24"/>
          <w:szCs w:val="24"/>
        </w:rPr>
      </w:pPr>
      <w:r>
        <w:rPr>
          <w:rFonts w:hint="eastAsia" w:ascii="宋体" w:hAnsi="宋体"/>
          <w:bCs/>
          <w:sz w:val="24"/>
          <w:szCs w:val="24"/>
        </w:rPr>
        <w:t>措施项目说明</w:t>
      </w:r>
    </w:p>
    <w:p w14:paraId="3EF93815">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总价措施费</w:t>
      </w:r>
    </w:p>
    <w:p w14:paraId="7D14921B">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总价措施费中的安全文明施工费为不可竞争费，必须按招标清单中列明的费率进行报价；其他总价措施费由投标人自行考虑，以费率报价。</w:t>
      </w:r>
    </w:p>
    <w:p w14:paraId="017D2B70">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安全文明施工费：按</w:t>
      </w:r>
      <w:r>
        <w:rPr>
          <w:rFonts w:ascii="宋体" w:hAnsi="宋体"/>
          <w:bCs/>
          <w:sz w:val="24"/>
          <w:szCs w:val="24"/>
        </w:rPr>
        <w:t>规定的相应费率计算，其中增加费</w:t>
      </w:r>
      <w:r>
        <w:rPr>
          <w:rFonts w:hint="eastAsia" w:ascii="宋体" w:hAnsi="宋体"/>
          <w:bCs/>
          <w:sz w:val="24"/>
          <w:szCs w:val="24"/>
        </w:rPr>
        <w:t>不计取</w:t>
      </w:r>
      <w:r>
        <w:rPr>
          <w:rFonts w:hint="eastAsia" w:ascii="宋体" w:hAnsi="宋体"/>
          <w:bCs/>
          <w:sz w:val="24"/>
          <w:szCs w:val="24"/>
          <w:lang w:val="en-US" w:eastAsia="zh-CN"/>
        </w:rPr>
        <w:t>,</w:t>
      </w:r>
      <w:r>
        <w:rPr>
          <w:rFonts w:ascii="宋体" w:hAnsi="宋体"/>
          <w:bCs/>
          <w:sz w:val="24"/>
          <w:szCs w:val="24"/>
        </w:rPr>
        <w:t>结算时按</w:t>
      </w:r>
      <w:r>
        <w:rPr>
          <w:rFonts w:hint="eastAsia" w:ascii="宋体" w:hAnsi="宋体"/>
          <w:bCs/>
          <w:sz w:val="24"/>
          <w:szCs w:val="24"/>
          <w:lang w:val="en-US" w:eastAsia="zh-CN"/>
        </w:rPr>
        <w:t>有关</w:t>
      </w:r>
      <w:r>
        <w:rPr>
          <w:rFonts w:ascii="宋体" w:hAnsi="宋体"/>
          <w:bCs/>
          <w:sz w:val="24"/>
          <w:szCs w:val="24"/>
        </w:rPr>
        <w:t>部门核定的费率调整。</w:t>
      </w:r>
    </w:p>
    <w:p w14:paraId="1E34AE22">
      <w:pPr>
        <w:pStyle w:val="11"/>
        <w:numPr>
          <w:ilvl w:val="0"/>
          <w:numId w:val="2"/>
        </w:numPr>
        <w:spacing w:line="460" w:lineRule="exact"/>
        <w:ind w:firstLine="720" w:firstLineChars="300"/>
        <w:jc w:val="left"/>
        <w:rPr>
          <w:rFonts w:ascii="宋体" w:hAnsi="宋体"/>
          <w:bCs/>
          <w:sz w:val="24"/>
          <w:szCs w:val="24"/>
        </w:rPr>
      </w:pPr>
      <w:r>
        <w:rPr>
          <w:rFonts w:hint="eastAsia" w:ascii="宋体" w:hAnsi="宋体"/>
          <w:bCs/>
          <w:sz w:val="24"/>
          <w:szCs w:val="24"/>
        </w:rPr>
        <w:t>单价措施费</w:t>
      </w:r>
    </w:p>
    <w:p w14:paraId="6FEFC256">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大型机械设备进出场及安拆。</w:t>
      </w:r>
    </w:p>
    <w:p w14:paraId="75F47A61">
      <w:pPr>
        <w:pStyle w:val="11"/>
        <w:numPr>
          <w:ilvl w:val="0"/>
          <w:numId w:val="2"/>
        </w:numPr>
        <w:spacing w:line="460" w:lineRule="exact"/>
        <w:ind w:left="0" w:leftChars="0" w:firstLine="720" w:firstLineChars="300"/>
        <w:jc w:val="left"/>
        <w:rPr>
          <w:rFonts w:ascii="宋体" w:hAnsi="宋体"/>
          <w:bCs/>
          <w:sz w:val="24"/>
          <w:szCs w:val="24"/>
        </w:rPr>
      </w:pPr>
      <w:r>
        <w:rPr>
          <w:rFonts w:hint="eastAsia" w:ascii="宋体" w:hAnsi="宋体"/>
          <w:bCs/>
          <w:sz w:val="24"/>
          <w:szCs w:val="24"/>
        </w:rPr>
        <w:t>其他项目</w:t>
      </w:r>
    </w:p>
    <w:p w14:paraId="1236829C">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暂列金额：</w:t>
      </w:r>
      <w:r>
        <w:rPr>
          <w:rFonts w:hint="eastAsia" w:ascii="宋体" w:hAnsi="宋体"/>
          <w:bCs/>
          <w:sz w:val="24"/>
          <w:szCs w:val="24"/>
          <w:lang w:val="en-US" w:eastAsia="zh-CN"/>
        </w:rPr>
        <w:t>按分部分项工程费</w:t>
      </w:r>
      <w:bookmarkStart w:id="2" w:name="_GoBack"/>
      <w:bookmarkEnd w:id="2"/>
      <w:r>
        <w:rPr>
          <w:rFonts w:hint="eastAsia" w:ascii="宋体" w:hAnsi="宋体"/>
          <w:bCs/>
          <w:sz w:val="24"/>
          <w:szCs w:val="24"/>
          <w:lang w:val="en-US" w:eastAsia="zh-CN"/>
        </w:rPr>
        <w:t>的10%计取。</w:t>
      </w:r>
    </w:p>
    <w:p w14:paraId="7AEAE886">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 xml:space="preserve">计日工：无。 </w:t>
      </w:r>
    </w:p>
    <w:p w14:paraId="3E2D895D">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总承包服务费：无。</w:t>
      </w:r>
    </w:p>
    <w:p w14:paraId="1FA26F3A">
      <w:pPr>
        <w:pStyle w:val="11"/>
        <w:numPr>
          <w:ilvl w:val="0"/>
          <w:numId w:val="2"/>
        </w:numPr>
        <w:spacing w:line="460" w:lineRule="exact"/>
        <w:ind w:left="0" w:leftChars="0" w:firstLine="720" w:firstLineChars="300"/>
        <w:jc w:val="left"/>
        <w:rPr>
          <w:rFonts w:ascii="宋体" w:hAnsi="宋体"/>
          <w:bCs/>
          <w:sz w:val="24"/>
          <w:szCs w:val="24"/>
        </w:rPr>
      </w:pPr>
      <w:r>
        <w:rPr>
          <w:rFonts w:hint="eastAsia" w:ascii="宋体" w:hAnsi="宋体"/>
          <w:bCs/>
          <w:sz w:val="24"/>
          <w:szCs w:val="24"/>
        </w:rPr>
        <w:t>规费和税金</w:t>
      </w:r>
    </w:p>
    <w:p w14:paraId="18261F9E">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规费：为不可竞争费，必须按招标清单中列明的费率进行报价。</w:t>
      </w:r>
    </w:p>
    <w:p w14:paraId="4DF037D5">
      <w:pPr>
        <w:pStyle w:val="11"/>
        <w:numPr>
          <w:ilvl w:val="4"/>
          <w:numId w:val="1"/>
        </w:numPr>
        <w:spacing w:line="460" w:lineRule="exact"/>
        <w:ind w:firstLineChars="0"/>
        <w:jc w:val="left"/>
        <w:rPr>
          <w:rFonts w:ascii="宋体" w:hAnsi="宋体"/>
          <w:bCs/>
          <w:sz w:val="24"/>
          <w:szCs w:val="24"/>
        </w:rPr>
      </w:pPr>
      <w:r>
        <w:rPr>
          <w:rFonts w:hint="eastAsia" w:ascii="宋体" w:hAnsi="宋体"/>
          <w:bCs/>
          <w:sz w:val="24"/>
          <w:szCs w:val="24"/>
        </w:rPr>
        <w:t>环境保护税：不计取。</w:t>
      </w:r>
    </w:p>
    <w:p w14:paraId="7EE2CD2A">
      <w:pPr>
        <w:pStyle w:val="11"/>
        <w:numPr>
          <w:ilvl w:val="4"/>
          <w:numId w:val="1"/>
        </w:numPr>
        <w:spacing w:line="460" w:lineRule="exact"/>
        <w:ind w:firstLineChars="0"/>
        <w:jc w:val="left"/>
        <w:rPr>
          <w:rFonts w:ascii="宋体" w:hAnsi="宋体"/>
          <w:bCs/>
          <w:sz w:val="24"/>
          <w:szCs w:val="24"/>
        </w:rPr>
      </w:pPr>
      <w:r>
        <w:rPr>
          <w:rFonts w:hint="eastAsia" w:ascii="宋体" w:hAnsi="宋体"/>
          <w:bCs/>
          <w:sz w:val="24"/>
          <w:szCs w:val="24"/>
        </w:rPr>
        <w:t>社会保险费：按规定费率计取。</w:t>
      </w:r>
    </w:p>
    <w:p w14:paraId="75B54B5A">
      <w:pPr>
        <w:pStyle w:val="11"/>
        <w:numPr>
          <w:ilvl w:val="4"/>
          <w:numId w:val="1"/>
        </w:numPr>
        <w:spacing w:line="460" w:lineRule="exact"/>
        <w:ind w:firstLineChars="0"/>
        <w:jc w:val="left"/>
        <w:rPr>
          <w:rFonts w:ascii="宋体" w:hAnsi="宋体"/>
          <w:bCs/>
          <w:sz w:val="24"/>
          <w:szCs w:val="24"/>
        </w:rPr>
      </w:pPr>
      <w:r>
        <w:rPr>
          <w:rFonts w:hint="eastAsia" w:ascii="宋体" w:hAnsi="宋体"/>
          <w:bCs/>
          <w:sz w:val="24"/>
          <w:szCs w:val="24"/>
        </w:rPr>
        <w:t>住房公积金：按规定费率计取。</w:t>
      </w:r>
    </w:p>
    <w:p w14:paraId="4D08C95A">
      <w:pPr>
        <w:pStyle w:val="11"/>
        <w:numPr>
          <w:ilvl w:val="3"/>
          <w:numId w:val="1"/>
        </w:numPr>
        <w:spacing w:line="460" w:lineRule="exact"/>
        <w:ind w:firstLineChars="0"/>
        <w:jc w:val="left"/>
        <w:rPr>
          <w:rFonts w:ascii="宋体" w:hAnsi="宋体"/>
          <w:bCs/>
          <w:sz w:val="24"/>
          <w:szCs w:val="24"/>
        </w:rPr>
      </w:pPr>
      <w:r>
        <w:rPr>
          <w:rFonts w:hint="eastAsia" w:ascii="宋体" w:hAnsi="宋体"/>
          <w:bCs/>
          <w:sz w:val="24"/>
          <w:szCs w:val="24"/>
        </w:rPr>
        <w:t>税金：按一般计税法（税率</w:t>
      </w:r>
      <w:r>
        <w:rPr>
          <w:rFonts w:ascii="宋体" w:hAnsi="宋体"/>
          <w:bCs/>
          <w:sz w:val="24"/>
          <w:szCs w:val="24"/>
        </w:rPr>
        <w:t>9%），为不可竞争费，必须按招标清单中列明的费率进行报价。</w:t>
      </w:r>
    </w:p>
    <w:bookmarkEnd w:id="1"/>
    <w:p w14:paraId="5A279476">
      <w:pPr>
        <w:spacing w:line="460" w:lineRule="exact"/>
        <w:jc w:val="left"/>
        <w:rPr>
          <w:rFonts w:ascii="宋体" w:hAnsi="宋体"/>
          <w:bCs/>
          <w:sz w:val="24"/>
          <w:szCs w:val="24"/>
        </w:rPr>
      </w:pPr>
    </w:p>
    <w:sectPr>
      <w:headerReference r:id="rId3" w:type="default"/>
      <w:type w:val="continuous"/>
      <w:pgSz w:w="11906" w:h="16838"/>
      <w:pgMar w:top="1440" w:right="1797" w:bottom="1440" w:left="1797" w:header="851" w:footer="624" w:gutter="0"/>
      <w:paperSrc w:first="1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65763">
    <w:pPr>
      <w:pStyle w:val="4"/>
      <w:tabs>
        <w:tab w:val="right" w:pos="8312"/>
        <w:tab w:val="clear" w:pos="8306"/>
      </w:tabs>
      <w:rPr>
        <w:rFonts w:ascii="宋体" w:hAnsi="宋体" w:eastAsia="宋体"/>
        <w:b/>
        <w:bCs/>
        <w:sz w:val="36"/>
        <w:szCs w:val="36"/>
      </w:rPr>
    </w:pPr>
    <w:r>
      <w:rPr>
        <w:rFonts w:hint="eastAsia" w:ascii="宋体" w:hAnsi="宋体" w:eastAsia="宋体"/>
        <w:b/>
        <w:bCs/>
        <w:sz w:val="36"/>
        <w:szCs w:val="36"/>
      </w:rPr>
      <w:t>工程量清单总说明</w:t>
    </w:r>
  </w:p>
  <w:p w14:paraId="0FD76378">
    <w:pPr>
      <w:pStyle w:val="4"/>
      <w:tabs>
        <w:tab w:val="right" w:pos="8312"/>
        <w:tab w:val="clear" w:pos="8306"/>
      </w:tabs>
      <w:jc w:val="left"/>
      <w:rPr>
        <w:rFonts w:ascii="宋体" w:hAnsi="宋体" w:eastAsia="宋体"/>
        <w:b/>
        <w:bCs/>
        <w:sz w:val="21"/>
        <w:szCs w:val="21"/>
      </w:rPr>
    </w:pPr>
    <w:r>
      <mc:AlternateContent>
        <mc:Choice Requires="wps">
          <w:drawing>
            <wp:anchor distT="0" distB="0" distL="114300" distR="114300" simplePos="0" relativeHeight="251659264" behindDoc="1" locked="0" layoutInCell="1" allowOverlap="1">
              <wp:simplePos x="0" y="0"/>
              <wp:positionH relativeFrom="column">
                <wp:posOffset>4283710</wp:posOffset>
              </wp:positionH>
              <wp:positionV relativeFrom="paragraph">
                <wp:posOffset>130810</wp:posOffset>
              </wp:positionV>
              <wp:extent cx="1120140" cy="266700"/>
              <wp:effectExtent l="0" t="0" r="3810" b="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120442" cy="266700"/>
                      </a:xfrm>
                      <a:prstGeom prst="rect">
                        <a:avLst/>
                      </a:prstGeom>
                      <a:solidFill>
                        <a:srgbClr val="FFFFFF"/>
                      </a:solidFill>
                      <a:ln w="9525">
                        <a:noFill/>
                        <a:miter lim="800000"/>
                      </a:ln>
                    </wps:spPr>
                    <wps:txbx>
                      <w:txbxContent>
                        <w:p w14:paraId="63A98861">
                          <w:pPr>
                            <w:jc w:val="right"/>
                          </w:pPr>
                          <w:sdt>
                            <w:sdtPr>
                              <w:id w:val="-1474055308"/>
                              <w:docPartObj>
                                <w:docPartGallery w:val="autotext"/>
                              </w:docPartObj>
                            </w:sdtPr>
                            <w:sdtEndPr>
                              <w:rPr>
                                <w:rFonts w:ascii="宋体" w:hAnsi="宋体" w:eastAsia="宋体"/>
                                <w:b/>
                                <w:bCs/>
                                <w:szCs w:val="21"/>
                              </w:rPr>
                            </w:sdtEndPr>
                            <w:sdtContent>
                              <w:r>
                                <w:rPr>
                                  <w:rFonts w:hint="eastAsia" w:ascii="宋体" w:hAnsi="宋体" w:eastAsia="宋体"/>
                                  <w:b/>
                                  <w:bCs/>
                                  <w:szCs w:val="21"/>
                                </w:rPr>
                                <w:t>第</w:t>
                              </w:r>
                              <w:r>
                                <w:rPr>
                                  <w:rFonts w:ascii="宋体" w:hAnsi="宋体" w:eastAsia="宋体"/>
                                  <w:b/>
                                  <w:bCs/>
                                  <w:szCs w:val="21"/>
                                </w:rPr>
                                <w:fldChar w:fldCharType="begin"/>
                              </w:r>
                              <w:r>
                                <w:rPr>
                                  <w:rFonts w:ascii="宋体" w:hAnsi="宋体" w:eastAsia="宋体"/>
                                  <w:b/>
                                  <w:bCs/>
                                  <w:szCs w:val="21"/>
                                </w:rPr>
                                <w:instrText xml:space="preserve">PAGE</w:instrText>
                              </w:r>
                              <w:r>
                                <w:rPr>
                                  <w:rFonts w:ascii="宋体" w:hAnsi="宋体" w:eastAsia="宋体"/>
                                  <w:b/>
                                  <w:bCs/>
                                  <w:szCs w:val="21"/>
                                </w:rPr>
                                <w:fldChar w:fldCharType="separate"/>
                              </w:r>
                              <w:r>
                                <w:rPr>
                                  <w:rFonts w:ascii="宋体" w:hAnsi="宋体"/>
                                  <w:b/>
                                  <w:bCs/>
                                  <w:szCs w:val="21"/>
                                </w:rPr>
                                <w:t>1</w:t>
                              </w:r>
                              <w:r>
                                <w:rPr>
                                  <w:rFonts w:ascii="宋体" w:hAnsi="宋体" w:eastAsia="宋体"/>
                                  <w:b/>
                                  <w:bCs/>
                                  <w:szCs w:val="21"/>
                                </w:rPr>
                                <w:fldChar w:fldCharType="end"/>
                              </w:r>
                              <w:r>
                                <w:rPr>
                                  <w:rFonts w:hint="eastAsia" w:ascii="宋体" w:hAnsi="宋体" w:eastAsia="宋体"/>
                                  <w:b/>
                                  <w:bCs/>
                                  <w:szCs w:val="21"/>
                                </w:rPr>
                                <w:t>页</w:t>
                              </w:r>
                              <w:r>
                                <w:rPr>
                                  <w:rFonts w:hint="eastAsia" w:ascii="宋体" w:hAnsi="宋体" w:eastAsia="宋体"/>
                                  <w:b/>
                                  <w:bCs/>
                                  <w:szCs w:val="21"/>
                                  <w:lang w:val="zh-CN"/>
                                </w:rPr>
                                <w:t>共</w:t>
                              </w:r>
                              <w:r>
                                <w:rPr>
                                  <w:rFonts w:ascii="宋体" w:hAnsi="宋体" w:eastAsia="宋体"/>
                                  <w:b/>
                                  <w:bCs/>
                                  <w:szCs w:val="21"/>
                                </w:rPr>
                                <w:fldChar w:fldCharType="begin"/>
                              </w:r>
                              <w:r>
                                <w:rPr>
                                  <w:rFonts w:ascii="宋体" w:hAnsi="宋体" w:eastAsia="宋体"/>
                                  <w:b/>
                                  <w:bCs/>
                                  <w:szCs w:val="21"/>
                                </w:rPr>
                                <w:instrText xml:space="preserve">NUMPAGES</w:instrText>
                              </w:r>
                              <w:r>
                                <w:rPr>
                                  <w:rFonts w:ascii="宋体" w:hAnsi="宋体" w:eastAsia="宋体"/>
                                  <w:b/>
                                  <w:bCs/>
                                  <w:szCs w:val="21"/>
                                </w:rPr>
                                <w:fldChar w:fldCharType="separate"/>
                              </w:r>
                              <w:r>
                                <w:rPr>
                                  <w:rFonts w:ascii="宋体" w:hAnsi="宋体"/>
                                  <w:b/>
                                  <w:bCs/>
                                  <w:szCs w:val="21"/>
                                </w:rPr>
                                <w:t>9</w:t>
                              </w:r>
                              <w:r>
                                <w:rPr>
                                  <w:rFonts w:ascii="宋体" w:hAnsi="宋体" w:eastAsia="宋体"/>
                                  <w:b/>
                                  <w:bCs/>
                                  <w:szCs w:val="21"/>
                                </w:rPr>
                                <w:fldChar w:fldCharType="end"/>
                              </w:r>
                              <w:r>
                                <w:rPr>
                                  <w:rFonts w:hint="eastAsia" w:ascii="宋体" w:hAnsi="宋体" w:eastAsia="宋体"/>
                                  <w:b/>
                                  <w:bCs/>
                                  <w:szCs w:val="21"/>
                                </w:rPr>
                                <w:t>页</w:t>
                              </w:r>
                            </w:sdtContent>
                          </w:sdt>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37.3pt;margin-top:10.3pt;height:21pt;width:88.2pt;z-index:-251657216;mso-width-relative:page;mso-height-relative:page;" fillcolor="#FFFFFF" filled="t" stroked="f" coordsize="21600,21600" o:gfxdata="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iesoD1wAAAAkBAAAPAAAAAAAAAAEAIAAAACIAAABkcnMvZG93&#10;bnJldi54bWxQSwECFAAUAAAACACHTuJA64s27zoCAABUBAAADgAAAAAAAAABACAAAAAmAQAAZHJz&#10;L2Uyb0RvYy54bWxQSwUGAAAAAAYABgBZAQAA0gUAAAAA&#10;">
              <v:fill on="t" focussize="0,0"/>
              <v:stroke on="f" miterlimit="8" joinstyle="miter"/>
              <v:imagedata o:title=""/>
              <o:lock v:ext="edit" aspectratio="f"/>
              <v:textbox>
                <w:txbxContent>
                  <w:p w14:paraId="63A98861">
                    <w:pPr>
                      <w:jc w:val="right"/>
                    </w:pPr>
                    <w:sdt>
                      <w:sdtPr>
                        <w:id w:val="-1474055308"/>
                        <w:docPartObj>
                          <w:docPartGallery w:val="autotext"/>
                        </w:docPartObj>
                      </w:sdtPr>
                      <w:sdtEndPr>
                        <w:rPr>
                          <w:rFonts w:ascii="宋体" w:hAnsi="宋体" w:eastAsia="宋体"/>
                          <w:b/>
                          <w:bCs/>
                          <w:szCs w:val="21"/>
                        </w:rPr>
                      </w:sdtEndPr>
                      <w:sdtContent>
                        <w:r>
                          <w:rPr>
                            <w:rFonts w:hint="eastAsia" w:ascii="宋体" w:hAnsi="宋体" w:eastAsia="宋体"/>
                            <w:b/>
                            <w:bCs/>
                            <w:szCs w:val="21"/>
                          </w:rPr>
                          <w:t>第</w:t>
                        </w:r>
                        <w:r>
                          <w:rPr>
                            <w:rFonts w:ascii="宋体" w:hAnsi="宋体" w:eastAsia="宋体"/>
                            <w:b/>
                            <w:bCs/>
                            <w:szCs w:val="21"/>
                          </w:rPr>
                          <w:fldChar w:fldCharType="begin"/>
                        </w:r>
                        <w:r>
                          <w:rPr>
                            <w:rFonts w:ascii="宋体" w:hAnsi="宋体" w:eastAsia="宋体"/>
                            <w:b/>
                            <w:bCs/>
                            <w:szCs w:val="21"/>
                          </w:rPr>
                          <w:instrText xml:space="preserve">PAGE</w:instrText>
                        </w:r>
                        <w:r>
                          <w:rPr>
                            <w:rFonts w:ascii="宋体" w:hAnsi="宋体" w:eastAsia="宋体"/>
                            <w:b/>
                            <w:bCs/>
                            <w:szCs w:val="21"/>
                          </w:rPr>
                          <w:fldChar w:fldCharType="separate"/>
                        </w:r>
                        <w:r>
                          <w:rPr>
                            <w:rFonts w:ascii="宋体" w:hAnsi="宋体"/>
                            <w:b/>
                            <w:bCs/>
                            <w:szCs w:val="21"/>
                          </w:rPr>
                          <w:t>1</w:t>
                        </w:r>
                        <w:r>
                          <w:rPr>
                            <w:rFonts w:ascii="宋体" w:hAnsi="宋体" w:eastAsia="宋体"/>
                            <w:b/>
                            <w:bCs/>
                            <w:szCs w:val="21"/>
                          </w:rPr>
                          <w:fldChar w:fldCharType="end"/>
                        </w:r>
                        <w:r>
                          <w:rPr>
                            <w:rFonts w:hint="eastAsia" w:ascii="宋体" w:hAnsi="宋体" w:eastAsia="宋体"/>
                            <w:b/>
                            <w:bCs/>
                            <w:szCs w:val="21"/>
                          </w:rPr>
                          <w:t>页</w:t>
                        </w:r>
                        <w:r>
                          <w:rPr>
                            <w:rFonts w:hint="eastAsia" w:ascii="宋体" w:hAnsi="宋体" w:eastAsia="宋体"/>
                            <w:b/>
                            <w:bCs/>
                            <w:szCs w:val="21"/>
                            <w:lang w:val="zh-CN"/>
                          </w:rPr>
                          <w:t>共</w:t>
                        </w:r>
                        <w:r>
                          <w:rPr>
                            <w:rFonts w:ascii="宋体" w:hAnsi="宋体" w:eastAsia="宋体"/>
                            <w:b/>
                            <w:bCs/>
                            <w:szCs w:val="21"/>
                          </w:rPr>
                          <w:fldChar w:fldCharType="begin"/>
                        </w:r>
                        <w:r>
                          <w:rPr>
                            <w:rFonts w:ascii="宋体" w:hAnsi="宋体" w:eastAsia="宋体"/>
                            <w:b/>
                            <w:bCs/>
                            <w:szCs w:val="21"/>
                          </w:rPr>
                          <w:instrText xml:space="preserve">NUMPAGES</w:instrText>
                        </w:r>
                        <w:r>
                          <w:rPr>
                            <w:rFonts w:ascii="宋体" w:hAnsi="宋体" w:eastAsia="宋体"/>
                            <w:b/>
                            <w:bCs/>
                            <w:szCs w:val="21"/>
                          </w:rPr>
                          <w:fldChar w:fldCharType="separate"/>
                        </w:r>
                        <w:r>
                          <w:rPr>
                            <w:rFonts w:ascii="宋体" w:hAnsi="宋体"/>
                            <w:b/>
                            <w:bCs/>
                            <w:szCs w:val="21"/>
                          </w:rPr>
                          <w:t>9</w:t>
                        </w:r>
                        <w:r>
                          <w:rPr>
                            <w:rFonts w:ascii="宋体" w:hAnsi="宋体" w:eastAsia="宋体"/>
                            <w:b/>
                            <w:bCs/>
                            <w:szCs w:val="21"/>
                          </w:rPr>
                          <w:fldChar w:fldCharType="end"/>
                        </w:r>
                        <w:r>
                          <w:rPr>
                            <w:rFonts w:hint="eastAsia" w:ascii="宋体" w:hAnsi="宋体" w:eastAsia="宋体"/>
                            <w:b/>
                            <w:bCs/>
                            <w:szCs w:val="21"/>
                          </w:rPr>
                          <w:t>页</w:t>
                        </w:r>
                      </w:sdtContent>
                    </w:sdt>
                  </w:p>
                </w:txbxContent>
              </v:textbox>
            </v:shape>
          </w:pict>
        </mc:Fallback>
      </mc:AlternateContent>
    </w:r>
  </w:p>
  <w:p w14:paraId="2B595BFB">
    <w:pPr>
      <w:pStyle w:val="4"/>
      <w:tabs>
        <w:tab w:val="left" w:pos="7050"/>
        <w:tab w:val="right" w:pos="8312"/>
        <w:tab w:val="clear" w:pos="8306"/>
      </w:tabs>
      <w:jc w:val="left"/>
      <w:rPr>
        <w:rFonts w:ascii="宋体" w:hAnsi="宋体" w:eastAsia="宋体"/>
        <w:b/>
        <w:bCs/>
        <w:sz w:val="21"/>
        <w:szCs w:val="21"/>
      </w:rPr>
    </w:pPr>
    <w:r>
      <w:rPr>
        <w:rFonts w:hint="eastAsia" w:ascii="宋体" w:hAnsi="宋体" w:eastAsia="宋体"/>
        <w:b/>
        <w:bCs/>
        <w:sz w:val="21"/>
        <w:szCs w:val="21"/>
      </w:rPr>
      <w:t>项目名称：</w:t>
    </w:r>
    <w:r>
      <w:rPr>
        <w:rFonts w:hint="eastAsia" w:ascii="宋体" w:hAnsi="宋体" w:eastAsia="宋体"/>
        <w:b/>
        <w:bCs/>
        <w:sz w:val="21"/>
        <w:szCs w:val="21"/>
        <w:lang w:val="en-US" w:eastAsia="zh-CN"/>
      </w:rPr>
      <w:t>扬州</w:t>
    </w:r>
    <w:r>
      <w:rPr>
        <w:rFonts w:hint="eastAsia" w:ascii="宋体" w:hAnsi="宋体" w:eastAsia="宋体"/>
        <w:b/>
        <w:bCs/>
        <w:sz w:val="21"/>
        <w:szCs w:val="21"/>
      </w:rPr>
      <w:t>GZ569地块项目临时用电工程</w:t>
    </w:r>
    <w:r>
      <w:rPr>
        <w:rFonts w:hint="eastAsia" w:ascii="宋体" w:hAnsi="宋体" w:eastAsia="宋体"/>
        <w:b/>
        <w:bCs/>
        <w:sz w:val="21"/>
        <w:szCs w:val="21"/>
      </w:rPr>
      <w:tab/>
    </w:r>
    <w:r>
      <w:rPr>
        <w:rFonts w:ascii="宋体" w:hAnsi="宋体" w:eastAsia="宋体"/>
        <w:b/>
        <w:bCs/>
        <w:sz w:val="21"/>
        <w:szCs w:val="2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B0D9D5"/>
    <w:multiLevelType w:val="singleLevel"/>
    <w:tmpl w:val="F0B0D9D5"/>
    <w:lvl w:ilvl="0" w:tentative="0">
      <w:start w:val="4"/>
      <w:numFmt w:val="chineseCounting"/>
      <w:suff w:val="space"/>
      <w:lvlText w:val="(%1)"/>
      <w:lvlJc w:val="left"/>
      <w:rPr>
        <w:rFonts w:hint="eastAsia"/>
      </w:rPr>
    </w:lvl>
  </w:abstractNum>
  <w:abstractNum w:abstractNumId="1">
    <w:nsid w:val="22042AE8"/>
    <w:multiLevelType w:val="multilevel"/>
    <w:tmpl w:val="22042AE8"/>
    <w:lvl w:ilvl="0" w:tentative="0">
      <w:start w:val="1"/>
      <w:numFmt w:val="chineseCountingThousand"/>
      <w:suff w:val="nothing"/>
      <w:lvlText w:val="%1、"/>
      <w:lvlJc w:val="left"/>
      <w:pPr>
        <w:ind w:left="0" w:firstLine="567"/>
      </w:pPr>
      <w:rPr>
        <w:rFonts w:hint="eastAsia"/>
        <w:sz w:val="24"/>
        <w:szCs w:val="24"/>
      </w:rPr>
    </w:lvl>
    <w:lvl w:ilvl="1" w:tentative="0">
      <w:start w:val="1"/>
      <w:numFmt w:val="chineseCountingThousand"/>
      <w:suff w:val="nothing"/>
      <w:lvlText w:val="（%2）"/>
      <w:lvlJc w:val="left"/>
      <w:pPr>
        <w:ind w:left="0" w:firstLine="567"/>
      </w:pPr>
      <w:rPr>
        <w:rFonts w:hint="eastAsia"/>
        <w:sz w:val="24"/>
        <w:szCs w:val="24"/>
      </w:rPr>
    </w:lvl>
    <w:lvl w:ilvl="2" w:tentative="0">
      <w:start w:val="1"/>
      <w:numFmt w:val="decimal"/>
      <w:suff w:val="nothing"/>
      <w:lvlText w:val="（%2 .%3）"/>
      <w:lvlJc w:val="left"/>
      <w:pPr>
        <w:ind w:left="0" w:firstLine="567"/>
      </w:pPr>
      <w:rPr>
        <w:rFonts w:hint="eastAsia"/>
        <w:b w:val="0"/>
        <w:i w:val="0"/>
        <w:sz w:val="24"/>
        <w:szCs w:val="24"/>
      </w:rPr>
    </w:lvl>
    <w:lvl w:ilvl="3" w:tentative="0">
      <w:start w:val="1"/>
      <w:numFmt w:val="decimal"/>
      <w:suff w:val="space"/>
      <w:lvlText w:val="%4."/>
      <w:lvlJc w:val="left"/>
      <w:pPr>
        <w:ind w:left="0" w:firstLine="567"/>
      </w:pPr>
      <w:rPr>
        <w:rFonts w:hint="eastAsia"/>
      </w:rPr>
    </w:lvl>
    <w:lvl w:ilvl="4" w:tentative="0">
      <w:start w:val="1"/>
      <w:numFmt w:val="decimal"/>
      <w:suff w:val="space"/>
      <w:lvlText w:val="%4.%5."/>
      <w:lvlJc w:val="left"/>
      <w:pPr>
        <w:ind w:left="0" w:firstLine="567"/>
      </w:pPr>
      <w:rPr>
        <w:rFonts w:hint="eastAsia"/>
      </w:rPr>
    </w:lvl>
    <w:lvl w:ilvl="5" w:tentative="0">
      <w:start w:val="1"/>
      <w:numFmt w:val="decimal"/>
      <w:suff w:val="space"/>
      <w:lvlText w:val="%4.%6.%5."/>
      <w:lvlJc w:val="left"/>
      <w:pPr>
        <w:ind w:left="0" w:firstLine="567"/>
      </w:pPr>
      <w:rPr>
        <w:rFonts w:hint="eastAsia"/>
      </w:rPr>
    </w:lvl>
    <w:lvl w:ilvl="6" w:tentative="0">
      <w:start w:val="1"/>
      <w:numFmt w:val="lowerLetter"/>
      <w:suff w:val="space"/>
      <w:lvlText w:val="%7."/>
      <w:lvlJc w:val="left"/>
      <w:pPr>
        <w:ind w:left="0" w:firstLine="567"/>
      </w:pPr>
      <w:rPr>
        <w:rFonts w:hint="eastAsia"/>
      </w:rPr>
    </w:lvl>
    <w:lvl w:ilvl="7" w:tentative="0">
      <w:start w:val="1"/>
      <w:numFmt w:val="decimal"/>
      <w:suff w:val="space"/>
      <w:lvlText w:val="%7.%8."/>
      <w:lvlJc w:val="left"/>
      <w:pPr>
        <w:ind w:left="0" w:firstLine="567"/>
      </w:pPr>
      <w:rPr>
        <w:rFonts w:hint="eastAsia"/>
      </w:rPr>
    </w:lvl>
    <w:lvl w:ilvl="8" w:tentative="0">
      <w:start w:val="1"/>
      <w:numFmt w:val="decimal"/>
      <w:suff w:val="space"/>
      <w:lvlText w:val="%7.%8.%9."/>
      <w:lvlJc w:val="left"/>
      <w:pPr>
        <w:ind w:left="0" w:firstLine="567"/>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mMGQ5ZmYwMWVkY2FiOTYxYTRmOGVkMjczNjY1ZWQifQ=="/>
    <w:docVar w:name="KSO_WPS_MARK_KEY" w:val="c974db7f-490f-4455-8fa2-64ff67e311a0"/>
  </w:docVars>
  <w:rsids>
    <w:rsidRoot w:val="00E0225C"/>
    <w:rsid w:val="00057DC0"/>
    <w:rsid w:val="00065935"/>
    <w:rsid w:val="00066E3B"/>
    <w:rsid w:val="0012351D"/>
    <w:rsid w:val="00130BCC"/>
    <w:rsid w:val="001316E5"/>
    <w:rsid w:val="0015514F"/>
    <w:rsid w:val="001741C0"/>
    <w:rsid w:val="00286722"/>
    <w:rsid w:val="002B1649"/>
    <w:rsid w:val="002C6138"/>
    <w:rsid w:val="002C7021"/>
    <w:rsid w:val="002F75F0"/>
    <w:rsid w:val="00315D93"/>
    <w:rsid w:val="003C26F4"/>
    <w:rsid w:val="00400ADB"/>
    <w:rsid w:val="00407C08"/>
    <w:rsid w:val="00421557"/>
    <w:rsid w:val="004418FA"/>
    <w:rsid w:val="00453008"/>
    <w:rsid w:val="00480E7E"/>
    <w:rsid w:val="004F34ED"/>
    <w:rsid w:val="005171DD"/>
    <w:rsid w:val="00574276"/>
    <w:rsid w:val="00596C49"/>
    <w:rsid w:val="00611A26"/>
    <w:rsid w:val="006B6D20"/>
    <w:rsid w:val="00797B90"/>
    <w:rsid w:val="007A38C6"/>
    <w:rsid w:val="007C5D8C"/>
    <w:rsid w:val="007D05A4"/>
    <w:rsid w:val="00807E8C"/>
    <w:rsid w:val="00816773"/>
    <w:rsid w:val="00894C1A"/>
    <w:rsid w:val="008F7574"/>
    <w:rsid w:val="009A1F3D"/>
    <w:rsid w:val="009F7AED"/>
    <w:rsid w:val="00A21ABC"/>
    <w:rsid w:val="00B22B4B"/>
    <w:rsid w:val="00B43FBD"/>
    <w:rsid w:val="00BD32DD"/>
    <w:rsid w:val="00BD459B"/>
    <w:rsid w:val="00BD5FAD"/>
    <w:rsid w:val="00C12C45"/>
    <w:rsid w:val="00C27862"/>
    <w:rsid w:val="00C746F7"/>
    <w:rsid w:val="00CA6C27"/>
    <w:rsid w:val="00CB2DC1"/>
    <w:rsid w:val="00CE1367"/>
    <w:rsid w:val="00CE59A3"/>
    <w:rsid w:val="00D130F1"/>
    <w:rsid w:val="00D22048"/>
    <w:rsid w:val="00D35E97"/>
    <w:rsid w:val="00DD143E"/>
    <w:rsid w:val="00DD7E81"/>
    <w:rsid w:val="00E0225C"/>
    <w:rsid w:val="00E07142"/>
    <w:rsid w:val="00E2290A"/>
    <w:rsid w:val="00E468AC"/>
    <w:rsid w:val="00E96CAB"/>
    <w:rsid w:val="00ED7BBC"/>
    <w:rsid w:val="00FA715F"/>
    <w:rsid w:val="028F014E"/>
    <w:rsid w:val="058F6F9C"/>
    <w:rsid w:val="199155F1"/>
    <w:rsid w:val="19E971DB"/>
    <w:rsid w:val="1F764914"/>
    <w:rsid w:val="1FCD71AB"/>
    <w:rsid w:val="20B87907"/>
    <w:rsid w:val="271D6716"/>
    <w:rsid w:val="2BA51D2F"/>
    <w:rsid w:val="2E7E19FC"/>
    <w:rsid w:val="31592A40"/>
    <w:rsid w:val="3647730B"/>
    <w:rsid w:val="41665ED0"/>
    <w:rsid w:val="45321617"/>
    <w:rsid w:val="50C730CB"/>
    <w:rsid w:val="6115686E"/>
    <w:rsid w:val="6297324D"/>
    <w:rsid w:val="63A8682F"/>
    <w:rsid w:val="6C627CF4"/>
    <w:rsid w:val="750D0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annotation subject"/>
    <w:basedOn w:val="2"/>
    <w:next w:val="2"/>
    <w:link w:val="13"/>
    <w:semiHidden/>
    <w:unhideWhenUsed/>
    <w:qFormat/>
    <w:uiPriority w:val="99"/>
    <w:rPr>
      <w:b/>
      <w:bCs/>
    </w:rPr>
  </w:style>
  <w:style w:type="character" w:styleId="8">
    <w:name w:val="annotation reference"/>
    <w:basedOn w:val="7"/>
    <w:semiHidden/>
    <w:unhideWhenUsed/>
    <w:qFormat/>
    <w:uiPriority w:val="99"/>
    <w:rPr>
      <w:sz w:val="21"/>
      <w:szCs w:val="21"/>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styleId="11">
    <w:name w:val="List Paragraph"/>
    <w:basedOn w:val="1"/>
    <w:qFormat/>
    <w:uiPriority w:val="34"/>
    <w:pPr>
      <w:ind w:firstLine="420" w:firstLineChars="200"/>
    </w:pPr>
    <w:rPr>
      <w:rFonts w:ascii="Calibri" w:hAnsi="Calibri" w:eastAsia="宋体" w:cs="Times New Roman"/>
    </w:rPr>
  </w:style>
  <w:style w:type="character" w:customStyle="1" w:styleId="12">
    <w:name w:val="批注文字 字符"/>
    <w:basedOn w:val="7"/>
    <w:link w:val="2"/>
    <w:semiHidden/>
    <w:qFormat/>
    <w:uiPriority w:val="99"/>
  </w:style>
  <w:style w:type="character" w:customStyle="1" w:styleId="13">
    <w:name w:val="批注主题 字符"/>
    <w:basedOn w:val="12"/>
    <w:link w:val="5"/>
    <w:semiHidden/>
    <w:qFormat/>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1042</Words>
  <Characters>1073</Characters>
  <Lines>9</Lines>
  <Paragraphs>2</Paragraphs>
  <TotalTime>11</TotalTime>
  <ScaleCrop>false</ScaleCrop>
  <LinksUpToDate>false</LinksUpToDate>
  <CharactersWithSpaces>1074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2022-06-09T05:55:00Z</dcterms:created>
  <dc:creator>zzc</dc:creator>
  <cp:lastModifiedBy>Administrator</cp:lastModifiedBy>
  <cp:lastPrinted>2023-02-24T07:11:00Z</cp:lastPrinted>
  <dcterms:modified xsi:type="dcterms:W3CDTF">2025-04-21T09:31:48Z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7CA617BF79CE4364BFC40B05B5CD7B77_13</vt:lpwstr>
  </property>
  <property fmtid="{D5CDD505-2E9C-101B-9397-08002B2CF9AE}" pid="4" name="KSOTemplateDocerSaveRecord">
    <vt:lpwstr>eyJoZGlkIjoiN2NjNWZlOTc1NDAyN2Q3MzA1MGRkY2I4YWIxYzM3NzgifQ==</vt:lpwstr>
  </property>
</Properties>
</file>