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F3A5E7">
      <w:pPr>
        <w:spacing w:line="520" w:lineRule="exact"/>
        <w:jc w:val="center"/>
        <w:rPr>
          <w:rFonts w:hint="eastAsia"/>
          <w:b/>
          <w:sz w:val="30"/>
          <w:szCs w:val="30"/>
        </w:rPr>
      </w:pPr>
    </w:p>
    <w:p w14:paraId="6C3059B2">
      <w:pPr>
        <w:spacing w:line="520" w:lineRule="exact"/>
        <w:jc w:val="distribute"/>
        <w:rPr>
          <w:rFonts w:hint="eastAsia" w:ascii="华文中宋" w:hAnsi="华文中宋" w:eastAsia="华文中宋"/>
          <w:b/>
          <w:sz w:val="52"/>
          <w:szCs w:val="52"/>
        </w:rPr>
      </w:pPr>
      <w:r>
        <w:rPr>
          <w:rFonts w:hint="eastAsia" w:ascii="华文中宋" w:hAnsi="华文中宋" w:eastAsia="华文中宋"/>
          <w:b/>
          <w:sz w:val="52"/>
          <w:szCs w:val="52"/>
        </w:rPr>
        <w:t>江苏瑾诚工程项目管理有限公司</w:t>
      </w:r>
    </w:p>
    <w:p w14:paraId="15EDE625">
      <w:pPr>
        <w:spacing w:line="520" w:lineRule="exact"/>
        <w:jc w:val="center"/>
        <w:rPr>
          <w:rFonts w:hint="eastAsia"/>
          <w:b/>
          <w:sz w:val="30"/>
          <w:szCs w:val="30"/>
        </w:rPr>
      </w:pPr>
    </w:p>
    <w:tbl>
      <w:tblPr>
        <w:tblStyle w:val="8"/>
        <w:tblW w:w="9036" w:type="dxa"/>
        <w:tblInd w:w="0" w:type="dxa"/>
        <w:tblLayout w:type="fixed"/>
        <w:tblCellMar>
          <w:top w:w="0" w:type="dxa"/>
          <w:left w:w="108" w:type="dxa"/>
          <w:bottom w:w="0" w:type="dxa"/>
          <w:right w:w="108" w:type="dxa"/>
        </w:tblCellMar>
      </w:tblPr>
      <w:tblGrid>
        <w:gridCol w:w="9036"/>
      </w:tblGrid>
      <w:tr w14:paraId="1DF4BE82">
        <w:tblPrEx>
          <w:tblCellMar>
            <w:top w:w="0" w:type="dxa"/>
            <w:left w:w="108" w:type="dxa"/>
            <w:bottom w:w="0" w:type="dxa"/>
            <w:right w:w="108" w:type="dxa"/>
          </w:tblCellMar>
        </w:tblPrEx>
        <w:tc>
          <w:tcPr>
            <w:tcW w:w="9036" w:type="dxa"/>
          </w:tcPr>
          <w:p w14:paraId="62A2E33E">
            <w:pPr>
              <w:spacing w:line="520" w:lineRule="exact"/>
              <w:jc w:val="center"/>
              <w:rPr>
                <w:rFonts w:hint="eastAsia" w:ascii="仿宋_GB2312" w:eastAsia="仿宋"/>
                <w:sz w:val="32"/>
                <w:szCs w:val="32"/>
              </w:rPr>
            </w:pPr>
            <w:bookmarkStart w:id="0" w:name="_Hlk105676742"/>
            <w:r>
              <w:rPr>
                <w:rFonts w:hint="eastAsia" w:ascii="仿宋" w:hAnsi="仿宋" w:eastAsia="仿宋"/>
                <w:sz w:val="32"/>
                <w:szCs w:val="32"/>
              </w:rPr>
              <w:t>苏瑾造发〔2025〕SY011号</w:t>
            </w:r>
            <w:bookmarkEnd w:id="0"/>
          </w:p>
        </w:tc>
      </w:tr>
    </w:tbl>
    <w:p w14:paraId="513D33CD">
      <w:pPr>
        <w:spacing w:line="520" w:lineRule="exact"/>
        <w:jc w:val="center"/>
        <w:rPr>
          <w:rFonts w:hint="eastAsia"/>
          <w:sz w:val="24"/>
        </w:rPr>
      </w:pPr>
      <w:r>
        <w:rPr>
          <w:rFonts w:hint="eastAsia"/>
          <w:sz w:val="24"/>
        </w:rPr>
        <mc:AlternateContent>
          <mc:Choice Requires="wps">
            <w:drawing>
              <wp:anchor distT="0" distB="0" distL="114300" distR="114300" simplePos="0" relativeHeight="251659264" behindDoc="0" locked="0" layoutInCell="1" allowOverlap="1">
                <wp:simplePos x="0" y="0"/>
                <wp:positionH relativeFrom="column">
                  <wp:posOffset>-160020</wp:posOffset>
                </wp:positionH>
                <wp:positionV relativeFrom="paragraph">
                  <wp:posOffset>89535</wp:posOffset>
                </wp:positionV>
                <wp:extent cx="5586095" cy="0"/>
                <wp:effectExtent l="0" t="0" r="0" b="0"/>
                <wp:wrapNone/>
                <wp:docPr id="2" name="直线 27"/>
                <wp:cNvGraphicFramePr/>
                <a:graphic xmlns:a="http://schemas.openxmlformats.org/drawingml/2006/main">
                  <a:graphicData uri="http://schemas.microsoft.com/office/word/2010/wordprocessingShape">
                    <wps:wsp>
                      <wps:cNvCnPr>
                        <a:cxnSpLocks noChangeShapeType="1"/>
                      </wps:cNvCnPr>
                      <wps:spPr bwMode="auto">
                        <a:xfrm flipV="1">
                          <a:off x="0" y="0"/>
                          <a:ext cx="5586277" cy="0"/>
                        </a:xfrm>
                        <a:prstGeom prst="line">
                          <a:avLst/>
                        </a:prstGeom>
                        <a:noFill/>
                        <a:ln w="19050">
                          <a:solidFill>
                            <a:schemeClr val="tx1"/>
                          </a:solidFill>
                          <a:round/>
                        </a:ln>
                        <a:effectLst/>
                      </wps:spPr>
                      <wps:bodyPr/>
                    </wps:wsp>
                  </a:graphicData>
                </a:graphic>
              </wp:anchor>
            </w:drawing>
          </mc:Choice>
          <mc:Fallback>
            <w:pict>
              <v:line id="直线 27" o:spid="_x0000_s1026" o:spt="20" style="position:absolute;left:0pt;flip:y;margin-left:-12.6pt;margin-top:7.05pt;height:0pt;width:439.85pt;z-index:251659264;mso-width-relative:page;mso-height-relative:page;" filled="f" stroked="t" coordsize="21600,21600" o:gfxdata="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9lmVztUAAAAJAQAA&#10;DwAAAAAAAAABACAAAAAiAAAAZHJzL2Rvd25yZXYueG1sUEsBAhQAFAAAAAgAh07iQNssU3rjAQAA&#10;uwMAAA4AAAAAAAAAAQAgAAAAJAEAAGRycy9lMm9Eb2MueG1sUEsFBgAAAAAGAAYAWQEAAHkFAAAA&#10;AA==&#10;">
                <v:fill on="f" focussize="0,0"/>
                <v:stroke weight="1.5pt" color="#000000 [3213]" joinstyle="round"/>
                <v:imagedata o:title=""/>
                <o:lock v:ext="edit" aspectratio="f"/>
              </v:line>
            </w:pict>
          </mc:Fallback>
        </mc:AlternateContent>
      </w:r>
    </w:p>
    <w:p w14:paraId="33F9309E">
      <w:pPr>
        <w:pStyle w:val="3"/>
        <w:spacing w:line="520" w:lineRule="exact"/>
        <w:jc w:val="center"/>
        <w:rPr>
          <w:rFonts w:hint="eastAsia" w:hAnsi="宋体"/>
          <w:b/>
          <w:sz w:val="32"/>
          <w:szCs w:val="32"/>
          <w:lang w:val="en-US"/>
        </w:rPr>
      </w:pPr>
      <w:r>
        <w:rPr>
          <w:rFonts w:hint="eastAsia" w:hAnsi="宋体"/>
          <w:b/>
          <w:sz w:val="32"/>
          <w:szCs w:val="32"/>
        </w:rPr>
        <w:t>关于</w:t>
      </w:r>
      <w:bookmarkStart w:id="6" w:name="_GoBack"/>
      <w:bookmarkEnd w:id="6"/>
      <w:r>
        <w:rPr>
          <w:rFonts w:hint="eastAsia" w:hAnsi="宋体"/>
          <w:b/>
          <w:sz w:val="32"/>
          <w:szCs w:val="32"/>
          <w:lang w:val="en-US"/>
        </w:rPr>
        <w:t>瓜洲中学校安项目</w:t>
      </w:r>
      <w:r>
        <w:rPr>
          <w:rFonts w:hint="eastAsia" w:hAnsi="宋体"/>
          <w:b/>
          <w:sz w:val="32"/>
          <w:szCs w:val="32"/>
        </w:rPr>
        <w:t>最高投标限价审核（财审）的咨询成果报告书</w:t>
      </w:r>
    </w:p>
    <w:p w14:paraId="79CADB83">
      <w:pPr>
        <w:spacing w:line="520" w:lineRule="exact"/>
        <w:jc w:val="center"/>
        <w:rPr>
          <w:rFonts w:hint="eastAsia" w:ascii="宋体" w:hAnsi="宋体" w:eastAsia="宋体"/>
          <w:sz w:val="28"/>
          <w:szCs w:val="28"/>
        </w:rPr>
      </w:pPr>
    </w:p>
    <w:p w14:paraId="765420AE">
      <w:pPr>
        <w:spacing w:line="520" w:lineRule="exact"/>
        <w:rPr>
          <w:rFonts w:hint="eastAsia" w:ascii="宋体" w:hAnsi="宋体" w:eastAsia="宋体"/>
          <w:sz w:val="28"/>
          <w:szCs w:val="28"/>
        </w:rPr>
      </w:pPr>
      <w:r>
        <w:rPr>
          <w:rFonts w:hint="eastAsia" w:ascii="宋体" w:hAnsi="宋体" w:eastAsia="宋体"/>
          <w:sz w:val="28"/>
          <w:szCs w:val="28"/>
        </w:rPr>
        <w:t>扬州市邗江区财政局：</w:t>
      </w:r>
      <w:r>
        <w:rPr>
          <w:rFonts w:hint="eastAsia" w:ascii="宋体" w:hAnsi="宋体" w:eastAsia="宋体"/>
          <w:sz w:val="28"/>
          <w:szCs w:val="28"/>
        </w:rPr>
        <w:tab/>
      </w:r>
    </w:p>
    <w:p w14:paraId="1476A93A">
      <w:pPr>
        <w:spacing w:line="520" w:lineRule="exact"/>
        <w:ind w:firstLine="560" w:firstLineChars="200"/>
        <w:rPr>
          <w:rFonts w:hint="eastAsia" w:ascii="宋体" w:hAnsi="宋体" w:eastAsia="宋体"/>
          <w:sz w:val="28"/>
          <w:szCs w:val="28"/>
        </w:rPr>
      </w:pPr>
      <w:r>
        <w:rPr>
          <w:rFonts w:hint="eastAsia" w:ascii="宋体" w:hAnsi="宋体" w:eastAsia="宋体"/>
          <w:sz w:val="28"/>
          <w:szCs w:val="28"/>
        </w:rPr>
        <w:t>我公司接受贵单位委托，对扬州锦汇置业投资有限公司委托江苏恒泰建设工程咨询有限公司编制的瓜洲中学校安项目最高投标限价进行了审核。现将审核情况报告如下。</w:t>
      </w:r>
    </w:p>
    <w:p w14:paraId="2746CCD8">
      <w:pPr>
        <w:pStyle w:val="16"/>
        <w:numPr>
          <w:ilvl w:val="0"/>
          <w:numId w:val="1"/>
        </w:numPr>
        <w:spacing w:line="520" w:lineRule="exact"/>
        <w:ind w:firstLineChars="0"/>
        <w:jc w:val="left"/>
        <w:rPr>
          <w:rFonts w:hint="eastAsia" w:ascii="宋体" w:hAnsi="宋体"/>
          <w:b/>
          <w:sz w:val="28"/>
          <w:szCs w:val="28"/>
        </w:rPr>
      </w:pPr>
      <w:r>
        <w:rPr>
          <w:rFonts w:hint="eastAsia" w:ascii="宋体" w:hAnsi="宋体"/>
          <w:b/>
          <w:sz w:val="28"/>
          <w:szCs w:val="28"/>
        </w:rPr>
        <w:t>工程概况</w:t>
      </w:r>
    </w:p>
    <w:p w14:paraId="622D4BD7">
      <w:pPr>
        <w:pStyle w:val="16"/>
        <w:numPr>
          <w:ilvl w:val="3"/>
          <w:numId w:val="1"/>
        </w:numPr>
        <w:spacing w:line="520" w:lineRule="exact"/>
        <w:ind w:firstLineChars="0"/>
        <w:jc w:val="left"/>
        <w:rPr>
          <w:rFonts w:hint="eastAsia" w:ascii="宋体" w:hAnsi="宋体"/>
          <w:bCs/>
          <w:sz w:val="28"/>
          <w:szCs w:val="28"/>
        </w:rPr>
      </w:pPr>
      <w:r>
        <w:rPr>
          <w:rFonts w:hint="eastAsia" w:ascii="宋体" w:hAnsi="宋体"/>
          <w:bCs/>
          <w:sz w:val="28"/>
          <w:szCs w:val="28"/>
        </w:rPr>
        <w:t>项目名称：瓜洲中学校安项目。</w:t>
      </w:r>
    </w:p>
    <w:p w14:paraId="7EC35AFB">
      <w:pPr>
        <w:pStyle w:val="16"/>
        <w:numPr>
          <w:ilvl w:val="3"/>
          <w:numId w:val="1"/>
        </w:numPr>
        <w:spacing w:line="520" w:lineRule="exact"/>
        <w:ind w:firstLine="560"/>
        <w:jc w:val="left"/>
        <w:rPr>
          <w:rFonts w:hint="eastAsia" w:ascii="宋体" w:hAnsi="宋体"/>
          <w:bCs/>
          <w:sz w:val="28"/>
          <w:szCs w:val="28"/>
        </w:rPr>
      </w:pPr>
      <w:r>
        <w:rPr>
          <w:rFonts w:hint="eastAsia" w:ascii="宋体" w:hAnsi="宋体"/>
          <w:bCs/>
          <w:sz w:val="28"/>
          <w:szCs w:val="28"/>
        </w:rPr>
        <w:t>工程特征：本工程为瓜洲中学校安项目，建设单位为扬州锦汇置业投资有限公司，建设地点为扬州市邗江区瓜洲中学。本次招标范围为瓜洲中学本工程主要包含崇德楼、春晖楼、风华楼、求实楼、思禾楼（食堂）、连廊的外墙真石漆出新和报告厅及办公室出新等等。</w:t>
      </w:r>
    </w:p>
    <w:p w14:paraId="27865442">
      <w:pPr>
        <w:pStyle w:val="16"/>
        <w:numPr>
          <w:ilvl w:val="3"/>
          <w:numId w:val="1"/>
        </w:numPr>
        <w:spacing w:line="520" w:lineRule="exact"/>
        <w:ind w:firstLineChars="0"/>
        <w:jc w:val="left"/>
        <w:rPr>
          <w:rFonts w:hint="eastAsia" w:ascii="宋体" w:hAnsi="宋体"/>
          <w:bCs/>
          <w:sz w:val="28"/>
          <w:szCs w:val="28"/>
        </w:rPr>
      </w:pPr>
      <w:r>
        <w:rPr>
          <w:rFonts w:hint="eastAsia" w:ascii="宋体" w:hAnsi="宋体"/>
          <w:bCs/>
          <w:sz w:val="28"/>
          <w:szCs w:val="28"/>
        </w:rPr>
        <w:t>计划工期：详见招标文件。</w:t>
      </w:r>
    </w:p>
    <w:p w14:paraId="675B323A">
      <w:pPr>
        <w:pStyle w:val="16"/>
        <w:numPr>
          <w:ilvl w:val="0"/>
          <w:numId w:val="1"/>
        </w:numPr>
        <w:spacing w:line="520" w:lineRule="exact"/>
        <w:ind w:firstLineChars="0"/>
        <w:jc w:val="left"/>
        <w:rPr>
          <w:rFonts w:hint="eastAsia" w:ascii="宋体" w:hAnsi="宋体"/>
          <w:b/>
          <w:sz w:val="28"/>
          <w:szCs w:val="28"/>
        </w:rPr>
      </w:pPr>
      <w:bookmarkStart w:id="1" w:name="_Hlk104041832"/>
      <w:r>
        <w:rPr>
          <w:rFonts w:hint="eastAsia" w:ascii="宋体" w:hAnsi="宋体"/>
          <w:b/>
          <w:sz w:val="28"/>
          <w:szCs w:val="28"/>
        </w:rPr>
        <w:t>审核依据</w:t>
      </w:r>
    </w:p>
    <w:bookmarkEnd w:id="1"/>
    <w:p w14:paraId="30A2DB80">
      <w:pPr>
        <w:pStyle w:val="16"/>
        <w:numPr>
          <w:ilvl w:val="3"/>
          <w:numId w:val="1"/>
        </w:numPr>
        <w:spacing w:line="520" w:lineRule="exact"/>
        <w:ind w:firstLineChars="0"/>
        <w:jc w:val="left"/>
        <w:rPr>
          <w:rFonts w:hint="eastAsia" w:ascii="宋体" w:hAnsi="宋体"/>
          <w:bCs/>
          <w:sz w:val="28"/>
          <w:szCs w:val="28"/>
        </w:rPr>
      </w:pPr>
      <w:r>
        <w:rPr>
          <w:rFonts w:hint="eastAsia" w:ascii="宋体" w:hAnsi="宋体"/>
          <w:bCs/>
          <w:sz w:val="28"/>
          <w:szCs w:val="28"/>
        </w:rPr>
        <w:t>建设单位提供的有关编制要求。</w:t>
      </w:r>
    </w:p>
    <w:p w14:paraId="72CB7DB6">
      <w:pPr>
        <w:pStyle w:val="16"/>
        <w:numPr>
          <w:ilvl w:val="3"/>
          <w:numId w:val="1"/>
        </w:numPr>
        <w:spacing w:line="520" w:lineRule="exact"/>
        <w:ind w:firstLineChars="0"/>
        <w:jc w:val="left"/>
        <w:rPr>
          <w:rFonts w:hint="eastAsia" w:ascii="宋体" w:hAnsi="宋体"/>
          <w:bCs/>
          <w:sz w:val="28"/>
          <w:szCs w:val="28"/>
        </w:rPr>
      </w:pPr>
      <w:r>
        <w:rPr>
          <w:rFonts w:hint="eastAsia" w:ascii="宋体" w:hAnsi="宋体"/>
          <w:bCs/>
          <w:sz w:val="28"/>
          <w:szCs w:val="28"/>
        </w:rPr>
        <w:t>《建设工程工程量清单计价规范》（GB50500-2013）及其</w:t>
      </w:r>
      <w:r>
        <w:rPr>
          <w:rFonts w:ascii="宋体" w:hAnsi="宋体"/>
          <w:bCs/>
          <w:sz w:val="28"/>
          <w:szCs w:val="28"/>
        </w:rPr>
        <w:t>9本工程量计算规范</w:t>
      </w:r>
      <w:r>
        <w:rPr>
          <w:rFonts w:hint="eastAsia" w:ascii="宋体" w:hAnsi="宋体"/>
          <w:bCs/>
          <w:sz w:val="28"/>
          <w:szCs w:val="28"/>
        </w:rPr>
        <w:t>。</w:t>
      </w:r>
    </w:p>
    <w:p w14:paraId="03A2A283">
      <w:pPr>
        <w:pStyle w:val="16"/>
        <w:numPr>
          <w:ilvl w:val="3"/>
          <w:numId w:val="1"/>
        </w:numPr>
        <w:spacing w:line="520" w:lineRule="exact"/>
        <w:ind w:firstLineChars="0"/>
        <w:jc w:val="left"/>
        <w:rPr>
          <w:rFonts w:hint="eastAsia" w:ascii="宋体" w:hAnsi="宋体"/>
          <w:bCs/>
          <w:sz w:val="28"/>
          <w:szCs w:val="28"/>
        </w:rPr>
      </w:pPr>
      <w:r>
        <w:rPr>
          <w:rFonts w:hint="eastAsia" w:ascii="宋体" w:hAnsi="宋体"/>
          <w:bCs/>
          <w:sz w:val="28"/>
          <w:szCs w:val="28"/>
        </w:rPr>
        <w:t>2</w:t>
      </w:r>
      <w:r>
        <w:rPr>
          <w:rFonts w:ascii="宋体" w:hAnsi="宋体"/>
          <w:bCs/>
          <w:sz w:val="28"/>
          <w:szCs w:val="28"/>
        </w:rPr>
        <w:t>014</w:t>
      </w:r>
      <w:r>
        <w:rPr>
          <w:rFonts w:hint="eastAsia" w:ascii="宋体" w:hAnsi="宋体"/>
          <w:bCs/>
          <w:sz w:val="28"/>
          <w:szCs w:val="28"/>
        </w:rPr>
        <w:t>版《江苏省建筑与装饰工程计价定额》、《江苏省安装工程计价定额》、《江苏省市政工程计价定额》及其配套补充定额、定额解释，及现行的其他专业定额。</w:t>
      </w:r>
    </w:p>
    <w:p w14:paraId="11412494">
      <w:pPr>
        <w:pStyle w:val="16"/>
        <w:numPr>
          <w:ilvl w:val="3"/>
          <w:numId w:val="1"/>
        </w:numPr>
        <w:spacing w:line="520" w:lineRule="exact"/>
        <w:ind w:firstLineChars="0"/>
        <w:jc w:val="left"/>
        <w:rPr>
          <w:rFonts w:hint="eastAsia" w:ascii="宋体" w:hAnsi="宋体"/>
          <w:bCs/>
          <w:sz w:val="28"/>
          <w:szCs w:val="28"/>
        </w:rPr>
      </w:pPr>
      <w:r>
        <w:rPr>
          <w:rFonts w:hint="eastAsia" w:ascii="宋体" w:hAnsi="宋体"/>
          <w:bCs/>
          <w:sz w:val="28"/>
          <w:szCs w:val="28"/>
        </w:rPr>
        <w:t>2</w:t>
      </w:r>
      <w:r>
        <w:rPr>
          <w:rFonts w:ascii="宋体" w:hAnsi="宋体"/>
          <w:bCs/>
          <w:sz w:val="28"/>
          <w:szCs w:val="28"/>
        </w:rPr>
        <w:t>014</w:t>
      </w:r>
      <w:r>
        <w:rPr>
          <w:rFonts w:hint="eastAsia" w:ascii="宋体" w:hAnsi="宋体"/>
          <w:bCs/>
          <w:sz w:val="28"/>
          <w:szCs w:val="28"/>
        </w:rPr>
        <w:t>版《江苏省建设工程费用定额》及其营改增调整后的内容。</w:t>
      </w:r>
    </w:p>
    <w:p w14:paraId="0B2502F5">
      <w:pPr>
        <w:pStyle w:val="16"/>
        <w:numPr>
          <w:ilvl w:val="3"/>
          <w:numId w:val="1"/>
        </w:numPr>
        <w:spacing w:line="520" w:lineRule="exact"/>
        <w:ind w:firstLineChars="0"/>
        <w:jc w:val="left"/>
        <w:rPr>
          <w:rFonts w:hint="eastAsia" w:ascii="宋体" w:hAnsi="宋体"/>
          <w:bCs/>
          <w:sz w:val="28"/>
          <w:szCs w:val="28"/>
        </w:rPr>
      </w:pPr>
      <w:r>
        <w:rPr>
          <w:rFonts w:hint="eastAsia" w:ascii="宋体" w:hAnsi="宋体"/>
          <w:bCs/>
          <w:sz w:val="28"/>
          <w:szCs w:val="28"/>
        </w:rPr>
        <w:t>材料价格按《扬州工程造价管理》（2025年6月）中建材信息价计算，没有建材信息价的按市场询价计入最高投标限价。</w:t>
      </w:r>
    </w:p>
    <w:p w14:paraId="25EF2588">
      <w:pPr>
        <w:pStyle w:val="16"/>
        <w:numPr>
          <w:ilvl w:val="3"/>
          <w:numId w:val="1"/>
        </w:numPr>
        <w:spacing w:line="520" w:lineRule="exact"/>
        <w:ind w:firstLineChars="0"/>
        <w:jc w:val="left"/>
        <w:rPr>
          <w:rFonts w:hint="eastAsia" w:ascii="宋体" w:hAnsi="宋体"/>
          <w:bCs/>
          <w:sz w:val="28"/>
          <w:szCs w:val="28"/>
        </w:rPr>
      </w:pPr>
      <w:r>
        <w:rPr>
          <w:rFonts w:hint="eastAsia" w:ascii="宋体" w:hAnsi="宋体"/>
          <w:bCs/>
          <w:sz w:val="28"/>
          <w:szCs w:val="28"/>
        </w:rPr>
        <w:t>人工工资按苏建函价(2025)66号文件调整。</w:t>
      </w:r>
    </w:p>
    <w:p w14:paraId="627F928B">
      <w:pPr>
        <w:pStyle w:val="16"/>
        <w:numPr>
          <w:ilvl w:val="3"/>
          <w:numId w:val="1"/>
        </w:numPr>
        <w:spacing w:line="520" w:lineRule="exact"/>
        <w:ind w:firstLineChars="0"/>
        <w:jc w:val="left"/>
        <w:rPr>
          <w:rFonts w:hint="eastAsia" w:ascii="宋体" w:hAnsi="宋体"/>
          <w:bCs/>
          <w:sz w:val="28"/>
          <w:szCs w:val="28"/>
        </w:rPr>
      </w:pPr>
      <w:r>
        <w:rPr>
          <w:rFonts w:hint="eastAsia" w:ascii="宋体" w:hAnsi="宋体"/>
          <w:bCs/>
          <w:sz w:val="28"/>
          <w:szCs w:val="28"/>
        </w:rPr>
        <w:t>扬州市现行的不可竞争费用内容及标准。</w:t>
      </w:r>
    </w:p>
    <w:p w14:paraId="5325CAEB">
      <w:pPr>
        <w:pStyle w:val="16"/>
        <w:numPr>
          <w:ilvl w:val="3"/>
          <w:numId w:val="1"/>
        </w:numPr>
        <w:spacing w:line="520" w:lineRule="exact"/>
        <w:ind w:firstLineChars="0"/>
        <w:jc w:val="left"/>
        <w:rPr>
          <w:rFonts w:hint="eastAsia" w:ascii="宋体" w:hAnsi="宋体"/>
          <w:bCs/>
          <w:sz w:val="28"/>
          <w:szCs w:val="28"/>
        </w:rPr>
      </w:pPr>
      <w:r>
        <w:rPr>
          <w:rFonts w:hint="eastAsia" w:ascii="宋体" w:hAnsi="宋体"/>
          <w:bCs/>
          <w:sz w:val="28"/>
          <w:szCs w:val="28"/>
        </w:rPr>
        <w:t>扬州市安全生产、文明施工的相关规定。</w:t>
      </w:r>
    </w:p>
    <w:p w14:paraId="6BE66CD7">
      <w:pPr>
        <w:pStyle w:val="16"/>
        <w:numPr>
          <w:ilvl w:val="3"/>
          <w:numId w:val="1"/>
        </w:numPr>
        <w:spacing w:line="520" w:lineRule="exact"/>
        <w:ind w:firstLineChars="0"/>
        <w:jc w:val="left"/>
        <w:rPr>
          <w:rFonts w:hint="eastAsia" w:ascii="宋体" w:hAnsi="宋体"/>
          <w:bCs/>
          <w:sz w:val="28"/>
          <w:szCs w:val="28"/>
        </w:rPr>
      </w:pPr>
      <w:r>
        <w:rPr>
          <w:rFonts w:hint="eastAsia" w:ascii="宋体" w:hAnsi="宋体"/>
          <w:bCs/>
          <w:sz w:val="28"/>
          <w:szCs w:val="28"/>
        </w:rPr>
        <w:t>与本工程相关的现行设计、施工规范和标准图集、造价文件等。</w:t>
      </w:r>
    </w:p>
    <w:p w14:paraId="01EA5B49">
      <w:pPr>
        <w:pStyle w:val="16"/>
        <w:numPr>
          <w:ilvl w:val="0"/>
          <w:numId w:val="1"/>
        </w:numPr>
        <w:spacing w:line="520" w:lineRule="exact"/>
        <w:ind w:firstLineChars="0"/>
        <w:jc w:val="left"/>
        <w:rPr>
          <w:rFonts w:hint="eastAsia" w:ascii="宋体" w:hAnsi="宋体"/>
          <w:bCs/>
          <w:sz w:val="28"/>
          <w:szCs w:val="28"/>
        </w:rPr>
      </w:pPr>
      <w:r>
        <w:rPr>
          <w:rFonts w:hint="eastAsia" w:ascii="宋体" w:hAnsi="宋体"/>
          <w:b/>
          <w:sz w:val="28"/>
          <w:szCs w:val="28"/>
        </w:rPr>
        <w:t>审核责任</w:t>
      </w:r>
    </w:p>
    <w:p w14:paraId="16BCB7A5">
      <w:pPr>
        <w:pStyle w:val="16"/>
        <w:numPr>
          <w:ilvl w:val="1"/>
          <w:numId w:val="1"/>
        </w:numPr>
        <w:spacing w:line="520" w:lineRule="exact"/>
        <w:ind w:firstLineChars="0"/>
        <w:rPr>
          <w:rFonts w:hint="eastAsia" w:ascii="宋体" w:hAnsi="宋体"/>
          <w:sz w:val="28"/>
          <w:szCs w:val="28"/>
        </w:rPr>
      </w:pPr>
      <w:r>
        <w:rPr>
          <w:rFonts w:hint="eastAsia" w:ascii="宋体" w:hAnsi="宋体"/>
          <w:sz w:val="28"/>
          <w:szCs w:val="28"/>
        </w:rPr>
        <w:t>委托方：对提供资料的真实性、合法性、完整性负责。</w:t>
      </w:r>
    </w:p>
    <w:p w14:paraId="60DDEA4B">
      <w:pPr>
        <w:pStyle w:val="16"/>
        <w:numPr>
          <w:ilvl w:val="1"/>
          <w:numId w:val="1"/>
        </w:numPr>
        <w:spacing w:line="520" w:lineRule="exact"/>
        <w:ind w:firstLineChars="0"/>
        <w:rPr>
          <w:rFonts w:hint="eastAsia" w:ascii="宋体" w:hAnsi="宋体"/>
          <w:sz w:val="28"/>
          <w:szCs w:val="28"/>
        </w:rPr>
      </w:pPr>
      <w:r>
        <w:rPr>
          <w:rFonts w:hint="eastAsia" w:ascii="宋体" w:hAnsi="宋体"/>
          <w:sz w:val="28"/>
          <w:szCs w:val="28"/>
        </w:rPr>
        <w:t>受托方：对本报告的真实性、合法性负责。</w:t>
      </w:r>
    </w:p>
    <w:p w14:paraId="3C721650">
      <w:pPr>
        <w:pStyle w:val="16"/>
        <w:numPr>
          <w:ilvl w:val="0"/>
          <w:numId w:val="1"/>
        </w:numPr>
        <w:spacing w:line="520" w:lineRule="exact"/>
        <w:ind w:firstLineChars="0"/>
        <w:jc w:val="left"/>
        <w:rPr>
          <w:rFonts w:hint="eastAsia" w:ascii="宋体" w:hAnsi="宋体"/>
          <w:b/>
          <w:sz w:val="28"/>
          <w:szCs w:val="28"/>
        </w:rPr>
      </w:pPr>
      <w:bookmarkStart w:id="2" w:name="_Hlk105684419"/>
      <w:bookmarkStart w:id="3" w:name="_Hlk104039528"/>
      <w:r>
        <w:rPr>
          <w:rFonts w:hint="eastAsia" w:ascii="宋体" w:hAnsi="宋体"/>
          <w:b/>
          <w:sz w:val="28"/>
          <w:szCs w:val="28"/>
        </w:rPr>
        <w:t>审核说明</w:t>
      </w:r>
    </w:p>
    <w:p w14:paraId="7FCED772">
      <w:pPr>
        <w:pStyle w:val="16"/>
        <w:numPr>
          <w:ilvl w:val="1"/>
          <w:numId w:val="1"/>
        </w:numPr>
        <w:spacing w:line="520" w:lineRule="exact"/>
        <w:ind w:firstLineChars="0"/>
        <w:jc w:val="left"/>
        <w:rPr>
          <w:rFonts w:hint="eastAsia" w:ascii="宋体" w:hAnsi="宋体"/>
          <w:bCs/>
          <w:sz w:val="28"/>
          <w:szCs w:val="28"/>
        </w:rPr>
      </w:pPr>
      <w:r>
        <w:rPr>
          <w:rFonts w:hint="eastAsia" w:ascii="宋体" w:hAnsi="宋体"/>
          <w:bCs/>
          <w:sz w:val="28"/>
          <w:szCs w:val="28"/>
        </w:rPr>
        <w:t>审核说明</w:t>
      </w:r>
    </w:p>
    <w:p w14:paraId="3D2C2F31">
      <w:pPr>
        <w:pStyle w:val="16"/>
        <w:numPr>
          <w:ilvl w:val="3"/>
          <w:numId w:val="1"/>
        </w:numPr>
        <w:spacing w:line="520" w:lineRule="exact"/>
        <w:ind w:firstLineChars="0"/>
        <w:jc w:val="left"/>
        <w:rPr>
          <w:rFonts w:hint="eastAsia" w:ascii="宋体" w:hAnsi="宋体"/>
          <w:bCs/>
          <w:sz w:val="28"/>
          <w:szCs w:val="28"/>
        </w:rPr>
      </w:pPr>
      <w:r>
        <w:rPr>
          <w:rFonts w:hint="eastAsia" w:ascii="宋体" w:hAnsi="宋体"/>
          <w:bCs/>
          <w:sz w:val="28"/>
          <w:szCs w:val="28"/>
        </w:rPr>
        <w:t>本工程取费专业为修缮土建工程，部分定额子目套用错误，改为修缮定额，其中报告厅及办公室维修单位工程中，竹木地板找平层定额应套用7-11，此处调增约为0.04万元。</w:t>
      </w:r>
    </w:p>
    <w:p w14:paraId="4BA40D11">
      <w:pPr>
        <w:pStyle w:val="16"/>
        <w:numPr>
          <w:ilvl w:val="3"/>
          <w:numId w:val="1"/>
        </w:numPr>
        <w:spacing w:line="520" w:lineRule="exact"/>
        <w:ind w:firstLineChars="0"/>
        <w:jc w:val="left"/>
        <w:rPr>
          <w:rFonts w:hint="eastAsia" w:ascii="宋体" w:hAnsi="宋体"/>
          <w:bCs/>
          <w:sz w:val="28"/>
          <w:szCs w:val="28"/>
        </w:rPr>
      </w:pPr>
      <w:r>
        <w:rPr>
          <w:rFonts w:hint="eastAsia" w:ascii="宋体" w:hAnsi="宋体"/>
          <w:bCs/>
          <w:sz w:val="28"/>
          <w:szCs w:val="28"/>
        </w:rPr>
        <w:t>墙面抹灰清单特征为1:3聚合物防水砂浆，按清单特征调整，此处调整增加费用约为1.2万元；</w:t>
      </w:r>
    </w:p>
    <w:p w14:paraId="56B1DEBD">
      <w:pPr>
        <w:pStyle w:val="16"/>
        <w:numPr>
          <w:ilvl w:val="3"/>
          <w:numId w:val="1"/>
        </w:numPr>
        <w:spacing w:line="520" w:lineRule="exact"/>
        <w:ind w:firstLineChars="0"/>
        <w:jc w:val="left"/>
        <w:rPr>
          <w:rFonts w:hint="eastAsia" w:ascii="宋体" w:hAnsi="宋体"/>
          <w:bCs/>
          <w:sz w:val="28"/>
          <w:szCs w:val="28"/>
        </w:rPr>
      </w:pPr>
      <w:r>
        <w:rPr>
          <w:rFonts w:hint="eastAsia" w:ascii="宋体" w:hAnsi="宋体"/>
          <w:bCs/>
          <w:sz w:val="28"/>
          <w:szCs w:val="28"/>
        </w:rPr>
        <w:t>根据市场询价调减塑料保温螺钉单价，此处调减费用约为2.92万元；</w:t>
      </w:r>
    </w:p>
    <w:p w14:paraId="2A138302">
      <w:pPr>
        <w:pStyle w:val="16"/>
        <w:numPr>
          <w:ilvl w:val="3"/>
          <w:numId w:val="1"/>
        </w:numPr>
        <w:spacing w:line="520" w:lineRule="exact"/>
        <w:ind w:firstLineChars="0"/>
        <w:jc w:val="left"/>
        <w:rPr>
          <w:rFonts w:hint="eastAsia" w:ascii="宋体" w:hAnsi="宋体"/>
          <w:bCs/>
          <w:sz w:val="28"/>
          <w:szCs w:val="28"/>
        </w:rPr>
      </w:pPr>
      <w:r>
        <w:rPr>
          <w:rFonts w:hint="eastAsia" w:ascii="宋体" w:hAnsi="宋体"/>
          <w:bCs/>
          <w:sz w:val="28"/>
          <w:szCs w:val="28"/>
        </w:rPr>
        <w:t>现场风华楼外立面无瓷砖，调整风华楼外立面拆除定额，此处调减金额约为2.7万元。</w:t>
      </w:r>
    </w:p>
    <w:p w14:paraId="3CC6080E">
      <w:pPr>
        <w:pStyle w:val="16"/>
        <w:numPr>
          <w:ilvl w:val="0"/>
          <w:numId w:val="1"/>
        </w:numPr>
        <w:spacing w:line="520" w:lineRule="exact"/>
        <w:ind w:firstLineChars="0"/>
        <w:jc w:val="left"/>
        <w:rPr>
          <w:rFonts w:hint="eastAsia" w:ascii="宋体" w:hAnsi="宋体"/>
          <w:b/>
          <w:sz w:val="28"/>
          <w:szCs w:val="28"/>
        </w:rPr>
      </w:pPr>
      <w:r>
        <w:rPr>
          <w:rFonts w:hint="eastAsia" w:ascii="宋体" w:hAnsi="宋体"/>
          <w:b/>
          <w:sz w:val="28"/>
          <w:szCs w:val="28"/>
        </w:rPr>
        <w:t>审核后的编制说明</w:t>
      </w:r>
      <w:bookmarkEnd w:id="2"/>
      <w:bookmarkEnd w:id="3"/>
    </w:p>
    <w:p w14:paraId="142FE4BE">
      <w:pPr>
        <w:pStyle w:val="16"/>
        <w:numPr>
          <w:ilvl w:val="1"/>
          <w:numId w:val="1"/>
        </w:numPr>
        <w:spacing w:line="520" w:lineRule="exact"/>
        <w:ind w:firstLineChars="0"/>
        <w:jc w:val="left"/>
        <w:rPr>
          <w:rFonts w:hint="eastAsia" w:ascii="宋体" w:hAnsi="宋体"/>
          <w:bCs/>
          <w:sz w:val="28"/>
          <w:szCs w:val="28"/>
        </w:rPr>
      </w:pPr>
      <w:bookmarkStart w:id="4" w:name="_Hlk105687758"/>
      <w:r>
        <w:rPr>
          <w:rFonts w:hint="eastAsia" w:ascii="宋体" w:hAnsi="宋体"/>
          <w:bCs/>
          <w:sz w:val="28"/>
          <w:szCs w:val="28"/>
        </w:rPr>
        <w:t>一般说明</w:t>
      </w:r>
    </w:p>
    <w:p w14:paraId="0C6716D5">
      <w:pPr>
        <w:pStyle w:val="16"/>
        <w:numPr>
          <w:ilvl w:val="3"/>
          <w:numId w:val="1"/>
        </w:numPr>
        <w:spacing w:line="520" w:lineRule="exact"/>
        <w:ind w:firstLineChars="0"/>
        <w:jc w:val="left"/>
        <w:rPr>
          <w:rFonts w:hint="eastAsia" w:ascii="宋体" w:hAnsi="宋体"/>
          <w:bCs/>
          <w:sz w:val="28"/>
          <w:szCs w:val="28"/>
        </w:rPr>
      </w:pPr>
      <w:r>
        <w:rPr>
          <w:rFonts w:hint="eastAsia" w:ascii="宋体" w:hAnsi="宋体"/>
          <w:bCs/>
          <w:sz w:val="28"/>
          <w:szCs w:val="28"/>
        </w:rPr>
        <w:t>施工现场情况：以现场踏勘情况为准。</w:t>
      </w:r>
    </w:p>
    <w:p w14:paraId="69E399A1">
      <w:pPr>
        <w:pStyle w:val="16"/>
        <w:numPr>
          <w:ilvl w:val="3"/>
          <w:numId w:val="1"/>
        </w:numPr>
        <w:spacing w:line="520" w:lineRule="exact"/>
        <w:ind w:firstLineChars="0"/>
        <w:jc w:val="left"/>
        <w:rPr>
          <w:rFonts w:hint="eastAsia" w:ascii="宋体" w:hAnsi="宋体"/>
          <w:bCs/>
          <w:sz w:val="28"/>
          <w:szCs w:val="28"/>
        </w:rPr>
      </w:pPr>
      <w:r>
        <w:rPr>
          <w:rFonts w:hint="eastAsia" w:ascii="宋体" w:hAnsi="宋体"/>
          <w:bCs/>
          <w:sz w:val="28"/>
          <w:szCs w:val="28"/>
        </w:rPr>
        <w:t>交通运输情况：以现场踏勘情况为准。</w:t>
      </w:r>
    </w:p>
    <w:p w14:paraId="5B89B4CA">
      <w:pPr>
        <w:pStyle w:val="16"/>
        <w:numPr>
          <w:ilvl w:val="3"/>
          <w:numId w:val="1"/>
        </w:numPr>
        <w:spacing w:line="520" w:lineRule="exact"/>
        <w:ind w:firstLineChars="0"/>
        <w:jc w:val="left"/>
        <w:rPr>
          <w:rFonts w:hint="eastAsia" w:ascii="宋体" w:hAnsi="宋体"/>
          <w:bCs/>
          <w:sz w:val="28"/>
          <w:szCs w:val="28"/>
        </w:rPr>
      </w:pPr>
      <w:r>
        <w:rPr>
          <w:rFonts w:hint="eastAsia" w:ascii="宋体" w:hAnsi="宋体"/>
          <w:bCs/>
          <w:sz w:val="28"/>
          <w:szCs w:val="28"/>
        </w:rPr>
        <w:t>环境保护要求：满足省、市及当地政府对环境保护的相关要求和规定。</w:t>
      </w:r>
    </w:p>
    <w:p w14:paraId="4CE99A86">
      <w:pPr>
        <w:pStyle w:val="16"/>
        <w:numPr>
          <w:ilvl w:val="3"/>
          <w:numId w:val="1"/>
        </w:numPr>
        <w:spacing w:line="520" w:lineRule="exact"/>
        <w:ind w:firstLineChars="0"/>
        <w:jc w:val="left"/>
        <w:rPr>
          <w:rFonts w:hint="eastAsia" w:ascii="宋体" w:hAnsi="宋体"/>
          <w:bCs/>
          <w:sz w:val="28"/>
          <w:szCs w:val="28"/>
        </w:rPr>
      </w:pPr>
      <w:r>
        <w:rPr>
          <w:rFonts w:hint="eastAsia" w:ascii="宋体" w:hAnsi="宋体"/>
          <w:bCs/>
          <w:sz w:val="28"/>
          <w:szCs w:val="28"/>
        </w:rPr>
        <w:t>本工程投标报价按《建设工程工程量清单计价规范》和相应计算规范的规定及要求，使用表格及格式按《建设工程工程量清单计价规范》要求执行。</w:t>
      </w:r>
    </w:p>
    <w:p w14:paraId="38D9EB29">
      <w:pPr>
        <w:pStyle w:val="16"/>
        <w:numPr>
          <w:ilvl w:val="3"/>
          <w:numId w:val="1"/>
        </w:numPr>
        <w:spacing w:line="520" w:lineRule="exact"/>
        <w:ind w:firstLineChars="0"/>
        <w:jc w:val="left"/>
        <w:rPr>
          <w:rFonts w:hint="eastAsia" w:ascii="宋体" w:hAnsi="宋体"/>
          <w:bCs/>
          <w:sz w:val="28"/>
          <w:szCs w:val="28"/>
        </w:rPr>
      </w:pPr>
      <w:r>
        <w:rPr>
          <w:rFonts w:hint="eastAsia" w:ascii="宋体" w:hAnsi="宋体"/>
          <w:bCs/>
          <w:sz w:val="28"/>
          <w:szCs w:val="28"/>
        </w:rPr>
        <w:t>工程量清单中的每一个项目，都需填入综合单价及合价。</w:t>
      </w:r>
    </w:p>
    <w:p w14:paraId="1B1F4DA0">
      <w:pPr>
        <w:pStyle w:val="16"/>
        <w:numPr>
          <w:ilvl w:val="3"/>
          <w:numId w:val="1"/>
        </w:numPr>
        <w:spacing w:line="520" w:lineRule="exact"/>
        <w:ind w:firstLineChars="0"/>
        <w:jc w:val="left"/>
        <w:rPr>
          <w:rFonts w:hint="eastAsia" w:ascii="宋体" w:hAnsi="宋体"/>
          <w:bCs/>
          <w:sz w:val="28"/>
          <w:szCs w:val="28"/>
        </w:rPr>
      </w:pPr>
      <w:r>
        <w:rPr>
          <w:rFonts w:hint="eastAsia" w:ascii="宋体" w:hAnsi="宋体"/>
          <w:bCs/>
          <w:sz w:val="28"/>
          <w:szCs w:val="28"/>
        </w:rPr>
        <w:t>本工程量清单中的分部分项工程量及措施项目工程量均是根据本工程施工图、按照“工程量计算规范”或本项目清单总说明中的规定进行计算的，仅作为施工企业投标报价的共同基础，不能作为最终结算与支付价款的依据。</w:t>
      </w:r>
    </w:p>
    <w:p w14:paraId="1AF1C2C7">
      <w:pPr>
        <w:pStyle w:val="16"/>
        <w:numPr>
          <w:ilvl w:val="3"/>
          <w:numId w:val="1"/>
        </w:numPr>
        <w:spacing w:line="520" w:lineRule="exact"/>
        <w:ind w:firstLineChars="0"/>
        <w:jc w:val="left"/>
        <w:rPr>
          <w:rFonts w:hint="eastAsia" w:ascii="宋体" w:hAnsi="宋体"/>
          <w:bCs/>
          <w:sz w:val="28"/>
          <w:szCs w:val="28"/>
        </w:rPr>
      </w:pPr>
      <w:r>
        <w:rPr>
          <w:rFonts w:hint="eastAsia" w:ascii="宋体" w:hAnsi="宋体"/>
          <w:bCs/>
          <w:sz w:val="28"/>
          <w:szCs w:val="28"/>
        </w:rPr>
        <w:t>工程量清单及其计价格式中的任何内容不得随意删除或涂改，若有错误，在招标答疑时及时提出，以“补遗”资料为准。</w:t>
      </w:r>
    </w:p>
    <w:p w14:paraId="47CA02FE">
      <w:pPr>
        <w:pStyle w:val="16"/>
        <w:numPr>
          <w:ilvl w:val="3"/>
          <w:numId w:val="1"/>
        </w:numPr>
        <w:spacing w:line="520" w:lineRule="exact"/>
        <w:ind w:firstLineChars="0"/>
        <w:jc w:val="left"/>
        <w:rPr>
          <w:rFonts w:hint="eastAsia" w:ascii="宋体" w:hAnsi="宋体"/>
          <w:bCs/>
          <w:sz w:val="28"/>
          <w:szCs w:val="28"/>
        </w:rPr>
      </w:pPr>
      <w:r>
        <w:rPr>
          <w:rFonts w:hint="eastAsia" w:ascii="宋体" w:hAnsi="宋体"/>
          <w:bCs/>
          <w:sz w:val="28"/>
          <w:szCs w:val="28"/>
        </w:rPr>
        <w:t>分部分项工程量清单中对工程项目的项目特征及具体做法制作重点描述，详细情况见施工图设计、技术说明及相关标准图集。组价时应结合投标人现场勘查情况包括完成所有工序工作内容的全部费用。</w:t>
      </w:r>
    </w:p>
    <w:p w14:paraId="2BE194AE">
      <w:pPr>
        <w:pStyle w:val="16"/>
        <w:numPr>
          <w:ilvl w:val="3"/>
          <w:numId w:val="1"/>
        </w:numPr>
        <w:spacing w:line="520" w:lineRule="exact"/>
        <w:ind w:firstLineChars="0"/>
        <w:jc w:val="left"/>
        <w:rPr>
          <w:rFonts w:hint="eastAsia" w:ascii="宋体" w:hAnsi="宋体"/>
          <w:bCs/>
          <w:sz w:val="28"/>
          <w:szCs w:val="28"/>
        </w:rPr>
      </w:pPr>
      <w:r>
        <w:rPr>
          <w:rFonts w:hint="eastAsia" w:ascii="宋体" w:hAnsi="宋体"/>
          <w:bCs/>
          <w:sz w:val="28"/>
          <w:szCs w:val="28"/>
        </w:rPr>
        <w:t>清单项目特征中备注“清单量同定额量”的，是指清单工程量按《江苏省建筑与装饰工程计价定额》（2014年）中相应计算规则计算。</w:t>
      </w:r>
    </w:p>
    <w:p w14:paraId="081198DA">
      <w:pPr>
        <w:pStyle w:val="16"/>
        <w:numPr>
          <w:ilvl w:val="3"/>
          <w:numId w:val="1"/>
        </w:numPr>
        <w:spacing w:line="520" w:lineRule="exact"/>
        <w:ind w:firstLineChars="0"/>
        <w:jc w:val="left"/>
        <w:rPr>
          <w:rFonts w:hint="eastAsia" w:ascii="宋体" w:hAnsi="宋体"/>
          <w:bCs/>
          <w:sz w:val="28"/>
          <w:szCs w:val="28"/>
        </w:rPr>
      </w:pPr>
      <w:r>
        <w:rPr>
          <w:rFonts w:hint="eastAsia" w:ascii="宋体" w:hAnsi="宋体"/>
          <w:bCs/>
          <w:sz w:val="28"/>
          <w:szCs w:val="28"/>
        </w:rPr>
        <w:t>投标人可根据工程实际与施工组织设计进行增补措施项目，但不得更改本清单中已列措施项目。结算时，除工程变更引起施工方案改变外，承包人不得以招标工程措施项目清单缺项为由要求新增措施项目。</w:t>
      </w:r>
    </w:p>
    <w:p w14:paraId="26219B2B">
      <w:pPr>
        <w:pStyle w:val="16"/>
        <w:numPr>
          <w:ilvl w:val="3"/>
          <w:numId w:val="1"/>
        </w:numPr>
        <w:spacing w:line="520" w:lineRule="exact"/>
        <w:ind w:firstLineChars="0"/>
        <w:jc w:val="left"/>
        <w:rPr>
          <w:rFonts w:hint="eastAsia" w:ascii="宋体" w:hAnsi="宋体"/>
          <w:bCs/>
          <w:sz w:val="28"/>
          <w:szCs w:val="28"/>
        </w:rPr>
      </w:pPr>
      <w:r>
        <w:rPr>
          <w:rFonts w:hint="eastAsia" w:ascii="宋体" w:hAnsi="宋体"/>
          <w:bCs/>
          <w:sz w:val="28"/>
          <w:szCs w:val="28"/>
        </w:rPr>
        <w:t>本说明中对设计内容进行的调整、补充和暂考虑的做法等仅为工程量清单和最高投标限价编制时暂定的内容，不构成设计变更。</w:t>
      </w:r>
    </w:p>
    <w:p w14:paraId="724A8E65">
      <w:pPr>
        <w:pStyle w:val="16"/>
        <w:numPr>
          <w:ilvl w:val="1"/>
          <w:numId w:val="1"/>
        </w:numPr>
        <w:spacing w:line="520" w:lineRule="exact"/>
        <w:ind w:firstLineChars="0"/>
        <w:jc w:val="left"/>
        <w:rPr>
          <w:rFonts w:hint="eastAsia" w:ascii="宋体" w:hAnsi="宋体"/>
          <w:bCs/>
          <w:sz w:val="28"/>
          <w:szCs w:val="28"/>
        </w:rPr>
      </w:pPr>
      <w:r>
        <w:rPr>
          <w:rFonts w:hint="eastAsia" w:ascii="宋体" w:hAnsi="宋体"/>
          <w:bCs/>
          <w:sz w:val="28"/>
          <w:szCs w:val="28"/>
        </w:rPr>
        <w:t>分部分项说明</w:t>
      </w:r>
    </w:p>
    <w:p w14:paraId="3145A75D">
      <w:pPr>
        <w:pStyle w:val="16"/>
        <w:numPr>
          <w:ilvl w:val="3"/>
          <w:numId w:val="1"/>
        </w:numPr>
        <w:spacing w:line="520" w:lineRule="exact"/>
        <w:ind w:firstLineChars="0"/>
        <w:jc w:val="left"/>
        <w:rPr>
          <w:rFonts w:hint="eastAsia" w:ascii="宋体" w:hAnsi="宋体"/>
          <w:sz w:val="28"/>
          <w:szCs w:val="28"/>
        </w:rPr>
      </w:pPr>
      <w:r>
        <w:rPr>
          <w:rFonts w:hint="eastAsia" w:ascii="宋体" w:hAnsi="宋体"/>
          <w:sz w:val="28"/>
          <w:szCs w:val="28"/>
        </w:rPr>
        <w:t>本项目按照图纸要求编制。</w:t>
      </w:r>
    </w:p>
    <w:p w14:paraId="1E94DF22">
      <w:pPr>
        <w:pStyle w:val="16"/>
        <w:numPr>
          <w:ilvl w:val="1"/>
          <w:numId w:val="1"/>
        </w:numPr>
        <w:spacing w:line="520" w:lineRule="exact"/>
        <w:ind w:firstLineChars="0"/>
        <w:jc w:val="left"/>
        <w:rPr>
          <w:rFonts w:hint="eastAsia" w:ascii="宋体" w:hAnsi="宋体"/>
          <w:bCs/>
          <w:sz w:val="28"/>
          <w:szCs w:val="28"/>
        </w:rPr>
      </w:pPr>
      <w:r>
        <w:rPr>
          <w:rFonts w:hint="eastAsia" w:ascii="宋体" w:hAnsi="宋体"/>
          <w:bCs/>
          <w:sz w:val="28"/>
          <w:szCs w:val="28"/>
        </w:rPr>
        <w:t>措施项目说明</w:t>
      </w:r>
    </w:p>
    <w:p w14:paraId="5040DA84">
      <w:pPr>
        <w:pStyle w:val="16"/>
        <w:numPr>
          <w:ilvl w:val="2"/>
          <w:numId w:val="1"/>
        </w:numPr>
        <w:spacing w:line="520" w:lineRule="exact"/>
        <w:ind w:firstLineChars="0"/>
        <w:jc w:val="left"/>
        <w:rPr>
          <w:rFonts w:hint="eastAsia" w:ascii="宋体" w:hAnsi="宋体"/>
          <w:bCs/>
          <w:sz w:val="28"/>
          <w:szCs w:val="28"/>
        </w:rPr>
      </w:pPr>
      <w:r>
        <w:rPr>
          <w:rFonts w:hint="eastAsia" w:ascii="宋体" w:hAnsi="宋体"/>
          <w:bCs/>
          <w:sz w:val="28"/>
          <w:szCs w:val="28"/>
        </w:rPr>
        <w:t>总价措施费</w:t>
      </w:r>
    </w:p>
    <w:p w14:paraId="630BD883">
      <w:pPr>
        <w:pStyle w:val="16"/>
        <w:numPr>
          <w:ilvl w:val="3"/>
          <w:numId w:val="1"/>
        </w:numPr>
        <w:spacing w:line="520" w:lineRule="exact"/>
        <w:ind w:firstLineChars="0"/>
        <w:jc w:val="left"/>
        <w:rPr>
          <w:rFonts w:hint="eastAsia" w:ascii="宋体" w:hAnsi="宋体"/>
          <w:bCs/>
          <w:sz w:val="28"/>
          <w:szCs w:val="28"/>
        </w:rPr>
      </w:pPr>
      <w:r>
        <w:rPr>
          <w:rFonts w:hint="eastAsia" w:ascii="宋体" w:hAnsi="宋体"/>
          <w:bCs/>
          <w:sz w:val="28"/>
          <w:szCs w:val="28"/>
        </w:rPr>
        <w:t>总价措施费中的安全文明施工费，必须按招标清单中列明的费率进行报价；其他总价措施费由投标人自行考虑，以费率报价。本项目无创建优质工程要求。</w:t>
      </w:r>
    </w:p>
    <w:p w14:paraId="587DFC45">
      <w:pPr>
        <w:pStyle w:val="16"/>
        <w:numPr>
          <w:ilvl w:val="3"/>
          <w:numId w:val="1"/>
        </w:numPr>
        <w:spacing w:line="520" w:lineRule="exact"/>
        <w:ind w:firstLineChars="0"/>
        <w:jc w:val="left"/>
        <w:rPr>
          <w:rFonts w:hint="eastAsia" w:ascii="宋体" w:hAnsi="宋体"/>
          <w:bCs/>
          <w:sz w:val="28"/>
          <w:szCs w:val="28"/>
        </w:rPr>
      </w:pPr>
      <w:r>
        <w:rPr>
          <w:rFonts w:hint="eastAsia" w:ascii="宋体" w:hAnsi="宋体"/>
          <w:bCs/>
          <w:sz w:val="28"/>
          <w:szCs w:val="28"/>
        </w:rPr>
        <w:t>安全文明施工费：按《江苏省建设工程费用定额》（2014年）营改增调整后规定的费率计算，</w:t>
      </w:r>
      <w:bookmarkStart w:id="5" w:name="_Hlk192769617"/>
      <w:r>
        <w:rPr>
          <w:rFonts w:hint="eastAsia" w:ascii="宋体" w:hAnsi="宋体"/>
          <w:bCs/>
          <w:sz w:val="28"/>
          <w:szCs w:val="28"/>
        </w:rPr>
        <w:t>其中增加费不计算</w:t>
      </w:r>
      <w:bookmarkEnd w:id="5"/>
      <w:r>
        <w:rPr>
          <w:rFonts w:hint="eastAsia" w:ascii="宋体" w:hAnsi="宋体"/>
          <w:bCs/>
          <w:sz w:val="28"/>
          <w:szCs w:val="28"/>
        </w:rPr>
        <w:t>。安全文明施工费结算时按造价管理部门核定的费率调整，未经核定，不得计算。</w:t>
      </w:r>
    </w:p>
    <w:p w14:paraId="7443C55F">
      <w:pPr>
        <w:pStyle w:val="16"/>
        <w:numPr>
          <w:ilvl w:val="3"/>
          <w:numId w:val="1"/>
        </w:numPr>
        <w:spacing w:line="520" w:lineRule="exact"/>
        <w:ind w:firstLineChars="0"/>
        <w:jc w:val="left"/>
        <w:rPr>
          <w:rFonts w:hint="eastAsia" w:ascii="宋体" w:hAnsi="宋体"/>
          <w:bCs/>
          <w:sz w:val="28"/>
          <w:szCs w:val="28"/>
        </w:rPr>
      </w:pPr>
      <w:r>
        <w:rPr>
          <w:rFonts w:hint="eastAsia" w:ascii="宋体" w:hAnsi="宋体"/>
          <w:bCs/>
          <w:sz w:val="28"/>
          <w:szCs w:val="28"/>
        </w:rPr>
        <w:t>最高投标限价中，夜间施工、冬雨季施工增加费、已完工程及设备保护、临时设施费按《江苏省建设工程费用定额》（</w:t>
      </w:r>
      <w:r>
        <w:rPr>
          <w:rFonts w:ascii="宋体" w:hAnsi="宋体"/>
          <w:bCs/>
          <w:sz w:val="28"/>
          <w:szCs w:val="28"/>
        </w:rPr>
        <w:t>2014年）营改增调整后规定的费率</w:t>
      </w:r>
      <w:r>
        <w:rPr>
          <w:rFonts w:hint="eastAsia" w:ascii="宋体" w:hAnsi="宋体"/>
          <w:bCs/>
          <w:sz w:val="28"/>
          <w:szCs w:val="28"/>
        </w:rPr>
        <w:t>取中间值计算。建筑工人实名制费用计算。智慧工地费用不计算。</w:t>
      </w:r>
    </w:p>
    <w:p w14:paraId="66F7B356">
      <w:pPr>
        <w:pStyle w:val="16"/>
        <w:numPr>
          <w:ilvl w:val="2"/>
          <w:numId w:val="1"/>
        </w:numPr>
        <w:spacing w:line="520" w:lineRule="exact"/>
        <w:ind w:firstLineChars="0"/>
        <w:jc w:val="left"/>
        <w:rPr>
          <w:rFonts w:hint="eastAsia" w:ascii="宋体" w:hAnsi="宋体"/>
          <w:bCs/>
          <w:sz w:val="28"/>
          <w:szCs w:val="28"/>
        </w:rPr>
      </w:pPr>
      <w:r>
        <w:rPr>
          <w:rFonts w:hint="eastAsia" w:ascii="宋体" w:hAnsi="宋体"/>
          <w:bCs/>
          <w:sz w:val="28"/>
          <w:szCs w:val="28"/>
        </w:rPr>
        <w:t>单价措施费</w:t>
      </w:r>
    </w:p>
    <w:p w14:paraId="47A7E4C0">
      <w:pPr>
        <w:pStyle w:val="16"/>
        <w:numPr>
          <w:ilvl w:val="3"/>
          <w:numId w:val="1"/>
        </w:numPr>
        <w:spacing w:line="520" w:lineRule="exact"/>
        <w:ind w:firstLineChars="0"/>
        <w:jc w:val="left"/>
        <w:rPr>
          <w:rFonts w:hint="eastAsia" w:ascii="宋体" w:hAnsi="宋体"/>
          <w:bCs/>
          <w:sz w:val="28"/>
          <w:szCs w:val="28"/>
        </w:rPr>
      </w:pPr>
      <w:r>
        <w:rPr>
          <w:rFonts w:hint="eastAsia" w:ascii="宋体" w:hAnsi="宋体"/>
          <w:bCs/>
          <w:sz w:val="28"/>
          <w:szCs w:val="28"/>
        </w:rPr>
        <w:t>脚手架。</w:t>
      </w:r>
      <w:r>
        <w:rPr>
          <w:rFonts w:hint="eastAsia" w:ascii="宋体" w:hAnsi="宋体"/>
          <w:sz w:val="28"/>
          <w:szCs w:val="28"/>
        </w:rPr>
        <w:t>按常规施工组织方案设置工程量清单并计价。</w:t>
      </w:r>
    </w:p>
    <w:p w14:paraId="0EFF72EB">
      <w:pPr>
        <w:pStyle w:val="16"/>
        <w:numPr>
          <w:ilvl w:val="3"/>
          <w:numId w:val="1"/>
        </w:numPr>
        <w:spacing w:line="520" w:lineRule="exact"/>
        <w:ind w:firstLineChars="0"/>
        <w:jc w:val="left"/>
        <w:rPr>
          <w:rFonts w:hint="eastAsia" w:ascii="宋体" w:hAnsi="宋体"/>
          <w:bCs/>
          <w:sz w:val="28"/>
          <w:szCs w:val="28"/>
        </w:rPr>
      </w:pPr>
      <w:r>
        <w:rPr>
          <w:rFonts w:hint="eastAsia" w:ascii="宋体" w:hAnsi="宋体"/>
          <w:bCs/>
          <w:sz w:val="28"/>
          <w:szCs w:val="28"/>
        </w:rPr>
        <w:t>模板工程。无</w:t>
      </w:r>
      <w:r>
        <w:rPr>
          <w:rFonts w:hint="eastAsia" w:ascii="宋体" w:hAnsi="宋体"/>
          <w:sz w:val="28"/>
          <w:szCs w:val="28"/>
        </w:rPr>
        <w:t>。</w:t>
      </w:r>
    </w:p>
    <w:p w14:paraId="78E85AB0">
      <w:pPr>
        <w:pStyle w:val="16"/>
        <w:numPr>
          <w:ilvl w:val="1"/>
          <w:numId w:val="1"/>
        </w:numPr>
        <w:spacing w:line="520" w:lineRule="exact"/>
        <w:ind w:firstLineChars="0"/>
        <w:jc w:val="left"/>
        <w:rPr>
          <w:rFonts w:hint="eastAsia" w:ascii="宋体" w:hAnsi="宋体"/>
          <w:bCs/>
          <w:sz w:val="28"/>
          <w:szCs w:val="28"/>
        </w:rPr>
      </w:pPr>
      <w:r>
        <w:rPr>
          <w:rFonts w:hint="eastAsia" w:ascii="宋体" w:hAnsi="宋体"/>
          <w:bCs/>
          <w:sz w:val="28"/>
          <w:szCs w:val="28"/>
        </w:rPr>
        <w:t>其他项目</w:t>
      </w:r>
    </w:p>
    <w:p w14:paraId="04EC106C">
      <w:pPr>
        <w:pStyle w:val="16"/>
        <w:numPr>
          <w:ilvl w:val="3"/>
          <w:numId w:val="1"/>
        </w:numPr>
        <w:spacing w:line="520" w:lineRule="exact"/>
        <w:ind w:firstLineChars="0"/>
        <w:jc w:val="left"/>
        <w:rPr>
          <w:rFonts w:hint="eastAsia" w:ascii="宋体" w:hAnsi="宋体"/>
          <w:bCs/>
          <w:sz w:val="28"/>
          <w:szCs w:val="28"/>
        </w:rPr>
      </w:pPr>
      <w:r>
        <w:rPr>
          <w:rFonts w:hint="eastAsia" w:ascii="宋体" w:hAnsi="宋体"/>
          <w:bCs/>
          <w:sz w:val="28"/>
          <w:szCs w:val="28"/>
        </w:rPr>
        <w:t>暂列金额：分部分项的10%作为暂列金。</w:t>
      </w:r>
    </w:p>
    <w:p w14:paraId="6F3EA3B9">
      <w:pPr>
        <w:pStyle w:val="16"/>
        <w:numPr>
          <w:ilvl w:val="3"/>
          <w:numId w:val="1"/>
        </w:numPr>
        <w:spacing w:line="520" w:lineRule="exact"/>
        <w:ind w:firstLineChars="0"/>
        <w:jc w:val="left"/>
        <w:rPr>
          <w:rFonts w:hint="eastAsia" w:ascii="宋体" w:hAnsi="宋体"/>
          <w:bCs/>
          <w:sz w:val="28"/>
          <w:szCs w:val="28"/>
        </w:rPr>
      </w:pPr>
      <w:r>
        <w:rPr>
          <w:rFonts w:hint="eastAsia" w:ascii="宋体" w:hAnsi="宋体"/>
          <w:bCs/>
          <w:sz w:val="28"/>
          <w:szCs w:val="28"/>
        </w:rPr>
        <w:t>计日工：无。</w:t>
      </w:r>
    </w:p>
    <w:p w14:paraId="511BDBA7">
      <w:pPr>
        <w:pStyle w:val="16"/>
        <w:numPr>
          <w:ilvl w:val="3"/>
          <w:numId w:val="1"/>
        </w:numPr>
        <w:spacing w:line="520" w:lineRule="exact"/>
        <w:ind w:firstLineChars="0"/>
        <w:jc w:val="left"/>
        <w:rPr>
          <w:rFonts w:hint="eastAsia" w:ascii="宋体" w:hAnsi="宋体"/>
          <w:bCs/>
          <w:sz w:val="28"/>
          <w:szCs w:val="28"/>
        </w:rPr>
      </w:pPr>
      <w:r>
        <w:rPr>
          <w:rFonts w:hint="eastAsia" w:ascii="宋体" w:hAnsi="宋体"/>
          <w:bCs/>
          <w:sz w:val="28"/>
          <w:szCs w:val="28"/>
        </w:rPr>
        <w:t>总承包服务费：无。</w:t>
      </w:r>
    </w:p>
    <w:p w14:paraId="34C681CA">
      <w:pPr>
        <w:pStyle w:val="16"/>
        <w:numPr>
          <w:ilvl w:val="1"/>
          <w:numId w:val="1"/>
        </w:numPr>
        <w:spacing w:line="520" w:lineRule="exact"/>
        <w:ind w:firstLineChars="0"/>
        <w:jc w:val="left"/>
        <w:rPr>
          <w:rFonts w:hint="eastAsia" w:ascii="宋体" w:hAnsi="宋体"/>
          <w:bCs/>
          <w:sz w:val="28"/>
          <w:szCs w:val="28"/>
        </w:rPr>
      </w:pPr>
      <w:r>
        <w:rPr>
          <w:rFonts w:hint="eastAsia" w:ascii="宋体" w:hAnsi="宋体"/>
          <w:bCs/>
          <w:sz w:val="28"/>
          <w:szCs w:val="28"/>
        </w:rPr>
        <w:t>规费和税金</w:t>
      </w:r>
    </w:p>
    <w:p w14:paraId="3E6E0058">
      <w:pPr>
        <w:pStyle w:val="16"/>
        <w:numPr>
          <w:ilvl w:val="3"/>
          <w:numId w:val="1"/>
        </w:numPr>
        <w:spacing w:line="520" w:lineRule="exact"/>
        <w:ind w:firstLineChars="0"/>
        <w:jc w:val="left"/>
        <w:rPr>
          <w:rFonts w:hint="eastAsia" w:ascii="宋体" w:hAnsi="宋体"/>
          <w:bCs/>
          <w:sz w:val="28"/>
          <w:szCs w:val="28"/>
        </w:rPr>
      </w:pPr>
      <w:r>
        <w:rPr>
          <w:rFonts w:hint="eastAsia" w:ascii="宋体" w:hAnsi="宋体"/>
          <w:bCs/>
          <w:sz w:val="28"/>
          <w:szCs w:val="28"/>
        </w:rPr>
        <w:t>规费：为不可竞争费，必须按招标清单中列明的费率进行报价。</w:t>
      </w:r>
    </w:p>
    <w:p w14:paraId="1D100145">
      <w:pPr>
        <w:pStyle w:val="16"/>
        <w:numPr>
          <w:ilvl w:val="4"/>
          <w:numId w:val="1"/>
        </w:numPr>
        <w:spacing w:line="520" w:lineRule="exact"/>
        <w:ind w:firstLineChars="0"/>
        <w:jc w:val="left"/>
        <w:rPr>
          <w:rFonts w:hint="eastAsia" w:ascii="宋体" w:hAnsi="宋体"/>
          <w:bCs/>
          <w:sz w:val="28"/>
          <w:szCs w:val="28"/>
        </w:rPr>
      </w:pPr>
      <w:r>
        <w:rPr>
          <w:rFonts w:hint="eastAsia" w:ascii="宋体" w:hAnsi="宋体"/>
          <w:bCs/>
          <w:sz w:val="28"/>
          <w:szCs w:val="28"/>
        </w:rPr>
        <w:t>环境保护税：不计取，由甲方自行缴纳。</w:t>
      </w:r>
    </w:p>
    <w:p w14:paraId="0A0D6A9E">
      <w:pPr>
        <w:pStyle w:val="16"/>
        <w:numPr>
          <w:ilvl w:val="4"/>
          <w:numId w:val="1"/>
        </w:numPr>
        <w:spacing w:line="520" w:lineRule="exact"/>
        <w:ind w:firstLineChars="0"/>
        <w:jc w:val="left"/>
        <w:rPr>
          <w:rFonts w:hint="eastAsia" w:ascii="宋体" w:hAnsi="宋体"/>
          <w:bCs/>
          <w:sz w:val="28"/>
          <w:szCs w:val="28"/>
        </w:rPr>
      </w:pPr>
      <w:r>
        <w:rPr>
          <w:rFonts w:hint="eastAsia" w:ascii="宋体" w:hAnsi="宋体"/>
          <w:bCs/>
          <w:sz w:val="28"/>
          <w:szCs w:val="28"/>
        </w:rPr>
        <w:t>社会保险费：按规定费率计取。</w:t>
      </w:r>
    </w:p>
    <w:p w14:paraId="3FBFEBDE">
      <w:pPr>
        <w:pStyle w:val="16"/>
        <w:numPr>
          <w:ilvl w:val="4"/>
          <w:numId w:val="1"/>
        </w:numPr>
        <w:spacing w:line="520" w:lineRule="exact"/>
        <w:ind w:firstLineChars="0"/>
        <w:jc w:val="left"/>
        <w:rPr>
          <w:rFonts w:hint="eastAsia" w:ascii="宋体" w:hAnsi="宋体"/>
          <w:bCs/>
          <w:sz w:val="28"/>
          <w:szCs w:val="28"/>
        </w:rPr>
      </w:pPr>
      <w:r>
        <w:rPr>
          <w:rFonts w:hint="eastAsia" w:ascii="宋体" w:hAnsi="宋体"/>
          <w:bCs/>
          <w:sz w:val="28"/>
          <w:szCs w:val="28"/>
        </w:rPr>
        <w:t>住房公积金：按规定费率计取。</w:t>
      </w:r>
    </w:p>
    <w:p w14:paraId="40C86D87">
      <w:pPr>
        <w:pStyle w:val="16"/>
        <w:numPr>
          <w:ilvl w:val="3"/>
          <w:numId w:val="1"/>
        </w:numPr>
        <w:spacing w:line="520" w:lineRule="exact"/>
        <w:ind w:firstLineChars="0"/>
        <w:jc w:val="left"/>
        <w:rPr>
          <w:rFonts w:hint="eastAsia" w:ascii="宋体" w:hAnsi="宋体"/>
          <w:bCs/>
          <w:sz w:val="28"/>
          <w:szCs w:val="28"/>
        </w:rPr>
      </w:pPr>
      <w:r>
        <w:rPr>
          <w:rFonts w:hint="eastAsia" w:ascii="宋体" w:hAnsi="宋体"/>
          <w:bCs/>
          <w:sz w:val="28"/>
          <w:szCs w:val="28"/>
        </w:rPr>
        <w:t>税金：按一般计税法（税率9%），为不可竞争费，必须按招标清单中列明的费率进行报价。</w:t>
      </w:r>
      <w:bookmarkEnd w:id="4"/>
      <w:r>
        <w:rPr>
          <w:rFonts w:hint="eastAsia" w:ascii="宋体" w:hAnsi="宋体"/>
          <w:bCs/>
          <w:sz w:val="28"/>
          <w:szCs w:val="28"/>
        </w:rPr>
        <w:br w:type="page"/>
      </w:r>
    </w:p>
    <w:p w14:paraId="641EB1A0">
      <w:pPr>
        <w:pStyle w:val="16"/>
        <w:numPr>
          <w:ilvl w:val="0"/>
          <w:numId w:val="1"/>
        </w:numPr>
        <w:spacing w:line="520" w:lineRule="exact"/>
        <w:ind w:firstLineChars="0"/>
        <w:jc w:val="left"/>
        <w:rPr>
          <w:rFonts w:hint="eastAsia" w:ascii="宋体" w:hAnsi="宋体"/>
          <w:b/>
          <w:sz w:val="28"/>
          <w:szCs w:val="28"/>
        </w:rPr>
      </w:pPr>
      <w:r>
        <w:rPr>
          <w:rFonts w:hint="eastAsia" w:ascii="宋体" w:hAnsi="宋体"/>
          <w:b/>
          <w:sz w:val="28"/>
          <w:szCs w:val="28"/>
        </w:rPr>
        <w:t>审核结论</w:t>
      </w:r>
    </w:p>
    <w:p w14:paraId="08914250">
      <w:pPr>
        <w:pStyle w:val="16"/>
        <w:spacing w:line="520" w:lineRule="exact"/>
        <w:ind w:firstLine="567" w:firstLineChars="0"/>
        <w:jc w:val="left"/>
        <w:rPr>
          <w:rFonts w:hint="eastAsia" w:ascii="宋体" w:hAnsi="宋体"/>
          <w:bCs/>
          <w:sz w:val="28"/>
          <w:szCs w:val="28"/>
        </w:rPr>
      </w:pPr>
      <w:r>
        <w:rPr>
          <w:rFonts w:hint="eastAsia" w:ascii="宋体" w:hAnsi="宋体"/>
          <w:sz w:val="28"/>
          <w:szCs w:val="28"/>
        </w:rPr>
        <w:t>本工程江苏恒泰建设工程咨询有限公司</w:t>
      </w:r>
      <w:r>
        <w:rPr>
          <w:rFonts w:ascii="宋体" w:hAnsi="宋体"/>
          <w:sz w:val="28"/>
          <w:szCs w:val="28"/>
        </w:rPr>
        <w:t>编制的</w:t>
      </w:r>
      <w:r>
        <w:rPr>
          <w:rFonts w:hint="eastAsia" w:ascii="宋体" w:hAnsi="宋体"/>
          <w:sz w:val="28"/>
          <w:szCs w:val="28"/>
        </w:rPr>
        <w:t>最高投标限价总价为</w:t>
      </w:r>
      <w:r>
        <w:rPr>
          <w:rFonts w:hint="eastAsia" w:ascii="宋体" w:hAnsi="宋体"/>
          <w:bCs/>
          <w:sz w:val="28"/>
          <w:szCs w:val="28"/>
        </w:rPr>
        <w:t>3412539.41</w:t>
      </w:r>
      <w:r>
        <w:rPr>
          <w:rFonts w:hint="eastAsia" w:ascii="宋体" w:hAnsi="宋体"/>
          <w:sz w:val="28"/>
          <w:szCs w:val="28"/>
        </w:rPr>
        <w:t>元，我方</w:t>
      </w:r>
      <w:r>
        <w:rPr>
          <w:rFonts w:ascii="宋体" w:hAnsi="宋体"/>
          <w:sz w:val="28"/>
          <w:szCs w:val="28"/>
        </w:rPr>
        <w:t>审定</w:t>
      </w:r>
      <w:r>
        <w:rPr>
          <w:rFonts w:hint="eastAsia" w:ascii="宋体" w:hAnsi="宋体"/>
          <w:sz w:val="28"/>
          <w:szCs w:val="28"/>
        </w:rPr>
        <w:t>的最高投标限价总价为</w:t>
      </w:r>
      <w:r>
        <w:rPr>
          <w:rFonts w:hint="eastAsia" w:ascii="宋体" w:hAnsi="宋体"/>
          <w:bCs/>
          <w:sz w:val="28"/>
          <w:szCs w:val="28"/>
        </w:rPr>
        <w:t>3368655.54</w:t>
      </w:r>
      <w:r>
        <w:rPr>
          <w:rFonts w:hint="eastAsia" w:ascii="宋体" w:hAnsi="宋体"/>
          <w:sz w:val="28"/>
          <w:szCs w:val="28"/>
        </w:rPr>
        <w:t>元</w:t>
      </w:r>
      <w:r>
        <w:rPr>
          <w:rFonts w:hint="eastAsia" w:ascii="宋体" w:hAnsi="宋体"/>
          <w:bCs/>
          <w:sz w:val="28"/>
          <w:szCs w:val="28"/>
        </w:rPr>
        <w:t>，核减金额为43883.87元。</w:t>
      </w:r>
    </w:p>
    <w:p w14:paraId="47A99BDA">
      <w:pPr>
        <w:pStyle w:val="16"/>
        <w:spacing w:line="520" w:lineRule="exact"/>
        <w:ind w:firstLine="567" w:firstLineChars="0"/>
        <w:jc w:val="left"/>
        <w:rPr>
          <w:rFonts w:hint="eastAsia" w:ascii="宋体" w:hAnsi="宋体"/>
          <w:bCs/>
          <w:sz w:val="28"/>
          <w:szCs w:val="28"/>
        </w:rPr>
      </w:pPr>
      <w:r>
        <w:rPr>
          <w:rFonts w:hint="eastAsia" w:ascii="宋体" w:hAnsi="宋体"/>
          <w:bCs/>
          <w:sz w:val="28"/>
          <w:szCs w:val="28"/>
        </w:rPr>
        <w:t>附件：工程量清单和最高投标限价</w:t>
      </w:r>
    </w:p>
    <w:p w14:paraId="50CCDB27">
      <w:pPr>
        <w:pStyle w:val="16"/>
        <w:spacing w:line="520" w:lineRule="exact"/>
        <w:ind w:firstLine="567" w:firstLineChars="0"/>
        <w:jc w:val="left"/>
        <w:rPr>
          <w:rFonts w:hint="eastAsia" w:ascii="宋体" w:hAnsi="宋体"/>
          <w:bCs/>
          <w:sz w:val="28"/>
          <w:szCs w:val="28"/>
        </w:rPr>
      </w:pPr>
    </w:p>
    <w:p w14:paraId="5E0042A7">
      <w:pPr>
        <w:pStyle w:val="16"/>
        <w:spacing w:line="520" w:lineRule="exact"/>
        <w:ind w:firstLine="567" w:firstLineChars="0"/>
        <w:jc w:val="left"/>
        <w:rPr>
          <w:rFonts w:hint="eastAsia" w:ascii="宋体" w:hAnsi="宋体"/>
          <w:bCs/>
          <w:sz w:val="28"/>
          <w:szCs w:val="28"/>
        </w:rPr>
      </w:pPr>
      <w:r>
        <w:rPr>
          <w:rFonts w:hint="eastAsia" w:ascii="宋体" w:hAnsi="宋体"/>
          <w:bCs/>
          <w:sz w:val="28"/>
          <w:szCs w:val="28"/>
        </w:rPr>
        <w:t>项目负责人：</w:t>
      </w:r>
    </w:p>
    <w:p w14:paraId="4B09F88E">
      <w:pPr>
        <w:pStyle w:val="16"/>
        <w:spacing w:line="520" w:lineRule="exact"/>
        <w:ind w:firstLine="567" w:firstLineChars="0"/>
        <w:jc w:val="left"/>
        <w:rPr>
          <w:rFonts w:hint="eastAsia" w:ascii="宋体" w:hAnsi="宋体"/>
          <w:bCs/>
          <w:sz w:val="28"/>
          <w:szCs w:val="28"/>
        </w:rPr>
      </w:pPr>
    </w:p>
    <w:p w14:paraId="58912B0A">
      <w:pPr>
        <w:pStyle w:val="16"/>
        <w:spacing w:line="520" w:lineRule="exact"/>
        <w:ind w:firstLine="567" w:firstLineChars="0"/>
        <w:jc w:val="left"/>
        <w:rPr>
          <w:rFonts w:hint="eastAsia" w:ascii="宋体" w:hAnsi="宋体"/>
          <w:bCs/>
          <w:sz w:val="28"/>
          <w:szCs w:val="28"/>
        </w:rPr>
      </w:pPr>
    </w:p>
    <w:p w14:paraId="542CF519">
      <w:pPr>
        <w:pStyle w:val="16"/>
        <w:spacing w:line="520" w:lineRule="exact"/>
        <w:ind w:firstLine="567" w:firstLineChars="0"/>
        <w:jc w:val="left"/>
        <w:rPr>
          <w:rFonts w:hint="eastAsia" w:ascii="宋体" w:hAnsi="宋体"/>
          <w:bCs/>
          <w:sz w:val="28"/>
          <w:szCs w:val="28"/>
        </w:rPr>
      </w:pPr>
    </w:p>
    <w:p w14:paraId="5BC3B172">
      <w:pPr>
        <w:pStyle w:val="16"/>
        <w:spacing w:line="520" w:lineRule="exact"/>
        <w:ind w:firstLine="567" w:firstLineChars="0"/>
        <w:jc w:val="right"/>
        <w:rPr>
          <w:rFonts w:hint="eastAsia" w:ascii="宋体" w:hAnsi="宋体"/>
          <w:bCs/>
          <w:sz w:val="28"/>
          <w:szCs w:val="28"/>
        </w:rPr>
      </w:pPr>
      <w:r>
        <w:rPr>
          <w:rFonts w:hint="eastAsia" w:ascii="宋体" w:hAnsi="宋体"/>
          <w:bCs/>
          <w:sz w:val="28"/>
          <w:szCs w:val="28"/>
        </w:rPr>
        <w:t>江苏瑾诚工程项目管理有限公司</w:t>
      </w:r>
    </w:p>
    <w:p w14:paraId="7D7B5BCB">
      <w:pPr>
        <w:pStyle w:val="16"/>
        <w:spacing w:line="520" w:lineRule="exact"/>
        <w:ind w:firstLine="567" w:firstLineChars="0"/>
        <w:jc w:val="right"/>
        <w:rPr>
          <w:rFonts w:hint="eastAsia" w:ascii="宋体" w:hAnsi="宋体"/>
          <w:bCs/>
          <w:sz w:val="28"/>
          <w:szCs w:val="28"/>
        </w:rPr>
      </w:pPr>
      <w:r>
        <w:rPr>
          <w:rFonts w:hint="eastAsia" w:ascii="宋体" w:hAnsi="宋体"/>
          <w:bCs/>
          <w:sz w:val="28"/>
          <w:szCs w:val="28"/>
        </w:rPr>
        <w:t>二〇二五年七月二十二日</w:t>
      </w:r>
    </w:p>
    <w:p w14:paraId="007D84D8">
      <w:pPr>
        <w:spacing w:line="520" w:lineRule="exact"/>
        <w:jc w:val="center"/>
        <w:rPr>
          <w:rFonts w:hint="eastAsia" w:ascii="宋体" w:hAnsi="宋体" w:eastAsia="宋体"/>
          <w:sz w:val="28"/>
          <w:szCs w:val="28"/>
        </w:rPr>
      </w:pPr>
    </w:p>
    <w:p w14:paraId="6A5DFCF3">
      <w:pPr>
        <w:spacing w:line="520" w:lineRule="exact"/>
        <w:jc w:val="center"/>
        <w:rPr>
          <w:rFonts w:hint="eastAsia" w:ascii="宋体" w:hAnsi="宋体" w:eastAsia="宋体"/>
          <w:sz w:val="28"/>
          <w:szCs w:val="28"/>
        </w:rPr>
      </w:pPr>
    </w:p>
    <w:p w14:paraId="32BDF61B">
      <w:pPr>
        <w:spacing w:line="520" w:lineRule="exact"/>
        <w:rPr>
          <w:rFonts w:hint="eastAsia" w:ascii="宋体" w:hAnsi="宋体" w:eastAsia="宋体"/>
          <w:sz w:val="28"/>
          <w:szCs w:val="28"/>
        </w:rPr>
      </w:pPr>
    </w:p>
    <w:p w14:paraId="3C974A77">
      <w:pPr>
        <w:spacing w:line="520" w:lineRule="exact"/>
        <w:rPr>
          <w:rFonts w:hint="eastAsia" w:ascii="宋体" w:hAnsi="宋体" w:eastAsia="宋体"/>
          <w:sz w:val="28"/>
          <w:szCs w:val="28"/>
        </w:rPr>
      </w:pPr>
    </w:p>
    <w:p w14:paraId="13109D36">
      <w:pPr>
        <w:spacing w:line="520" w:lineRule="exact"/>
        <w:rPr>
          <w:rFonts w:hint="eastAsia" w:ascii="宋体" w:hAnsi="宋体" w:eastAsia="宋体"/>
          <w:sz w:val="28"/>
          <w:szCs w:val="28"/>
        </w:rPr>
      </w:pPr>
    </w:p>
    <w:p w14:paraId="7F6BDC42">
      <w:pPr>
        <w:spacing w:line="520" w:lineRule="exact"/>
        <w:rPr>
          <w:rFonts w:hint="eastAsia" w:ascii="宋体" w:hAnsi="宋体" w:eastAsia="宋体"/>
          <w:sz w:val="28"/>
          <w:szCs w:val="28"/>
        </w:rPr>
      </w:pPr>
    </w:p>
    <w:p w14:paraId="67EDC04B">
      <w:pPr>
        <w:spacing w:line="520" w:lineRule="exact"/>
        <w:rPr>
          <w:rFonts w:hint="eastAsia" w:ascii="宋体" w:hAnsi="宋体" w:eastAsia="宋体"/>
          <w:sz w:val="28"/>
          <w:szCs w:val="28"/>
        </w:rPr>
      </w:pPr>
    </w:p>
    <w:p w14:paraId="19743B68">
      <w:pPr>
        <w:spacing w:line="520" w:lineRule="exact"/>
        <w:rPr>
          <w:rFonts w:hint="eastAsia" w:ascii="宋体" w:hAnsi="宋体" w:eastAsia="宋体"/>
          <w:sz w:val="28"/>
          <w:szCs w:val="28"/>
        </w:rPr>
      </w:pPr>
    </w:p>
    <w:p w14:paraId="1B17BC3B">
      <w:pPr>
        <w:spacing w:line="520" w:lineRule="exact"/>
        <w:rPr>
          <w:rFonts w:hint="eastAsia" w:ascii="宋体" w:hAnsi="宋体" w:eastAsia="宋体"/>
          <w:sz w:val="28"/>
          <w:szCs w:val="28"/>
        </w:rPr>
      </w:pPr>
    </w:p>
    <w:p w14:paraId="789CE6CA">
      <w:pPr>
        <w:spacing w:line="520" w:lineRule="exact"/>
        <w:rPr>
          <w:rFonts w:hint="eastAsia" w:ascii="宋体" w:hAnsi="宋体" w:eastAsia="宋体"/>
          <w:sz w:val="28"/>
          <w:szCs w:val="28"/>
        </w:rPr>
      </w:pPr>
    </w:p>
    <w:p w14:paraId="364EDEE6">
      <w:pPr>
        <w:snapToGrid w:val="0"/>
        <w:spacing w:after="60" w:line="520" w:lineRule="exact"/>
        <w:rPr>
          <w:rFonts w:hint="eastAsia" w:ascii="宋体" w:hAnsi="宋体" w:eastAsia="宋体"/>
          <w:b/>
          <w:bCs/>
          <w:sz w:val="28"/>
          <w:szCs w:val="28"/>
        </w:rPr>
      </w:pPr>
      <w:r>
        <w:rPr>
          <w:rFonts w:hint="eastAsia" w:ascii="宋体" w:hAnsi="宋体" w:eastAsia="宋体"/>
          <w:sz w:val="28"/>
          <w:szCs w:val="28"/>
        </w:rPr>
        <mc:AlternateContent>
          <mc:Choice Requires="wps">
            <w:drawing>
              <wp:anchor distT="0" distB="0" distL="114300" distR="114300" simplePos="0" relativeHeight="251660288" behindDoc="0" locked="0" layoutInCell="1" allowOverlap="1">
                <wp:simplePos x="0" y="0"/>
                <wp:positionH relativeFrom="margin">
                  <wp:align>left</wp:align>
                </wp:positionH>
                <wp:positionV relativeFrom="paragraph">
                  <wp:posOffset>359410</wp:posOffset>
                </wp:positionV>
                <wp:extent cx="5586095" cy="0"/>
                <wp:effectExtent l="0" t="0" r="0" b="0"/>
                <wp:wrapNone/>
                <wp:docPr id="1" name="直线 27"/>
                <wp:cNvGraphicFramePr/>
                <a:graphic xmlns:a="http://schemas.openxmlformats.org/drawingml/2006/main">
                  <a:graphicData uri="http://schemas.microsoft.com/office/word/2010/wordprocessingShape">
                    <wps:wsp>
                      <wps:cNvCnPr>
                        <a:cxnSpLocks noChangeShapeType="1"/>
                      </wps:cNvCnPr>
                      <wps:spPr bwMode="auto">
                        <a:xfrm flipV="1">
                          <a:off x="0" y="0"/>
                          <a:ext cx="5586277" cy="0"/>
                        </a:xfrm>
                        <a:prstGeom prst="line">
                          <a:avLst/>
                        </a:prstGeom>
                        <a:noFill/>
                        <a:ln w="19050">
                          <a:solidFill>
                            <a:schemeClr val="tx1"/>
                          </a:solidFill>
                          <a:round/>
                        </a:ln>
                        <a:effectLst/>
                      </wps:spPr>
                      <wps:bodyPr/>
                    </wps:wsp>
                  </a:graphicData>
                </a:graphic>
              </wp:anchor>
            </w:drawing>
          </mc:Choice>
          <mc:Fallback>
            <w:pict>
              <v:line id="直线 27" o:spid="_x0000_s1026" o:spt="20" style="position:absolute;left:0pt;flip:y;margin-top:28.3pt;height:0pt;width:439.85pt;mso-position-horizontal:left;mso-position-horizontal-relative:margin;z-index:251660288;mso-width-relative:page;mso-height-relative:page;" filled="f" stroked="t" coordsize="21600,21600" o:gfxdata="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OwBlMtUAAAAGAQAA&#10;DwAAAAAAAAABACAAAAAiAAAAZHJzL2Rvd25yZXYueG1sUEsBAhQAFAAAAAgAh07iQAuXPivjAQAA&#10;uwMAAA4AAAAAAAAAAQAgAAAAJAEAAGRycy9lMm9Eb2MueG1sUEsFBgAAAAAGAAYAWQEAAHkFAAAA&#10;AA==&#10;">
                <v:fill on="f" focussize="0,0"/>
                <v:stroke weight="1.5pt" color="#000000 [3213]" joinstyle="round"/>
                <v:imagedata o:title=""/>
                <o:lock v:ext="edit" aspectratio="f"/>
              </v:line>
            </w:pict>
          </mc:Fallback>
        </mc:AlternateContent>
      </w:r>
      <w:r>
        <w:rPr>
          <w:rFonts w:hint="eastAsia" w:ascii="宋体" w:hAnsi="宋体" w:eastAsia="宋体"/>
          <w:b/>
          <w:bCs/>
          <w:sz w:val="28"/>
          <w:szCs w:val="28"/>
        </w:rPr>
        <w:t>主题词：最高投标限价审核</w:t>
      </w:r>
    </w:p>
    <w:p w14:paraId="0AC9FFCA">
      <w:pPr>
        <w:spacing w:line="520" w:lineRule="exact"/>
        <w:jc w:val="left"/>
        <w:rPr>
          <w:rFonts w:hint="eastAsia" w:ascii="宋体" w:hAnsi="宋体" w:eastAsia="宋体"/>
          <w:bCs/>
          <w:sz w:val="28"/>
          <w:szCs w:val="28"/>
        </w:rPr>
      </w:pPr>
      <w:r>
        <w:rPr>
          <w:rFonts w:hint="eastAsia" w:ascii="宋体" w:hAnsi="宋体" w:eastAsia="宋体"/>
          <w:sz w:val="28"/>
          <w:szCs w:val="28"/>
        </w:rPr>
        <mc:AlternateContent>
          <mc:Choice Requires="wps">
            <w:drawing>
              <wp:anchor distT="0" distB="0" distL="114300" distR="114300" simplePos="0" relativeHeight="251661312" behindDoc="0" locked="0" layoutInCell="1" allowOverlap="1">
                <wp:simplePos x="0" y="0"/>
                <wp:positionH relativeFrom="margin">
                  <wp:align>left</wp:align>
                </wp:positionH>
                <wp:positionV relativeFrom="paragraph">
                  <wp:posOffset>365125</wp:posOffset>
                </wp:positionV>
                <wp:extent cx="5586095" cy="0"/>
                <wp:effectExtent l="0" t="0" r="0" b="0"/>
                <wp:wrapNone/>
                <wp:docPr id="3" name="直线 27"/>
                <wp:cNvGraphicFramePr/>
                <a:graphic xmlns:a="http://schemas.openxmlformats.org/drawingml/2006/main">
                  <a:graphicData uri="http://schemas.microsoft.com/office/word/2010/wordprocessingShape">
                    <wps:wsp>
                      <wps:cNvCnPr>
                        <a:cxnSpLocks noChangeShapeType="1"/>
                      </wps:cNvCnPr>
                      <wps:spPr bwMode="auto">
                        <a:xfrm flipV="1">
                          <a:off x="0" y="0"/>
                          <a:ext cx="5586277" cy="0"/>
                        </a:xfrm>
                        <a:prstGeom prst="line">
                          <a:avLst/>
                        </a:prstGeom>
                        <a:noFill/>
                        <a:ln w="19050">
                          <a:solidFill>
                            <a:schemeClr val="tx1"/>
                          </a:solidFill>
                          <a:round/>
                        </a:ln>
                        <a:effectLst/>
                      </wps:spPr>
                      <wps:bodyPr/>
                    </wps:wsp>
                  </a:graphicData>
                </a:graphic>
              </wp:anchor>
            </w:drawing>
          </mc:Choice>
          <mc:Fallback>
            <w:pict>
              <v:line id="直线 27" o:spid="_x0000_s1026" o:spt="20" style="position:absolute;left:0pt;flip:y;margin-top:28.75pt;height:0pt;width:439.85pt;mso-position-horizontal:left;mso-position-horizontal-relative:margin;z-index:251661312;mso-width-relative:page;mso-height-relative:page;" filled="f" stroked="t" coordsize="21600,21600" o:gfxdata="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DXRRBDVAAAABgEA&#10;AA8AAAAAAAAAAQAgAAAAIgAAAGRycy9kb3ducmV2LnhtbFBLAQIUABQAAAAIAIdO4kBUuFj85AEA&#10;ALsDAAAOAAAAAAAAAAEAIAAAACQBAABkcnMvZTJvRG9jLnhtbFBLBQYAAAAABgAGAFkBAAB6BQAA&#10;AAA=&#10;">
                <v:fill on="f" focussize="0,0"/>
                <v:stroke weight="1.5pt" color="#000000 [3213]" joinstyle="round"/>
                <v:imagedata o:title=""/>
                <o:lock v:ext="edit" aspectratio="f"/>
              </v:line>
            </w:pict>
          </mc:Fallback>
        </mc:AlternateContent>
      </w:r>
      <w:r>
        <w:rPr>
          <w:rFonts w:hint="eastAsia" w:ascii="宋体" w:hAnsi="宋体" w:eastAsia="宋体"/>
          <w:sz w:val="28"/>
          <w:szCs w:val="28"/>
        </w:rPr>
        <w:t xml:space="preserve">抄 </w:t>
      </w:r>
      <w:r>
        <w:rPr>
          <w:rFonts w:ascii="宋体" w:hAnsi="宋体" w:eastAsia="宋体"/>
          <w:sz w:val="28"/>
          <w:szCs w:val="28"/>
        </w:rPr>
        <w:t xml:space="preserve"> </w:t>
      </w:r>
      <w:r>
        <w:rPr>
          <w:rFonts w:hint="eastAsia" w:ascii="宋体" w:hAnsi="宋体" w:eastAsia="宋体"/>
          <w:sz w:val="28"/>
          <w:szCs w:val="28"/>
        </w:rPr>
        <w:t>送：</w:t>
      </w:r>
    </w:p>
    <w:sectPr>
      <w:type w:val="continuous"/>
      <w:pgSz w:w="11906" w:h="16838"/>
      <w:pgMar w:top="1440" w:right="1797" w:bottom="1440" w:left="1797" w:header="851" w:footer="624" w:gutter="0"/>
      <w:paperSrc w:first="15"/>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ourier New">
    <w:panose1 w:val="02070309020205020404"/>
    <w:charset w:val="00"/>
    <w:family w:val="modern"/>
    <w:pitch w:val="default"/>
    <w:sig w:usb0="E0002EFF" w:usb1="C0007843" w:usb2="00000009" w:usb3="00000000" w:csb0="400001FF" w:csb1="FFFF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36B2482"/>
    <w:multiLevelType w:val="multilevel"/>
    <w:tmpl w:val="736B2482"/>
    <w:lvl w:ilvl="0" w:tentative="0">
      <w:start w:val="1"/>
      <w:numFmt w:val="chineseCountingThousand"/>
      <w:suff w:val="nothing"/>
      <w:lvlText w:val="%1、"/>
      <w:lvlJc w:val="left"/>
      <w:pPr>
        <w:ind w:left="0" w:firstLine="567"/>
      </w:pPr>
      <w:rPr>
        <w:rFonts w:hint="eastAsia"/>
      </w:rPr>
    </w:lvl>
    <w:lvl w:ilvl="1" w:tentative="0">
      <w:start w:val="1"/>
      <w:numFmt w:val="chineseCountingThousand"/>
      <w:suff w:val="nothing"/>
      <w:lvlText w:val="（%2）"/>
      <w:lvlJc w:val="left"/>
      <w:pPr>
        <w:ind w:left="0" w:firstLine="567"/>
      </w:pPr>
      <w:rPr>
        <w:rFonts w:hint="eastAsia"/>
      </w:rPr>
    </w:lvl>
    <w:lvl w:ilvl="2" w:tentative="0">
      <w:start w:val="1"/>
      <w:numFmt w:val="decimal"/>
      <w:suff w:val="nothing"/>
      <w:lvlText w:val="（%2.%3）"/>
      <w:lvlJc w:val="left"/>
      <w:pPr>
        <w:ind w:left="0" w:firstLine="567"/>
      </w:pPr>
      <w:rPr>
        <w:rFonts w:hint="eastAsia"/>
      </w:rPr>
    </w:lvl>
    <w:lvl w:ilvl="3" w:tentative="0">
      <w:start w:val="1"/>
      <w:numFmt w:val="decimal"/>
      <w:suff w:val="space"/>
      <w:lvlText w:val="%4."/>
      <w:lvlJc w:val="left"/>
      <w:pPr>
        <w:ind w:left="0" w:firstLine="567"/>
      </w:pPr>
      <w:rPr>
        <w:rFonts w:hint="eastAsia"/>
      </w:rPr>
    </w:lvl>
    <w:lvl w:ilvl="4" w:tentative="0">
      <w:start w:val="1"/>
      <w:numFmt w:val="decimal"/>
      <w:suff w:val="space"/>
      <w:lvlText w:val="%4.%5"/>
      <w:lvlJc w:val="left"/>
      <w:pPr>
        <w:ind w:left="0" w:firstLine="567"/>
      </w:pPr>
      <w:rPr>
        <w:rFonts w:hint="eastAsia"/>
      </w:rPr>
    </w:lvl>
    <w:lvl w:ilvl="5" w:tentative="0">
      <w:start w:val="1"/>
      <w:numFmt w:val="decimal"/>
      <w:suff w:val="space"/>
      <w:lvlText w:val="%4.%5.%6"/>
      <w:lvlJc w:val="left"/>
      <w:pPr>
        <w:ind w:left="0" w:firstLine="567"/>
      </w:pPr>
      <w:rPr>
        <w:rFonts w:hint="eastAsia"/>
      </w:rPr>
    </w:lvl>
    <w:lvl w:ilvl="6" w:tentative="0">
      <w:start w:val="1"/>
      <w:numFmt w:val="lowerLetter"/>
      <w:suff w:val="space"/>
      <w:lvlText w:val="%7."/>
      <w:lvlJc w:val="left"/>
      <w:pPr>
        <w:ind w:left="0" w:firstLine="567"/>
      </w:pPr>
      <w:rPr>
        <w:rFonts w:hint="eastAsia"/>
      </w:rPr>
    </w:lvl>
    <w:lvl w:ilvl="7" w:tentative="0">
      <w:start w:val="1"/>
      <w:numFmt w:val="decimal"/>
      <w:suff w:val="space"/>
      <w:lvlText w:val="%7.%8"/>
      <w:lvlJc w:val="left"/>
      <w:pPr>
        <w:ind w:left="0" w:firstLine="567"/>
      </w:pPr>
      <w:rPr>
        <w:rFonts w:hint="eastAsia"/>
      </w:rPr>
    </w:lvl>
    <w:lvl w:ilvl="8" w:tentative="0">
      <w:start w:val="1"/>
      <w:numFmt w:val="decimal"/>
      <w:suff w:val="space"/>
      <w:lvlText w:val="%7.%8.%9"/>
      <w:lvlJc w:val="left"/>
      <w:pPr>
        <w:ind w:left="0" w:firstLine="567"/>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21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5C42"/>
    <w:rsid w:val="00057D59"/>
    <w:rsid w:val="00066E3B"/>
    <w:rsid w:val="0007661E"/>
    <w:rsid w:val="000B051F"/>
    <w:rsid w:val="000B5744"/>
    <w:rsid w:val="000C33B9"/>
    <w:rsid w:val="000D18B1"/>
    <w:rsid w:val="000D2701"/>
    <w:rsid w:val="000D63FA"/>
    <w:rsid w:val="00111BB6"/>
    <w:rsid w:val="00114C9B"/>
    <w:rsid w:val="00116F9E"/>
    <w:rsid w:val="00122DB9"/>
    <w:rsid w:val="0012336B"/>
    <w:rsid w:val="00123800"/>
    <w:rsid w:val="00133FC7"/>
    <w:rsid w:val="0013623D"/>
    <w:rsid w:val="0016132C"/>
    <w:rsid w:val="00185C74"/>
    <w:rsid w:val="001970A6"/>
    <w:rsid w:val="001C5B4B"/>
    <w:rsid w:val="0024373A"/>
    <w:rsid w:val="002452BB"/>
    <w:rsid w:val="002574D5"/>
    <w:rsid w:val="00272D1C"/>
    <w:rsid w:val="002859BA"/>
    <w:rsid w:val="002A54CB"/>
    <w:rsid w:val="002C73CA"/>
    <w:rsid w:val="002E3E8E"/>
    <w:rsid w:val="0030435C"/>
    <w:rsid w:val="0031522A"/>
    <w:rsid w:val="003223A7"/>
    <w:rsid w:val="0033628F"/>
    <w:rsid w:val="003373D9"/>
    <w:rsid w:val="00337FA4"/>
    <w:rsid w:val="00346A92"/>
    <w:rsid w:val="0035102B"/>
    <w:rsid w:val="0037134C"/>
    <w:rsid w:val="00381E2C"/>
    <w:rsid w:val="0038456C"/>
    <w:rsid w:val="003A41A6"/>
    <w:rsid w:val="003B53F7"/>
    <w:rsid w:val="003C26F4"/>
    <w:rsid w:val="003D21C4"/>
    <w:rsid w:val="003D6E5F"/>
    <w:rsid w:val="003F104C"/>
    <w:rsid w:val="003F1138"/>
    <w:rsid w:val="003F5234"/>
    <w:rsid w:val="00405A24"/>
    <w:rsid w:val="004110A4"/>
    <w:rsid w:val="0043732F"/>
    <w:rsid w:val="00443857"/>
    <w:rsid w:val="0044669D"/>
    <w:rsid w:val="00451798"/>
    <w:rsid w:val="00455041"/>
    <w:rsid w:val="004A2D3B"/>
    <w:rsid w:val="004B23FC"/>
    <w:rsid w:val="004C537A"/>
    <w:rsid w:val="004F6542"/>
    <w:rsid w:val="00535B99"/>
    <w:rsid w:val="005406CC"/>
    <w:rsid w:val="005477B2"/>
    <w:rsid w:val="005618DB"/>
    <w:rsid w:val="005765D8"/>
    <w:rsid w:val="00595DE0"/>
    <w:rsid w:val="005B60E5"/>
    <w:rsid w:val="005C5D85"/>
    <w:rsid w:val="005D0D60"/>
    <w:rsid w:val="005D1EE2"/>
    <w:rsid w:val="005E0414"/>
    <w:rsid w:val="005E18AD"/>
    <w:rsid w:val="005E18E5"/>
    <w:rsid w:val="006258F2"/>
    <w:rsid w:val="00637C06"/>
    <w:rsid w:val="0065375A"/>
    <w:rsid w:val="00682889"/>
    <w:rsid w:val="00690A36"/>
    <w:rsid w:val="006969D4"/>
    <w:rsid w:val="006A164E"/>
    <w:rsid w:val="006A4CC8"/>
    <w:rsid w:val="006B4D10"/>
    <w:rsid w:val="006E085A"/>
    <w:rsid w:val="00700E24"/>
    <w:rsid w:val="00707A81"/>
    <w:rsid w:val="00744729"/>
    <w:rsid w:val="00754D86"/>
    <w:rsid w:val="007568A6"/>
    <w:rsid w:val="007600C0"/>
    <w:rsid w:val="00775E20"/>
    <w:rsid w:val="007C3332"/>
    <w:rsid w:val="007C7186"/>
    <w:rsid w:val="007D3EC3"/>
    <w:rsid w:val="00800D6C"/>
    <w:rsid w:val="00813E84"/>
    <w:rsid w:val="0081529F"/>
    <w:rsid w:val="00866496"/>
    <w:rsid w:val="00884063"/>
    <w:rsid w:val="00884E4B"/>
    <w:rsid w:val="00894C1A"/>
    <w:rsid w:val="008B1325"/>
    <w:rsid w:val="008B3CC1"/>
    <w:rsid w:val="008C5F5A"/>
    <w:rsid w:val="008E1821"/>
    <w:rsid w:val="008E1D74"/>
    <w:rsid w:val="009204B7"/>
    <w:rsid w:val="00936CB7"/>
    <w:rsid w:val="009536AA"/>
    <w:rsid w:val="00977F27"/>
    <w:rsid w:val="0098045E"/>
    <w:rsid w:val="009918FB"/>
    <w:rsid w:val="0099440A"/>
    <w:rsid w:val="009B1F4C"/>
    <w:rsid w:val="00A147DD"/>
    <w:rsid w:val="00A17454"/>
    <w:rsid w:val="00A26782"/>
    <w:rsid w:val="00A31FE8"/>
    <w:rsid w:val="00A32859"/>
    <w:rsid w:val="00A819B4"/>
    <w:rsid w:val="00AA6219"/>
    <w:rsid w:val="00AB49AF"/>
    <w:rsid w:val="00AB4AE5"/>
    <w:rsid w:val="00AB6985"/>
    <w:rsid w:val="00AC709F"/>
    <w:rsid w:val="00AE265C"/>
    <w:rsid w:val="00B24CB4"/>
    <w:rsid w:val="00B323E3"/>
    <w:rsid w:val="00B33CBB"/>
    <w:rsid w:val="00B35C36"/>
    <w:rsid w:val="00B46BB9"/>
    <w:rsid w:val="00B50466"/>
    <w:rsid w:val="00B874FD"/>
    <w:rsid w:val="00B9294A"/>
    <w:rsid w:val="00BC29FA"/>
    <w:rsid w:val="00BC3947"/>
    <w:rsid w:val="00BC79C9"/>
    <w:rsid w:val="00C03DB8"/>
    <w:rsid w:val="00C24DF1"/>
    <w:rsid w:val="00C73225"/>
    <w:rsid w:val="00C746F7"/>
    <w:rsid w:val="00C76A4E"/>
    <w:rsid w:val="00C802BB"/>
    <w:rsid w:val="00C860A2"/>
    <w:rsid w:val="00C9764A"/>
    <w:rsid w:val="00CA537C"/>
    <w:rsid w:val="00CB75B2"/>
    <w:rsid w:val="00CD0E82"/>
    <w:rsid w:val="00CD32BE"/>
    <w:rsid w:val="00CD6C8B"/>
    <w:rsid w:val="00D31520"/>
    <w:rsid w:val="00D40C4A"/>
    <w:rsid w:val="00D44929"/>
    <w:rsid w:val="00D46D91"/>
    <w:rsid w:val="00D62E10"/>
    <w:rsid w:val="00D9696F"/>
    <w:rsid w:val="00DA39DD"/>
    <w:rsid w:val="00DB38FF"/>
    <w:rsid w:val="00DB72A5"/>
    <w:rsid w:val="00DC2795"/>
    <w:rsid w:val="00DC5186"/>
    <w:rsid w:val="00DD1220"/>
    <w:rsid w:val="00DE5AAC"/>
    <w:rsid w:val="00E15DBB"/>
    <w:rsid w:val="00E212D5"/>
    <w:rsid w:val="00E25B57"/>
    <w:rsid w:val="00E34D5A"/>
    <w:rsid w:val="00E64AE6"/>
    <w:rsid w:val="00E76BD2"/>
    <w:rsid w:val="00EA43B3"/>
    <w:rsid w:val="00EC5C42"/>
    <w:rsid w:val="00ED4F92"/>
    <w:rsid w:val="00EF3FAC"/>
    <w:rsid w:val="00F01C2C"/>
    <w:rsid w:val="00F04672"/>
    <w:rsid w:val="00F065EC"/>
    <w:rsid w:val="00F2259F"/>
    <w:rsid w:val="00F4257E"/>
    <w:rsid w:val="00F739BC"/>
    <w:rsid w:val="00F92281"/>
    <w:rsid w:val="00F94869"/>
    <w:rsid w:val="00F969E4"/>
    <w:rsid w:val="00FB13BE"/>
    <w:rsid w:val="00FC082B"/>
    <w:rsid w:val="00FD37B8"/>
    <w:rsid w:val="00FD7535"/>
    <w:rsid w:val="0AFD0EBC"/>
    <w:rsid w:val="0DCE6B40"/>
    <w:rsid w:val="127263BE"/>
    <w:rsid w:val="13313DF9"/>
    <w:rsid w:val="19F202D2"/>
    <w:rsid w:val="1A8D6556"/>
    <w:rsid w:val="220D03C4"/>
    <w:rsid w:val="22123047"/>
    <w:rsid w:val="23FA39C3"/>
    <w:rsid w:val="27572629"/>
    <w:rsid w:val="2D7C1CBC"/>
    <w:rsid w:val="3A9640E6"/>
    <w:rsid w:val="4C9C4894"/>
    <w:rsid w:val="549D0BDA"/>
    <w:rsid w:val="5DC80482"/>
    <w:rsid w:val="63332E47"/>
    <w:rsid w:val="6F6B5F9B"/>
    <w:rsid w:val="7933675D"/>
    <w:rsid w:val="79460A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3"/>
    <w:semiHidden/>
    <w:unhideWhenUsed/>
    <w:qFormat/>
    <w:uiPriority w:val="99"/>
    <w:pPr>
      <w:jc w:val="left"/>
    </w:pPr>
  </w:style>
  <w:style w:type="paragraph" w:styleId="3">
    <w:name w:val="Plain Text"/>
    <w:basedOn w:val="1"/>
    <w:link w:val="15"/>
    <w:qFormat/>
    <w:uiPriority w:val="0"/>
    <w:rPr>
      <w:rFonts w:ascii="宋体" w:hAnsi="Courier New" w:eastAsia="宋体" w:cs="Times New Roman"/>
      <w:szCs w:val="21"/>
      <w:lang w:val="zh-CN"/>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7">
    <w:name w:val="annotation subject"/>
    <w:basedOn w:val="2"/>
    <w:next w:val="2"/>
    <w:link w:val="14"/>
    <w:semiHidden/>
    <w:unhideWhenUsed/>
    <w:qFormat/>
    <w:uiPriority w:val="99"/>
    <w:rPr>
      <w:b/>
      <w:bCs/>
    </w:rPr>
  </w:style>
  <w:style w:type="character" w:styleId="10">
    <w:name w:val="annotation reference"/>
    <w:basedOn w:val="9"/>
    <w:semiHidden/>
    <w:unhideWhenUsed/>
    <w:qFormat/>
    <w:uiPriority w:val="99"/>
    <w:rPr>
      <w:sz w:val="21"/>
      <w:szCs w:val="21"/>
    </w:rPr>
  </w:style>
  <w:style w:type="character" w:customStyle="1" w:styleId="11">
    <w:name w:val="页眉 字符"/>
    <w:basedOn w:val="9"/>
    <w:link w:val="5"/>
    <w:qFormat/>
    <w:uiPriority w:val="99"/>
    <w:rPr>
      <w:sz w:val="18"/>
      <w:szCs w:val="18"/>
    </w:rPr>
  </w:style>
  <w:style w:type="character" w:customStyle="1" w:styleId="12">
    <w:name w:val="页脚 字符"/>
    <w:basedOn w:val="9"/>
    <w:link w:val="4"/>
    <w:qFormat/>
    <w:uiPriority w:val="99"/>
    <w:rPr>
      <w:sz w:val="18"/>
      <w:szCs w:val="18"/>
    </w:rPr>
  </w:style>
  <w:style w:type="character" w:customStyle="1" w:styleId="13">
    <w:name w:val="批注文字 字符"/>
    <w:basedOn w:val="9"/>
    <w:link w:val="2"/>
    <w:semiHidden/>
    <w:qFormat/>
    <w:uiPriority w:val="99"/>
  </w:style>
  <w:style w:type="character" w:customStyle="1" w:styleId="14">
    <w:name w:val="批注主题 字符"/>
    <w:basedOn w:val="13"/>
    <w:link w:val="7"/>
    <w:semiHidden/>
    <w:qFormat/>
    <w:uiPriority w:val="99"/>
    <w:rPr>
      <w:b/>
      <w:bCs/>
    </w:rPr>
  </w:style>
  <w:style w:type="character" w:customStyle="1" w:styleId="15">
    <w:name w:val="纯文本 字符"/>
    <w:basedOn w:val="9"/>
    <w:link w:val="3"/>
    <w:qFormat/>
    <w:uiPriority w:val="0"/>
    <w:rPr>
      <w:rFonts w:ascii="宋体" w:hAnsi="Courier New" w:eastAsia="宋体" w:cs="Times New Roman"/>
      <w:szCs w:val="21"/>
      <w:lang w:val="zh-CN"/>
    </w:rPr>
  </w:style>
  <w:style w:type="paragraph" w:styleId="16">
    <w:name w:val="List Paragraph"/>
    <w:basedOn w:val="1"/>
    <w:qFormat/>
    <w:uiPriority w:val="34"/>
    <w:pPr>
      <w:ind w:firstLine="420" w:firstLineChars="200"/>
    </w:pPr>
    <w:rPr>
      <w:rFonts w:ascii="Calibri" w:hAnsi="Calibri" w:eastAsia="宋体" w:cs="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1996</Words>
  <Characters>2082</Characters>
  <Lines>15</Lines>
  <Paragraphs>4</Paragraphs>
  <TotalTime>1</TotalTime>
  <ScaleCrop>false</ScaleCrop>
  <LinksUpToDate>false</LinksUpToDate>
  <CharactersWithSpaces>2085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2022-06-09T06:16:00Z</dcterms:created>
  <dc:creator>zzc</dc:creator>
  <cp:lastModifiedBy>l</cp:lastModifiedBy>
  <cp:lastPrinted>2025-06-23T08:35:00Z</cp:lastPrinted>
  <dcterms:modified xsi:type="dcterms:W3CDTF">2025-07-24T08:35:16Z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6C576D2B3F954641B71E4D865053AD79_12</vt:lpwstr>
  </property>
  <property fmtid="{D5CDD505-2E9C-101B-9397-08002B2CF9AE}" pid="4" name="KSOTemplateDocerSaveRecord">
    <vt:lpwstr>eyJoZGlkIjoiZmY5ZjY0NjFhYTdhM2E1MjM3YmYxNDBkNWE3NzU4OGUiLCJ1c2VySWQiOiI5NzY4NjUwOTYifQ==</vt:lpwstr>
  </property>
</Properties>
</file>