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63837">
      <w:pPr>
        <w:spacing w:line="360" w:lineRule="auto"/>
        <w:jc w:val="right"/>
        <w:rPr>
          <w:rFonts w:ascii="宋体" w:hAnsi="宋体" w:cs="宋体"/>
          <w:b/>
          <w:bCs/>
          <w:color w:val="auto"/>
          <w:sz w:val="28"/>
          <w:szCs w:val="28"/>
          <w:highlight w:val="none"/>
        </w:rPr>
      </w:pPr>
    </w:p>
    <w:p w14:paraId="4A25E99C">
      <w:pPr>
        <w:spacing w:line="360" w:lineRule="auto"/>
        <w:jc w:val="right"/>
        <w:rPr>
          <w:rFonts w:hint="eastAsia" w:ascii="宋体" w:hAnsi="宋体" w:eastAsia="宋体" w:cs="宋体"/>
          <w:color w:val="auto"/>
          <w:sz w:val="40"/>
          <w:szCs w:val="40"/>
          <w:highlight w:val="none"/>
          <w:lang w:eastAsia="zh-CN"/>
        </w:rPr>
      </w:pPr>
      <w:r>
        <w:rPr>
          <w:rFonts w:hint="eastAsia" w:ascii="宋体" w:hAnsi="宋体" w:cs="宋体"/>
          <w:b/>
          <w:bCs/>
          <w:color w:val="auto"/>
          <w:sz w:val="40"/>
          <w:szCs w:val="40"/>
          <w:highlight w:val="none"/>
          <w:lang w:eastAsia="zh-CN"/>
        </w:rPr>
        <w:t>JSSDZX-2025202号</w:t>
      </w:r>
    </w:p>
    <w:p w14:paraId="35D96FAD">
      <w:pPr>
        <w:spacing w:line="360" w:lineRule="auto"/>
        <w:rPr>
          <w:rFonts w:ascii="宋体" w:hAnsi="宋体" w:cs="宋体"/>
          <w:b/>
          <w:bCs/>
          <w:color w:val="auto"/>
          <w:sz w:val="36"/>
          <w:szCs w:val="36"/>
          <w:highlight w:val="none"/>
        </w:rPr>
      </w:pPr>
    </w:p>
    <w:p w14:paraId="61CD3256">
      <w:pPr>
        <w:jc w:val="center"/>
        <w:rPr>
          <w:rFonts w:ascii="宋体" w:hAnsi="宋体" w:cs="宋体"/>
          <w:b/>
          <w:bCs/>
          <w:snapToGrid w:val="0"/>
          <w:color w:val="auto"/>
          <w:kern w:val="0"/>
          <w:sz w:val="44"/>
          <w:szCs w:val="44"/>
          <w:highlight w:val="none"/>
        </w:rPr>
      </w:pPr>
      <w:r>
        <w:rPr>
          <w:rFonts w:hint="eastAsia" w:ascii="宋体" w:hAnsi="宋体" w:cs="宋体"/>
          <w:b/>
          <w:bCs/>
          <w:snapToGrid w:val="0"/>
          <w:color w:val="auto"/>
          <w:kern w:val="0"/>
          <w:sz w:val="44"/>
          <w:szCs w:val="44"/>
          <w:highlight w:val="none"/>
        </w:rPr>
        <w:t>西湖皮革厂土壤修复项目效果评估</w:t>
      </w:r>
    </w:p>
    <w:p w14:paraId="68FF3B08">
      <w:pPr>
        <w:spacing w:line="360" w:lineRule="auto"/>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竞争性磋商文件</w:t>
      </w:r>
    </w:p>
    <w:p w14:paraId="3A278D75">
      <w:pPr>
        <w:spacing w:line="360" w:lineRule="auto"/>
        <w:jc w:val="center"/>
        <w:rPr>
          <w:rFonts w:ascii="宋体" w:hAnsi="宋体" w:cs="宋体"/>
          <w:b/>
          <w:bCs/>
          <w:color w:val="auto"/>
          <w:sz w:val="36"/>
          <w:szCs w:val="36"/>
          <w:highlight w:val="none"/>
        </w:rPr>
      </w:pPr>
    </w:p>
    <w:p w14:paraId="03889035">
      <w:pPr>
        <w:jc w:val="center"/>
        <w:rPr>
          <w:color w:val="auto"/>
          <w:highlight w:val="none"/>
        </w:rPr>
      </w:pPr>
      <w:r>
        <w:rPr>
          <w:color w:val="auto"/>
          <w:highlight w:val="none"/>
        </w:rPr>
        <w:drawing>
          <wp:inline distT="0" distB="0" distL="0" distR="0">
            <wp:extent cx="5417185" cy="3605530"/>
            <wp:effectExtent l="0" t="0" r="0" b="0"/>
            <wp:docPr id="1" name="图片 1" descr="C:\Users\jslx_\AppData\Local\Temp\ksohtml2119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slx_\AppData\Local\Temp\ksohtml21196\wps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17185" cy="3605530"/>
                    </a:xfrm>
                    <a:prstGeom prst="rect">
                      <a:avLst/>
                    </a:prstGeom>
                    <a:noFill/>
                    <a:ln>
                      <a:noFill/>
                    </a:ln>
                  </pic:spPr>
                </pic:pic>
              </a:graphicData>
            </a:graphic>
          </wp:inline>
        </w:drawing>
      </w:r>
    </w:p>
    <w:p w14:paraId="1E3FF6CC">
      <w:pPr>
        <w:spacing w:line="360" w:lineRule="auto"/>
        <w:jc w:val="center"/>
        <w:rPr>
          <w:rFonts w:ascii="宋体" w:hAnsi="宋体" w:cs="宋体"/>
          <w:color w:val="auto"/>
          <w:sz w:val="36"/>
          <w:highlight w:val="none"/>
        </w:rPr>
      </w:pPr>
    </w:p>
    <w:p w14:paraId="1E192366">
      <w:pPr>
        <w:spacing w:line="360" w:lineRule="auto"/>
        <w:rPr>
          <w:rFonts w:ascii="宋体" w:hAnsi="宋体" w:cs="宋体"/>
          <w:b/>
          <w:bCs/>
          <w:color w:val="auto"/>
          <w:sz w:val="32"/>
          <w:szCs w:val="32"/>
          <w:highlight w:val="none"/>
        </w:rPr>
      </w:pPr>
    </w:p>
    <w:p w14:paraId="6601B713">
      <w:pPr>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采购人：扬州锦汇置业投资有限公司</w:t>
      </w:r>
    </w:p>
    <w:p w14:paraId="12E0C33F">
      <w:pPr>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采购代理机构：江苏时代投资咨询有限公司</w:t>
      </w:r>
    </w:p>
    <w:p w14:paraId="59FAEA61">
      <w:pPr>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发 放 日 期：2025年</w:t>
      </w:r>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月</w:t>
      </w:r>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 xml:space="preserve">日 </w:t>
      </w:r>
      <w:bookmarkStart w:id="0" w:name="_Toc515373929"/>
    </w:p>
    <w:p w14:paraId="1D74C54F">
      <w:pPr>
        <w:spacing w:line="360" w:lineRule="auto"/>
        <w:ind w:firstLine="480" w:firstLineChars="200"/>
        <w:jc w:val="center"/>
        <w:rPr>
          <w:rFonts w:ascii="宋体" w:hAnsi="宋体" w:cs="宋体"/>
          <w:color w:val="auto"/>
          <w:sz w:val="24"/>
          <w:szCs w:val="24"/>
          <w:highlight w:val="none"/>
        </w:rPr>
        <w:sectPr>
          <w:headerReference r:id="rId3" w:type="default"/>
          <w:footerReference r:id="rId4" w:type="default"/>
          <w:type w:val="continuous"/>
          <w:pgSz w:w="11906" w:h="16838"/>
          <w:pgMar w:top="1440" w:right="1080" w:bottom="1440" w:left="1080" w:header="851" w:footer="992" w:gutter="0"/>
          <w:cols w:space="720" w:num="1"/>
          <w:docGrid w:type="lines" w:linePitch="317" w:charSpace="0"/>
        </w:sectPr>
      </w:pPr>
    </w:p>
    <w:p w14:paraId="21AF248B">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目录</w:t>
      </w:r>
    </w:p>
    <w:p w14:paraId="2D3DAE71">
      <w:pPr>
        <w:pStyle w:val="16"/>
        <w:tabs>
          <w:tab w:val="right" w:leader="dot" w:pos="9746"/>
        </w:tabs>
        <w:spacing w:line="360" w:lineRule="auto"/>
        <w:rPr>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TOC \o "1-1" \h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"_Toc19737" </w:instrText>
      </w:r>
      <w:r>
        <w:rPr>
          <w:color w:val="auto"/>
          <w:highlight w:val="none"/>
        </w:rPr>
        <w:fldChar w:fldCharType="separate"/>
      </w:r>
      <w:r>
        <w:rPr>
          <w:rFonts w:hint="eastAsia" w:ascii="宋体" w:hAnsi="宋体" w:cs="宋体"/>
          <w:color w:val="auto"/>
          <w:szCs w:val="21"/>
          <w:highlight w:val="none"/>
        </w:rPr>
        <w:t>第一章 竞争性磋商公告</w:t>
      </w:r>
      <w:r>
        <w:rPr>
          <w:color w:val="auto"/>
          <w:szCs w:val="21"/>
          <w:highlight w:val="none"/>
        </w:rPr>
        <w:tab/>
      </w:r>
      <w:r>
        <w:rPr>
          <w:color w:val="auto"/>
          <w:szCs w:val="21"/>
          <w:highlight w:val="none"/>
        </w:rPr>
        <w:fldChar w:fldCharType="begin"/>
      </w:r>
      <w:r>
        <w:rPr>
          <w:color w:val="auto"/>
          <w:szCs w:val="21"/>
          <w:highlight w:val="none"/>
        </w:rPr>
        <w:instrText xml:space="preserve"> PAGEREF _Toc19737 \h </w:instrText>
      </w:r>
      <w:r>
        <w:rPr>
          <w:color w:val="auto"/>
          <w:szCs w:val="21"/>
          <w:highlight w:val="none"/>
        </w:rPr>
        <w:fldChar w:fldCharType="separate"/>
      </w:r>
      <w:r>
        <w:rPr>
          <w:color w:val="auto"/>
          <w:szCs w:val="21"/>
          <w:highlight w:val="none"/>
        </w:rPr>
        <w:t>1</w:t>
      </w:r>
      <w:r>
        <w:rPr>
          <w:color w:val="auto"/>
          <w:szCs w:val="21"/>
          <w:highlight w:val="none"/>
        </w:rPr>
        <w:fldChar w:fldCharType="end"/>
      </w:r>
      <w:r>
        <w:rPr>
          <w:color w:val="auto"/>
          <w:szCs w:val="21"/>
          <w:highlight w:val="none"/>
        </w:rPr>
        <w:fldChar w:fldCharType="end"/>
      </w:r>
    </w:p>
    <w:p w14:paraId="563D2D4F">
      <w:pPr>
        <w:pStyle w:val="16"/>
        <w:tabs>
          <w:tab w:val="right" w:leader="dot" w:pos="9746"/>
        </w:tabs>
        <w:spacing w:line="360" w:lineRule="auto"/>
        <w:rPr>
          <w:color w:val="auto"/>
          <w:szCs w:val="21"/>
          <w:highlight w:val="none"/>
        </w:rPr>
      </w:pPr>
      <w:r>
        <w:rPr>
          <w:color w:val="auto"/>
          <w:highlight w:val="none"/>
        </w:rPr>
        <w:fldChar w:fldCharType="begin"/>
      </w:r>
      <w:r>
        <w:rPr>
          <w:color w:val="auto"/>
          <w:highlight w:val="none"/>
        </w:rPr>
        <w:instrText xml:space="preserve"> HYPERLINK \l "_Toc24522" </w:instrText>
      </w:r>
      <w:r>
        <w:rPr>
          <w:color w:val="auto"/>
          <w:highlight w:val="none"/>
        </w:rPr>
        <w:fldChar w:fldCharType="separate"/>
      </w:r>
      <w:r>
        <w:rPr>
          <w:rFonts w:hint="eastAsia" w:ascii="宋体" w:hAnsi="宋体" w:cs="宋体"/>
          <w:color w:val="auto"/>
          <w:szCs w:val="21"/>
          <w:highlight w:val="none"/>
        </w:rPr>
        <w:t>第二章  磋商须知</w:t>
      </w:r>
      <w:r>
        <w:rPr>
          <w:color w:val="auto"/>
          <w:szCs w:val="21"/>
          <w:highlight w:val="none"/>
        </w:rPr>
        <w:tab/>
      </w:r>
      <w:r>
        <w:rPr>
          <w:color w:val="auto"/>
          <w:szCs w:val="21"/>
          <w:highlight w:val="none"/>
        </w:rPr>
        <w:fldChar w:fldCharType="begin"/>
      </w:r>
      <w:r>
        <w:rPr>
          <w:color w:val="auto"/>
          <w:szCs w:val="21"/>
          <w:highlight w:val="none"/>
        </w:rPr>
        <w:instrText xml:space="preserve"> PAGEREF _Toc24522 \h </w:instrText>
      </w:r>
      <w:r>
        <w:rPr>
          <w:color w:val="auto"/>
          <w:szCs w:val="21"/>
          <w:highlight w:val="none"/>
        </w:rPr>
        <w:fldChar w:fldCharType="separate"/>
      </w:r>
      <w:r>
        <w:rPr>
          <w:color w:val="auto"/>
          <w:szCs w:val="21"/>
          <w:highlight w:val="none"/>
        </w:rPr>
        <w:t>4</w:t>
      </w:r>
      <w:r>
        <w:rPr>
          <w:color w:val="auto"/>
          <w:szCs w:val="21"/>
          <w:highlight w:val="none"/>
        </w:rPr>
        <w:fldChar w:fldCharType="end"/>
      </w:r>
      <w:r>
        <w:rPr>
          <w:color w:val="auto"/>
          <w:szCs w:val="21"/>
          <w:highlight w:val="none"/>
        </w:rPr>
        <w:fldChar w:fldCharType="end"/>
      </w:r>
    </w:p>
    <w:p w14:paraId="26A6B0C9">
      <w:pPr>
        <w:pStyle w:val="16"/>
        <w:tabs>
          <w:tab w:val="right" w:leader="dot" w:pos="9746"/>
        </w:tabs>
        <w:spacing w:line="360" w:lineRule="auto"/>
        <w:rPr>
          <w:color w:val="auto"/>
          <w:szCs w:val="21"/>
          <w:highlight w:val="none"/>
        </w:rPr>
      </w:pPr>
      <w:r>
        <w:rPr>
          <w:color w:val="auto"/>
          <w:highlight w:val="none"/>
        </w:rPr>
        <w:fldChar w:fldCharType="begin"/>
      </w:r>
      <w:r>
        <w:rPr>
          <w:color w:val="auto"/>
          <w:highlight w:val="none"/>
        </w:rPr>
        <w:instrText xml:space="preserve"> HYPERLINK \l "_Toc23227" </w:instrText>
      </w:r>
      <w:r>
        <w:rPr>
          <w:color w:val="auto"/>
          <w:highlight w:val="none"/>
        </w:rPr>
        <w:fldChar w:fldCharType="separate"/>
      </w:r>
      <w:r>
        <w:rPr>
          <w:rFonts w:hint="eastAsia" w:ascii="宋体" w:hAnsi="宋体" w:cs="宋体"/>
          <w:color w:val="auto"/>
          <w:szCs w:val="21"/>
          <w:highlight w:val="none"/>
        </w:rPr>
        <w:t>第三章 合同条款及格式</w:t>
      </w:r>
      <w:r>
        <w:rPr>
          <w:color w:val="auto"/>
          <w:szCs w:val="21"/>
          <w:highlight w:val="none"/>
        </w:rPr>
        <w:tab/>
      </w:r>
      <w:r>
        <w:rPr>
          <w:color w:val="auto"/>
          <w:szCs w:val="21"/>
          <w:highlight w:val="none"/>
        </w:rPr>
        <w:fldChar w:fldCharType="begin"/>
      </w:r>
      <w:r>
        <w:rPr>
          <w:color w:val="auto"/>
          <w:szCs w:val="21"/>
          <w:highlight w:val="none"/>
        </w:rPr>
        <w:instrText xml:space="preserve"> PAGEREF _Toc23227 \h </w:instrText>
      </w:r>
      <w:r>
        <w:rPr>
          <w:color w:val="auto"/>
          <w:szCs w:val="21"/>
          <w:highlight w:val="none"/>
        </w:rPr>
        <w:fldChar w:fldCharType="separate"/>
      </w:r>
      <w:r>
        <w:rPr>
          <w:color w:val="auto"/>
          <w:szCs w:val="21"/>
          <w:highlight w:val="none"/>
        </w:rPr>
        <w:t>13</w:t>
      </w:r>
      <w:r>
        <w:rPr>
          <w:color w:val="auto"/>
          <w:szCs w:val="21"/>
          <w:highlight w:val="none"/>
        </w:rPr>
        <w:fldChar w:fldCharType="end"/>
      </w:r>
      <w:r>
        <w:rPr>
          <w:color w:val="auto"/>
          <w:szCs w:val="21"/>
          <w:highlight w:val="none"/>
        </w:rPr>
        <w:fldChar w:fldCharType="end"/>
      </w:r>
    </w:p>
    <w:p w14:paraId="4BD1805D">
      <w:pPr>
        <w:pStyle w:val="16"/>
        <w:tabs>
          <w:tab w:val="right" w:leader="dot" w:pos="9746"/>
        </w:tabs>
        <w:spacing w:line="360" w:lineRule="auto"/>
        <w:rPr>
          <w:color w:val="auto"/>
          <w:szCs w:val="21"/>
          <w:highlight w:val="none"/>
        </w:rPr>
      </w:pPr>
      <w:r>
        <w:rPr>
          <w:color w:val="auto"/>
          <w:highlight w:val="none"/>
        </w:rPr>
        <w:fldChar w:fldCharType="begin"/>
      </w:r>
      <w:r>
        <w:rPr>
          <w:color w:val="auto"/>
          <w:highlight w:val="none"/>
        </w:rPr>
        <w:instrText xml:space="preserve"> HYPERLINK \l "_Toc14793" </w:instrText>
      </w:r>
      <w:r>
        <w:rPr>
          <w:color w:val="auto"/>
          <w:highlight w:val="none"/>
        </w:rPr>
        <w:fldChar w:fldCharType="separate"/>
      </w:r>
      <w:r>
        <w:rPr>
          <w:rFonts w:hint="eastAsia" w:ascii="宋体" w:hAnsi="宋体" w:cs="宋体"/>
          <w:color w:val="auto"/>
          <w:szCs w:val="21"/>
          <w:highlight w:val="none"/>
        </w:rPr>
        <w:t>第四章 项目需求</w:t>
      </w:r>
      <w:r>
        <w:rPr>
          <w:color w:val="auto"/>
          <w:szCs w:val="21"/>
          <w:highlight w:val="none"/>
        </w:rPr>
        <w:tab/>
      </w:r>
      <w:r>
        <w:rPr>
          <w:color w:val="auto"/>
          <w:szCs w:val="21"/>
          <w:highlight w:val="none"/>
        </w:rPr>
        <w:fldChar w:fldCharType="begin"/>
      </w:r>
      <w:r>
        <w:rPr>
          <w:color w:val="auto"/>
          <w:szCs w:val="21"/>
          <w:highlight w:val="none"/>
        </w:rPr>
        <w:instrText xml:space="preserve"> PAGEREF _Toc14793 \h </w:instrText>
      </w:r>
      <w:r>
        <w:rPr>
          <w:color w:val="auto"/>
          <w:szCs w:val="21"/>
          <w:highlight w:val="none"/>
        </w:rPr>
        <w:fldChar w:fldCharType="separate"/>
      </w:r>
      <w:r>
        <w:rPr>
          <w:color w:val="auto"/>
          <w:szCs w:val="21"/>
          <w:highlight w:val="none"/>
        </w:rPr>
        <w:t>16</w:t>
      </w:r>
      <w:r>
        <w:rPr>
          <w:color w:val="auto"/>
          <w:szCs w:val="21"/>
          <w:highlight w:val="none"/>
        </w:rPr>
        <w:fldChar w:fldCharType="end"/>
      </w:r>
      <w:r>
        <w:rPr>
          <w:color w:val="auto"/>
          <w:szCs w:val="21"/>
          <w:highlight w:val="none"/>
        </w:rPr>
        <w:fldChar w:fldCharType="end"/>
      </w:r>
    </w:p>
    <w:p w14:paraId="62357CB2">
      <w:pPr>
        <w:pStyle w:val="16"/>
        <w:tabs>
          <w:tab w:val="right" w:leader="dot" w:pos="9746"/>
        </w:tabs>
        <w:spacing w:line="360" w:lineRule="auto"/>
        <w:rPr>
          <w:color w:val="auto"/>
          <w:szCs w:val="21"/>
          <w:highlight w:val="none"/>
        </w:rPr>
      </w:pPr>
      <w:r>
        <w:rPr>
          <w:color w:val="auto"/>
          <w:highlight w:val="none"/>
        </w:rPr>
        <w:fldChar w:fldCharType="begin"/>
      </w:r>
      <w:r>
        <w:rPr>
          <w:color w:val="auto"/>
          <w:highlight w:val="none"/>
        </w:rPr>
        <w:instrText xml:space="preserve"> HYPERLINK \l "_Toc12848" </w:instrText>
      </w:r>
      <w:r>
        <w:rPr>
          <w:color w:val="auto"/>
          <w:highlight w:val="none"/>
        </w:rPr>
        <w:fldChar w:fldCharType="separate"/>
      </w:r>
      <w:r>
        <w:rPr>
          <w:rFonts w:hint="eastAsia" w:ascii="宋体" w:hAnsi="宋体" w:cs="宋体"/>
          <w:color w:val="auto"/>
          <w:szCs w:val="21"/>
          <w:highlight w:val="none"/>
        </w:rPr>
        <w:t>第五章 评标方法及评标标准</w:t>
      </w:r>
      <w:r>
        <w:rPr>
          <w:color w:val="auto"/>
          <w:szCs w:val="21"/>
          <w:highlight w:val="none"/>
        </w:rPr>
        <w:tab/>
      </w:r>
      <w:r>
        <w:rPr>
          <w:color w:val="auto"/>
          <w:szCs w:val="21"/>
          <w:highlight w:val="none"/>
        </w:rPr>
        <w:fldChar w:fldCharType="begin"/>
      </w:r>
      <w:r>
        <w:rPr>
          <w:color w:val="auto"/>
          <w:szCs w:val="21"/>
          <w:highlight w:val="none"/>
        </w:rPr>
        <w:instrText xml:space="preserve"> PAGEREF _Toc12848 \h </w:instrText>
      </w:r>
      <w:r>
        <w:rPr>
          <w:color w:val="auto"/>
          <w:szCs w:val="21"/>
          <w:highlight w:val="none"/>
        </w:rPr>
        <w:fldChar w:fldCharType="separate"/>
      </w:r>
      <w:r>
        <w:rPr>
          <w:color w:val="auto"/>
          <w:szCs w:val="21"/>
          <w:highlight w:val="none"/>
        </w:rPr>
        <w:t>1</w:t>
      </w:r>
      <w:r>
        <w:rPr>
          <w:rFonts w:hint="eastAsia"/>
          <w:color w:val="auto"/>
          <w:szCs w:val="21"/>
          <w:highlight w:val="none"/>
          <w:lang w:val="en-US" w:eastAsia="zh-CN"/>
        </w:rPr>
        <w:t>8</w:t>
      </w:r>
      <w:r>
        <w:rPr>
          <w:color w:val="auto"/>
          <w:szCs w:val="21"/>
          <w:highlight w:val="none"/>
        </w:rPr>
        <w:fldChar w:fldCharType="end"/>
      </w:r>
      <w:r>
        <w:rPr>
          <w:color w:val="auto"/>
          <w:szCs w:val="21"/>
          <w:highlight w:val="none"/>
        </w:rPr>
        <w:fldChar w:fldCharType="end"/>
      </w:r>
    </w:p>
    <w:p w14:paraId="7EAEC788">
      <w:pPr>
        <w:pStyle w:val="16"/>
        <w:tabs>
          <w:tab w:val="right" w:leader="dot" w:pos="9746"/>
        </w:tabs>
        <w:spacing w:line="360" w:lineRule="auto"/>
        <w:rPr>
          <w:color w:val="auto"/>
          <w:szCs w:val="21"/>
          <w:highlight w:val="none"/>
        </w:rPr>
      </w:pPr>
      <w:r>
        <w:rPr>
          <w:color w:val="auto"/>
          <w:highlight w:val="none"/>
        </w:rPr>
        <w:fldChar w:fldCharType="begin"/>
      </w:r>
      <w:r>
        <w:rPr>
          <w:color w:val="auto"/>
          <w:highlight w:val="none"/>
        </w:rPr>
        <w:instrText xml:space="preserve"> HYPERLINK \l "_Toc14519" </w:instrText>
      </w:r>
      <w:r>
        <w:rPr>
          <w:color w:val="auto"/>
          <w:highlight w:val="none"/>
        </w:rPr>
        <w:fldChar w:fldCharType="separate"/>
      </w:r>
      <w:r>
        <w:rPr>
          <w:rFonts w:hint="eastAsia" w:ascii="宋体" w:hAnsi="宋体" w:cs="宋体"/>
          <w:color w:val="auto"/>
          <w:szCs w:val="21"/>
          <w:highlight w:val="none"/>
        </w:rPr>
        <w:t>第六章 竞争性磋商响应文件格式</w:t>
      </w:r>
      <w:r>
        <w:rPr>
          <w:color w:val="auto"/>
          <w:szCs w:val="21"/>
          <w:highlight w:val="none"/>
        </w:rPr>
        <w:tab/>
      </w:r>
      <w:r>
        <w:rPr>
          <w:color w:val="auto"/>
          <w:szCs w:val="21"/>
          <w:highlight w:val="none"/>
        </w:rPr>
        <w:fldChar w:fldCharType="begin"/>
      </w:r>
      <w:r>
        <w:rPr>
          <w:color w:val="auto"/>
          <w:szCs w:val="21"/>
          <w:highlight w:val="none"/>
        </w:rPr>
        <w:instrText xml:space="preserve"> PAGEREF _Toc14519 \h </w:instrText>
      </w:r>
      <w:r>
        <w:rPr>
          <w:color w:val="auto"/>
          <w:szCs w:val="21"/>
          <w:highlight w:val="none"/>
        </w:rPr>
        <w:fldChar w:fldCharType="separate"/>
      </w:r>
      <w:r>
        <w:rPr>
          <w:color w:val="auto"/>
          <w:szCs w:val="21"/>
          <w:highlight w:val="none"/>
        </w:rPr>
        <w:t>21</w:t>
      </w:r>
      <w:r>
        <w:rPr>
          <w:color w:val="auto"/>
          <w:szCs w:val="21"/>
          <w:highlight w:val="none"/>
        </w:rPr>
        <w:fldChar w:fldCharType="end"/>
      </w:r>
      <w:r>
        <w:rPr>
          <w:color w:val="auto"/>
          <w:szCs w:val="21"/>
          <w:highlight w:val="none"/>
        </w:rPr>
        <w:fldChar w:fldCharType="end"/>
      </w:r>
    </w:p>
    <w:p w14:paraId="5EA008B1">
      <w:pPr>
        <w:spacing w:line="360" w:lineRule="auto"/>
        <w:ind w:firstLine="420" w:firstLineChars="200"/>
        <w:rPr>
          <w:color w:val="auto"/>
          <w:highlight w:val="none"/>
        </w:rPr>
      </w:pPr>
      <w:r>
        <w:rPr>
          <w:rFonts w:hint="eastAsia" w:ascii="宋体" w:hAnsi="宋体" w:cs="宋体"/>
          <w:color w:val="auto"/>
          <w:szCs w:val="21"/>
          <w:highlight w:val="none"/>
        </w:rPr>
        <w:fldChar w:fldCharType="end"/>
      </w:r>
    </w:p>
    <w:p w14:paraId="67980D3D">
      <w:pPr>
        <w:rPr>
          <w:color w:val="auto"/>
          <w:highlight w:val="none"/>
        </w:rPr>
      </w:pPr>
    </w:p>
    <w:p w14:paraId="3EE6659C">
      <w:pPr>
        <w:pStyle w:val="4"/>
        <w:numPr>
          <w:ilvl w:val="0"/>
          <w:numId w:val="2"/>
        </w:numPr>
        <w:spacing w:before="0" w:after="0" w:line="360" w:lineRule="auto"/>
        <w:jc w:val="center"/>
        <w:rPr>
          <w:rFonts w:ascii="宋体" w:hAnsi="宋体" w:cs="宋体"/>
          <w:color w:val="auto"/>
          <w:sz w:val="36"/>
          <w:highlight w:val="none"/>
        </w:rPr>
        <w:sectPr>
          <w:footerReference r:id="rId5" w:type="default"/>
          <w:pgSz w:w="11906" w:h="16838"/>
          <w:pgMar w:top="1440" w:right="1080" w:bottom="1440" w:left="1080" w:header="851" w:footer="992" w:gutter="0"/>
          <w:pgNumType w:start="1"/>
          <w:cols w:space="720" w:num="1"/>
          <w:docGrid w:type="lines" w:linePitch="317" w:charSpace="0"/>
        </w:sectPr>
      </w:pPr>
      <w:bookmarkStart w:id="163" w:name="_GoBack"/>
      <w:bookmarkEnd w:id="163"/>
    </w:p>
    <w:p w14:paraId="42DD3715">
      <w:pPr>
        <w:pStyle w:val="4"/>
        <w:numPr>
          <w:ilvl w:val="0"/>
          <w:numId w:val="2"/>
        </w:numPr>
        <w:spacing w:before="0" w:after="0" w:line="360" w:lineRule="auto"/>
        <w:jc w:val="center"/>
        <w:rPr>
          <w:rFonts w:ascii="宋体" w:hAnsi="宋体" w:cs="宋体"/>
          <w:color w:val="auto"/>
          <w:sz w:val="36"/>
          <w:highlight w:val="none"/>
        </w:rPr>
      </w:pPr>
      <w:r>
        <w:rPr>
          <w:rFonts w:hint="eastAsia" w:ascii="宋体" w:hAnsi="宋体" w:cs="宋体"/>
          <w:color w:val="auto"/>
          <w:sz w:val="36"/>
          <w:highlight w:val="none"/>
        </w:rPr>
        <w:t xml:space="preserve"> </w:t>
      </w:r>
      <w:bookmarkStart w:id="1" w:name="_Toc10007"/>
      <w:bookmarkStart w:id="2" w:name="_Toc19737"/>
      <w:r>
        <w:rPr>
          <w:rFonts w:hint="eastAsia" w:ascii="宋体" w:hAnsi="宋体" w:cs="宋体"/>
          <w:color w:val="auto"/>
          <w:sz w:val="36"/>
          <w:highlight w:val="none"/>
        </w:rPr>
        <w:t>竞争性磋商公告</w:t>
      </w:r>
      <w:bookmarkEnd w:id="0"/>
      <w:bookmarkEnd w:id="1"/>
      <w:bookmarkEnd w:id="2"/>
    </w:p>
    <w:p w14:paraId="55CAC14C">
      <w:pPr>
        <w:snapToGrid w:val="0"/>
        <w:spacing w:line="360" w:lineRule="auto"/>
        <w:ind w:firstLine="420" w:firstLineChars="200"/>
        <w:jc w:val="left"/>
        <w:rPr>
          <w:rFonts w:ascii="宋体" w:hAnsi="宋体" w:cs="宋体"/>
          <w:color w:val="auto"/>
          <w:szCs w:val="21"/>
          <w:highlight w:val="none"/>
        </w:rPr>
      </w:pPr>
      <w:bookmarkStart w:id="3" w:name="OLE_LINK16"/>
      <w:r>
        <w:rPr>
          <w:rFonts w:hint="eastAsia" w:ascii="宋体" w:hAnsi="宋体" w:cs="宋体"/>
          <w:color w:val="auto"/>
          <w:szCs w:val="21"/>
          <w:highlight w:val="none"/>
        </w:rPr>
        <w:t>受</w:t>
      </w:r>
      <w:r>
        <w:rPr>
          <w:rFonts w:hint="eastAsia" w:ascii="宋体" w:hAnsi="宋体" w:cs="宋体"/>
          <w:color w:val="auto"/>
          <w:szCs w:val="21"/>
          <w:highlight w:val="none"/>
          <w:u w:val="single"/>
        </w:rPr>
        <w:t>扬州锦汇置业投资有限公司</w:t>
      </w:r>
      <w:r>
        <w:rPr>
          <w:rFonts w:hint="eastAsia" w:ascii="宋体" w:hAnsi="宋体" w:cs="宋体"/>
          <w:color w:val="auto"/>
          <w:szCs w:val="21"/>
          <w:highlight w:val="none"/>
        </w:rPr>
        <w:t>的委托，</w:t>
      </w:r>
      <w:r>
        <w:rPr>
          <w:rFonts w:hint="eastAsia" w:ascii="宋体" w:hAnsi="宋体" w:cs="宋体"/>
          <w:color w:val="auto"/>
          <w:szCs w:val="21"/>
          <w:highlight w:val="none"/>
          <w:u w:val="single"/>
        </w:rPr>
        <w:t>江苏时代投资咨询有限公司</w:t>
      </w:r>
      <w:r>
        <w:rPr>
          <w:rFonts w:hint="eastAsia" w:ascii="宋体" w:hAnsi="宋体" w:cs="宋体"/>
          <w:color w:val="auto"/>
          <w:szCs w:val="21"/>
          <w:highlight w:val="none"/>
        </w:rPr>
        <w:t>就</w:t>
      </w:r>
      <w:r>
        <w:rPr>
          <w:rFonts w:hint="eastAsia" w:ascii="宋体" w:hAnsi="宋体" w:cs="宋体"/>
          <w:color w:val="auto"/>
          <w:highlight w:val="none"/>
          <w:u w:val="single"/>
        </w:rPr>
        <w:t>西湖皮革厂土壤修复项目效果评估</w:t>
      </w:r>
      <w:r>
        <w:rPr>
          <w:rFonts w:hint="eastAsia" w:ascii="宋体" w:hAnsi="宋体" w:cs="宋体"/>
          <w:color w:val="auto"/>
          <w:szCs w:val="21"/>
          <w:highlight w:val="none"/>
        </w:rPr>
        <w:t>（编号：JSSDZX-2025</w:t>
      </w:r>
      <w:r>
        <w:rPr>
          <w:rFonts w:hint="eastAsia" w:ascii="宋体" w:hAnsi="宋体" w:cs="宋体"/>
          <w:color w:val="auto"/>
          <w:szCs w:val="21"/>
          <w:highlight w:val="none"/>
          <w:lang w:val="en-US" w:eastAsia="zh-CN"/>
        </w:rPr>
        <w:t>202</w:t>
      </w:r>
      <w:r>
        <w:rPr>
          <w:rFonts w:hint="eastAsia" w:ascii="宋体" w:hAnsi="宋体" w:cs="宋体"/>
          <w:color w:val="auto"/>
          <w:szCs w:val="21"/>
          <w:highlight w:val="none"/>
        </w:rPr>
        <w:t>号）进行竞争性磋商采购，现欢迎符合相关条件的供应商参加磋商。</w:t>
      </w:r>
    </w:p>
    <w:p w14:paraId="2FF93FB9">
      <w:pPr>
        <w:pBdr>
          <w:top w:val="single" w:color="auto" w:sz="4" w:space="1"/>
          <w:left w:val="single" w:color="auto" w:sz="4" w:space="4"/>
          <w:bottom w:val="single" w:color="auto" w:sz="4" w:space="1"/>
          <w:right w:val="single" w:color="auto" w:sz="4" w:space="4"/>
        </w:pBd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项目概况：</w:t>
      </w:r>
    </w:p>
    <w:p w14:paraId="56F81F62">
      <w:pPr>
        <w:pBdr>
          <w:top w:val="single" w:color="auto" w:sz="4" w:space="1"/>
          <w:left w:val="single" w:color="auto" w:sz="4" w:space="4"/>
          <w:bottom w:val="single" w:color="auto" w:sz="4" w:space="1"/>
          <w:right w:val="single" w:color="auto" w:sz="4" w:space="4"/>
        </w:pBdr>
        <w:adjustRightInd w:val="0"/>
        <w:snapToGrid w:val="0"/>
        <w:spacing w:line="360" w:lineRule="auto"/>
        <w:ind w:firstLine="315" w:firstLineChars="150"/>
        <w:rPr>
          <w:rFonts w:ascii="宋体" w:hAnsi="宋体" w:cs="宋体"/>
          <w:bCs/>
          <w:color w:val="auto"/>
          <w:szCs w:val="21"/>
          <w:highlight w:val="none"/>
          <w:u w:val="single"/>
        </w:rPr>
      </w:pPr>
      <w:r>
        <w:rPr>
          <w:rFonts w:hint="eastAsia" w:ascii="宋体" w:hAnsi="宋体" w:cs="宋体"/>
          <w:color w:val="auto"/>
          <w:highlight w:val="none"/>
          <w:u w:val="single"/>
        </w:rPr>
        <w:t>西湖皮革厂土壤修复项目效果评估</w:t>
      </w:r>
      <w:r>
        <w:rPr>
          <w:rFonts w:hint="eastAsia" w:ascii="宋体" w:hAnsi="宋体" w:cs="宋体"/>
          <w:color w:val="auto"/>
          <w:szCs w:val="21"/>
          <w:highlight w:val="none"/>
        </w:rPr>
        <w:t>的潜在供应商可在</w:t>
      </w:r>
      <w:r>
        <w:rPr>
          <w:rFonts w:hint="eastAsia"/>
          <w:color w:val="auto"/>
          <w:highlight w:val="none"/>
          <w:u w:val="single"/>
        </w:rPr>
        <w:t>“扬州市公共资源交易平台邗江分中心国企采购栏目”、“扬州维扬发展投资有限公司”网站</w:t>
      </w:r>
      <w:r>
        <w:rPr>
          <w:rFonts w:ascii="宋体" w:hAnsi="宋体" w:cs="宋体"/>
          <w:color w:val="auto"/>
          <w:kern w:val="0"/>
          <w:szCs w:val="21"/>
          <w:highlight w:val="none"/>
        </w:rPr>
        <w:t>自行下载采购文件</w:t>
      </w:r>
      <w:r>
        <w:rPr>
          <w:rFonts w:hint="eastAsia" w:ascii="宋体" w:hAnsi="宋体" w:cs="宋体"/>
          <w:color w:val="auto"/>
          <w:szCs w:val="21"/>
          <w:highlight w:val="none"/>
        </w:rPr>
        <w:t>，并于</w:t>
      </w:r>
      <w:r>
        <w:rPr>
          <w:rFonts w:hint="eastAsia" w:ascii="宋体" w:hAnsi="宋体" w:cs="宋体"/>
          <w:color w:val="auto"/>
          <w:szCs w:val="21"/>
          <w:highlight w:val="none"/>
          <w:u w:val="single"/>
        </w:rPr>
        <w:t>2025</w:t>
      </w:r>
      <w:r>
        <w:rPr>
          <w:rFonts w:hint="eastAsia" w:ascii="宋体" w:hAnsi="宋体" w:cs="宋体"/>
          <w:bCs/>
          <w:color w:val="auto"/>
          <w:szCs w:val="21"/>
          <w:highlight w:val="none"/>
          <w:u w:val="single"/>
        </w:rPr>
        <w:t>年8月</w:t>
      </w:r>
      <w:r>
        <w:rPr>
          <w:rFonts w:hint="eastAsia" w:ascii="宋体" w:hAnsi="宋体" w:cs="宋体"/>
          <w:bCs/>
          <w:color w:val="auto"/>
          <w:szCs w:val="21"/>
          <w:highlight w:val="none"/>
          <w:u w:val="single"/>
          <w:lang w:val="en-US" w:eastAsia="zh-CN"/>
        </w:rPr>
        <w:t>21</w:t>
      </w:r>
      <w:r>
        <w:rPr>
          <w:rFonts w:hint="eastAsia" w:ascii="宋体" w:hAnsi="宋体" w:cs="宋体"/>
          <w:bCs/>
          <w:color w:val="auto"/>
          <w:szCs w:val="21"/>
          <w:highlight w:val="none"/>
          <w:u w:val="single"/>
        </w:rPr>
        <w:t>日15点00分</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bookmarkStart w:id="4" w:name="_Toc28359012"/>
      <w:bookmarkStart w:id="5" w:name="_Toc35393798"/>
      <w:bookmarkStart w:id="6" w:name="_Toc35393629"/>
      <w:bookmarkStart w:id="7" w:name="_Toc28359089"/>
    </w:p>
    <w:p w14:paraId="5C1E9292">
      <w:pPr>
        <w:adjustRightInd w:val="0"/>
        <w:snapToGrid w:val="0"/>
        <w:spacing w:line="360" w:lineRule="auto"/>
        <w:ind w:firstLine="422" w:firstLineChars="200"/>
        <w:jc w:val="left"/>
        <w:rPr>
          <w:rFonts w:ascii="宋体" w:hAnsi="宋体" w:cs="宋体"/>
          <w:b/>
          <w:color w:val="auto"/>
          <w:szCs w:val="21"/>
          <w:highlight w:val="none"/>
        </w:rPr>
      </w:pPr>
      <w:bookmarkStart w:id="8" w:name="_Toc23135"/>
      <w:bookmarkStart w:id="9" w:name="_Toc10369"/>
      <w:r>
        <w:rPr>
          <w:rFonts w:hint="eastAsia" w:ascii="宋体" w:hAnsi="宋体" w:cs="宋体"/>
          <w:b/>
          <w:color w:val="auto"/>
          <w:szCs w:val="21"/>
          <w:highlight w:val="none"/>
        </w:rPr>
        <w:t>一、项目基本情况</w:t>
      </w:r>
      <w:bookmarkEnd w:id="4"/>
      <w:bookmarkEnd w:id="5"/>
      <w:bookmarkEnd w:id="6"/>
      <w:bookmarkEnd w:id="7"/>
      <w:bookmarkEnd w:id="8"/>
      <w:bookmarkEnd w:id="9"/>
    </w:p>
    <w:p w14:paraId="4E802089">
      <w:pPr>
        <w:numPr>
          <w:ilvl w:val="0"/>
          <w:numId w:val="3"/>
        </w:num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JSSDZX-2025202号</w:t>
      </w:r>
    </w:p>
    <w:p w14:paraId="5F7B0A5D">
      <w:pPr>
        <w:numPr>
          <w:ilvl w:val="0"/>
          <w:numId w:val="3"/>
        </w:num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项目名称：</w:t>
      </w:r>
      <w:bookmarkStart w:id="10" w:name="OLE_LINK2"/>
      <w:r>
        <w:rPr>
          <w:rFonts w:hint="eastAsia" w:ascii="宋体" w:hAnsi="宋体" w:cs="宋体"/>
          <w:color w:val="auto"/>
          <w:highlight w:val="none"/>
          <w:u w:val="single"/>
        </w:rPr>
        <w:t>西湖皮革厂土壤修复项目效果评估</w:t>
      </w:r>
    </w:p>
    <w:bookmarkEnd w:id="10"/>
    <w:p w14:paraId="50A06ACF">
      <w:pPr>
        <w:numPr>
          <w:ilvl w:val="0"/>
          <w:numId w:val="3"/>
        </w:num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采购方式：□竞争性谈判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竞争性磋商    □询价</w:t>
      </w:r>
    </w:p>
    <w:p w14:paraId="44B26666">
      <w:pPr>
        <w:widowControl/>
        <w:numPr>
          <w:ilvl w:val="0"/>
          <w:numId w:val="3"/>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最高投标限价：80万元，报价超过最高投标限价的为无效报价，按照无效响应处理。</w:t>
      </w:r>
    </w:p>
    <w:p w14:paraId="5C7FB740">
      <w:pPr>
        <w:numPr>
          <w:ilvl w:val="0"/>
          <w:numId w:val="3"/>
        </w:numPr>
        <w:adjustRightInd w:val="0"/>
        <w:snapToGrid w:val="0"/>
        <w:spacing w:line="360" w:lineRule="auto"/>
        <w:ind w:firstLine="420" w:firstLineChars="200"/>
        <w:jc w:val="left"/>
        <w:rPr>
          <w:rFonts w:ascii="宋体" w:hAnsi="宋体" w:cs="宋体"/>
          <w:color w:val="auto"/>
          <w:spacing w:val="-6"/>
          <w:szCs w:val="21"/>
          <w:highlight w:val="none"/>
        </w:rPr>
      </w:pPr>
      <w:r>
        <w:rPr>
          <w:rFonts w:hint="eastAsia" w:ascii="宋体" w:hAnsi="宋体" w:cs="宋体"/>
          <w:color w:val="auto"/>
          <w:szCs w:val="21"/>
          <w:highlight w:val="none"/>
        </w:rPr>
        <w:t>采购需求：详见磋商文件第四章。</w:t>
      </w:r>
    </w:p>
    <w:p w14:paraId="22FBF33B">
      <w:pPr>
        <w:numPr>
          <w:ilvl w:val="0"/>
          <w:numId w:val="3"/>
        </w:numPr>
        <w:adjustRightInd w:val="0"/>
        <w:snapToGrid w:val="0"/>
        <w:spacing w:line="360" w:lineRule="auto"/>
        <w:ind w:firstLine="420" w:firstLineChars="200"/>
        <w:jc w:val="left"/>
        <w:rPr>
          <w:rFonts w:ascii="宋体" w:hAnsi="宋体" w:cs="宋体"/>
          <w:color w:val="auto"/>
          <w:szCs w:val="21"/>
          <w:highlight w:val="none"/>
        </w:rPr>
      </w:pPr>
      <w:bookmarkStart w:id="11" w:name="_Toc28359090"/>
      <w:bookmarkStart w:id="12" w:name="_Toc35393630"/>
      <w:bookmarkStart w:id="13" w:name="_Toc28359013"/>
      <w:bookmarkStart w:id="14" w:name="_Toc35393799"/>
      <w:r>
        <w:rPr>
          <w:rFonts w:hint="eastAsia" w:ascii="宋体" w:hAnsi="宋体" w:cs="宋体"/>
          <w:color w:val="auto"/>
          <w:kern w:val="0"/>
          <w:szCs w:val="21"/>
          <w:highlight w:val="none"/>
          <w:lang w:val="zh-CN"/>
        </w:rPr>
        <w:t>本项目</w:t>
      </w:r>
      <w:r>
        <w:rPr>
          <w:rFonts w:hint="eastAsia" w:ascii="宋体" w:hAnsi="宋体" w:cs="宋体"/>
          <w:color w:val="auto"/>
          <w:kern w:val="0"/>
          <w:szCs w:val="21"/>
          <w:highlight w:val="none"/>
          <w:u w:val="single"/>
        </w:rPr>
        <w:t xml:space="preserve"> 不</w:t>
      </w:r>
      <w:r>
        <w:rPr>
          <w:rFonts w:hint="eastAsia" w:ascii="宋体" w:hAnsi="宋体" w:cs="宋体"/>
          <w:color w:val="auto"/>
          <w:kern w:val="0"/>
          <w:szCs w:val="21"/>
          <w:highlight w:val="none"/>
          <w:u w:val="single"/>
          <w:lang w:val="zh-CN"/>
        </w:rPr>
        <w:t>接受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联合体</w:t>
      </w:r>
      <w:r>
        <w:rPr>
          <w:rFonts w:hint="eastAsia" w:ascii="宋体" w:hAnsi="宋体" w:cs="宋体"/>
          <w:color w:val="auto"/>
          <w:kern w:val="1"/>
          <w:szCs w:val="21"/>
          <w:highlight w:val="none"/>
        </w:rPr>
        <w:t>磋商</w:t>
      </w:r>
      <w:r>
        <w:rPr>
          <w:rFonts w:hint="eastAsia" w:ascii="宋体" w:hAnsi="宋体" w:cs="宋体"/>
          <w:color w:val="auto"/>
          <w:szCs w:val="21"/>
          <w:highlight w:val="none"/>
        </w:rPr>
        <w:t>。</w:t>
      </w:r>
    </w:p>
    <w:p w14:paraId="558F2020">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二、申请人的资格要求：</w:t>
      </w:r>
      <w:bookmarkEnd w:id="11"/>
      <w:bookmarkEnd w:id="12"/>
      <w:bookmarkEnd w:id="13"/>
      <w:bookmarkEnd w:id="14"/>
    </w:p>
    <w:p w14:paraId="3525684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1、符合相关规定的条件，并提供下列材料：</w:t>
      </w:r>
      <w:bookmarkStart w:id="15" w:name="_Toc28359014"/>
      <w:bookmarkStart w:id="16" w:name="_Toc28359091"/>
    </w:p>
    <w:p w14:paraId="00A2E34A">
      <w:pPr>
        <w:adjustRightInd w:val="0"/>
        <w:snapToGrid w:val="0"/>
        <w:spacing w:line="360" w:lineRule="auto"/>
        <w:ind w:firstLine="420" w:firstLineChars="200"/>
        <w:jc w:val="left"/>
        <w:rPr>
          <w:rFonts w:ascii="宋体" w:hAnsi="宋体" w:cs="宋体"/>
          <w:color w:val="auto"/>
          <w:szCs w:val="21"/>
          <w:highlight w:val="none"/>
        </w:rPr>
      </w:pPr>
      <w:bookmarkStart w:id="17" w:name="OLE_LINK15"/>
      <w:r>
        <w:rPr>
          <w:rFonts w:hint="eastAsia" w:ascii="宋体" w:hAnsi="宋体" w:cs="宋体"/>
          <w:i/>
          <w:color w:val="auto"/>
          <w:szCs w:val="21"/>
          <w:highlight w:val="none"/>
        </w:rPr>
        <w:t>（1）</w:t>
      </w:r>
      <w:r>
        <w:rPr>
          <w:rFonts w:hint="eastAsia" w:ascii="宋体" w:hAnsi="宋体" w:cs="宋体"/>
          <w:i/>
          <w:color w:val="auto"/>
          <w:szCs w:val="21"/>
          <w:highlight w:val="none"/>
          <w:u w:val="single"/>
        </w:rPr>
        <w:t>磋商响应函</w:t>
      </w:r>
      <w:r>
        <w:rPr>
          <w:rFonts w:hint="eastAsia" w:ascii="宋体" w:hAnsi="宋体" w:cs="宋体"/>
          <w:b/>
          <w:i/>
          <w:color w:val="auto"/>
          <w:szCs w:val="21"/>
          <w:highlight w:val="none"/>
          <w:u w:val="single"/>
        </w:rPr>
        <w:t>(原件)；</w:t>
      </w:r>
    </w:p>
    <w:p w14:paraId="01754784">
      <w:pPr>
        <w:adjustRightInd w:val="0"/>
        <w:snapToGrid w:val="0"/>
        <w:spacing w:line="360" w:lineRule="auto"/>
        <w:ind w:firstLine="420" w:firstLineChars="200"/>
        <w:jc w:val="left"/>
        <w:rPr>
          <w:rFonts w:ascii="宋体" w:hAnsi="宋体" w:cs="宋体"/>
          <w:i/>
          <w:color w:val="auto"/>
          <w:szCs w:val="21"/>
          <w:highlight w:val="none"/>
          <w:u w:val="single"/>
        </w:rPr>
      </w:pPr>
      <w:r>
        <w:rPr>
          <w:rFonts w:hint="eastAsia" w:ascii="宋体" w:hAnsi="宋体" w:cs="宋体"/>
          <w:i/>
          <w:color w:val="auto"/>
          <w:szCs w:val="21"/>
          <w:highlight w:val="none"/>
        </w:rPr>
        <w:t>（2）</w:t>
      </w:r>
      <w:r>
        <w:rPr>
          <w:rFonts w:hint="eastAsia" w:ascii="宋体" w:hAnsi="宋体" w:cs="宋体"/>
          <w:i/>
          <w:color w:val="auto"/>
          <w:szCs w:val="21"/>
          <w:highlight w:val="none"/>
          <w:u w:val="single"/>
        </w:rPr>
        <w:t>资格声明</w:t>
      </w:r>
      <w:r>
        <w:rPr>
          <w:rFonts w:hint="eastAsia" w:ascii="宋体" w:hAnsi="宋体" w:cs="宋体"/>
          <w:b/>
          <w:i/>
          <w:color w:val="auto"/>
          <w:szCs w:val="21"/>
          <w:highlight w:val="none"/>
          <w:u w:val="single"/>
        </w:rPr>
        <w:t>(原件)；</w:t>
      </w:r>
    </w:p>
    <w:p w14:paraId="677853F8">
      <w:pPr>
        <w:adjustRightInd w:val="0"/>
        <w:snapToGrid w:val="0"/>
        <w:spacing w:line="360" w:lineRule="auto"/>
        <w:ind w:firstLine="420" w:firstLineChars="200"/>
        <w:jc w:val="left"/>
        <w:rPr>
          <w:rFonts w:ascii="宋体" w:hAnsi="宋体" w:cs="宋体"/>
          <w:bCs/>
          <w:i/>
          <w:color w:val="auto"/>
          <w:szCs w:val="21"/>
          <w:highlight w:val="none"/>
          <w:u w:val="single"/>
        </w:rPr>
      </w:pPr>
      <w:r>
        <w:rPr>
          <w:rFonts w:hint="eastAsia" w:ascii="宋体" w:hAnsi="宋体" w:cs="宋体"/>
          <w:i/>
          <w:color w:val="auto"/>
          <w:szCs w:val="21"/>
          <w:highlight w:val="none"/>
        </w:rPr>
        <w:t>（3）</w:t>
      </w:r>
      <w:r>
        <w:rPr>
          <w:rFonts w:hint="eastAsia" w:ascii="宋体" w:hAnsi="宋体" w:cs="宋体"/>
          <w:i/>
          <w:color w:val="auto"/>
          <w:szCs w:val="21"/>
          <w:highlight w:val="none"/>
          <w:u w:val="single"/>
        </w:rPr>
        <w:t>若法定代表人参加磋商的，须提供本人身份证复印件加盖供应商公章(原件备查)；若授权代表参加的，须提供《法人授权书》原件和授权代表身份证复印件加盖供应商公章（原件备查）；</w:t>
      </w:r>
    </w:p>
    <w:p w14:paraId="37183D8A">
      <w:pPr>
        <w:adjustRightInd w:val="0"/>
        <w:snapToGrid w:val="0"/>
        <w:spacing w:line="360" w:lineRule="auto"/>
        <w:ind w:firstLine="420" w:firstLineChars="200"/>
        <w:jc w:val="left"/>
        <w:rPr>
          <w:rFonts w:ascii="宋体" w:hAnsi="宋体" w:cs="宋体"/>
          <w:i/>
          <w:color w:val="auto"/>
          <w:szCs w:val="21"/>
          <w:highlight w:val="none"/>
          <w:u w:val="single"/>
        </w:rPr>
      </w:pPr>
      <w:r>
        <w:rPr>
          <w:rFonts w:hint="eastAsia" w:ascii="宋体" w:hAnsi="宋体" w:cs="宋体"/>
          <w:i/>
          <w:color w:val="auto"/>
          <w:szCs w:val="21"/>
          <w:highlight w:val="none"/>
        </w:rPr>
        <w:t>（4）</w:t>
      </w:r>
      <w:r>
        <w:rPr>
          <w:rFonts w:hint="eastAsia" w:ascii="宋体" w:hAnsi="宋体" w:cs="宋体"/>
          <w:i/>
          <w:color w:val="auto"/>
          <w:szCs w:val="21"/>
          <w:highlight w:val="none"/>
          <w:u w:val="single"/>
        </w:rPr>
        <w:t>营业执照副本</w:t>
      </w:r>
      <w:r>
        <w:rPr>
          <w:rFonts w:hint="eastAsia" w:ascii="宋体" w:hAnsi="宋体" w:cs="宋体"/>
          <w:b/>
          <w:bCs/>
          <w:i/>
          <w:color w:val="auto"/>
          <w:szCs w:val="21"/>
          <w:highlight w:val="none"/>
          <w:u w:val="single"/>
        </w:rPr>
        <w:t>（</w:t>
      </w:r>
      <w:r>
        <w:rPr>
          <w:rFonts w:hint="eastAsia" w:ascii="宋体" w:hAnsi="宋体" w:cs="宋体"/>
          <w:b/>
          <w:i/>
          <w:color w:val="auto"/>
          <w:szCs w:val="21"/>
          <w:highlight w:val="none"/>
          <w:u w:val="single"/>
        </w:rPr>
        <w:t>复印件加盖供应商公章)；</w:t>
      </w:r>
    </w:p>
    <w:p w14:paraId="2FFA5A1B">
      <w:pPr>
        <w:adjustRightInd w:val="0"/>
        <w:snapToGrid w:val="0"/>
        <w:spacing w:line="360" w:lineRule="auto"/>
        <w:ind w:firstLine="420" w:firstLineChars="200"/>
        <w:jc w:val="left"/>
        <w:rPr>
          <w:rFonts w:ascii="宋体" w:hAnsi="宋体" w:cs="宋体"/>
          <w:b/>
          <w:bCs/>
          <w:i/>
          <w:color w:val="auto"/>
          <w:szCs w:val="21"/>
          <w:highlight w:val="none"/>
          <w:u w:val="single"/>
        </w:rPr>
      </w:pPr>
      <w:r>
        <w:rPr>
          <w:rFonts w:hint="eastAsia" w:ascii="宋体" w:hAnsi="宋体" w:cs="宋体"/>
          <w:i/>
          <w:color w:val="auto"/>
          <w:szCs w:val="21"/>
          <w:highlight w:val="none"/>
        </w:rPr>
        <w:t>（5）</w:t>
      </w:r>
      <w:r>
        <w:rPr>
          <w:rFonts w:hint="eastAsia" w:ascii="宋体" w:hAnsi="宋体" w:cs="宋体"/>
          <w:i/>
          <w:color w:val="auto"/>
          <w:szCs w:val="21"/>
          <w:highlight w:val="none"/>
          <w:u w:val="single"/>
        </w:rPr>
        <w:t>依法缴纳职工社会保障资金的证明材料</w:t>
      </w:r>
      <w:r>
        <w:rPr>
          <w:rFonts w:hint="eastAsia" w:ascii="宋体" w:hAnsi="宋体" w:cs="宋体"/>
          <w:b/>
          <w:i/>
          <w:color w:val="auto"/>
          <w:szCs w:val="21"/>
          <w:highlight w:val="none"/>
          <w:u w:val="single"/>
        </w:rPr>
        <w:t>(复印件加盖供应商公章)</w:t>
      </w:r>
      <w:r>
        <w:rPr>
          <w:rFonts w:hint="eastAsia" w:ascii="宋体" w:hAnsi="宋体" w:cs="宋体"/>
          <w:b/>
          <w:bCs/>
          <w:i/>
          <w:color w:val="auto"/>
          <w:szCs w:val="21"/>
          <w:highlight w:val="none"/>
          <w:u w:val="single"/>
        </w:rPr>
        <w:t>(税务、银行或社会保险基金管理部门出具的近三个月内任意一个月</w:t>
      </w:r>
      <w:r>
        <w:rPr>
          <w:rFonts w:hint="eastAsia" w:ascii="宋体" w:hAnsi="宋体" w:cs="宋体"/>
          <w:b/>
          <w:bCs/>
          <w:i/>
          <w:iCs/>
          <w:color w:val="auto"/>
          <w:szCs w:val="21"/>
          <w:highlight w:val="none"/>
          <w:u w:val="single"/>
        </w:rPr>
        <w:t>（2025年5月-2025年7月）</w:t>
      </w:r>
      <w:r>
        <w:rPr>
          <w:rFonts w:hint="eastAsia" w:ascii="宋体" w:hAnsi="宋体" w:cs="宋体"/>
          <w:b/>
          <w:bCs/>
          <w:i/>
          <w:color w:val="auto"/>
          <w:szCs w:val="21"/>
          <w:highlight w:val="none"/>
          <w:u w:val="single"/>
        </w:rPr>
        <w:t>缴纳职工社会保障资金的缴款凭证或缴款证明) ；</w:t>
      </w:r>
    </w:p>
    <w:p w14:paraId="57E79F91">
      <w:pPr>
        <w:adjustRightInd w:val="0"/>
        <w:snapToGrid w:val="0"/>
        <w:spacing w:line="360" w:lineRule="auto"/>
        <w:ind w:firstLine="396" w:firstLineChars="200"/>
        <w:jc w:val="left"/>
        <w:rPr>
          <w:rFonts w:ascii="宋体" w:hAnsi="宋体" w:cs="宋体"/>
          <w:b/>
          <w:i/>
          <w:color w:val="auto"/>
          <w:spacing w:val="-6"/>
          <w:szCs w:val="21"/>
          <w:highlight w:val="none"/>
          <w:u w:val="single"/>
        </w:rPr>
      </w:pPr>
      <w:r>
        <w:rPr>
          <w:rFonts w:hint="eastAsia" w:ascii="宋体" w:hAnsi="宋体" w:cs="宋体"/>
          <w:i/>
          <w:color w:val="auto"/>
          <w:spacing w:val="-6"/>
          <w:szCs w:val="21"/>
          <w:highlight w:val="none"/>
        </w:rPr>
        <w:t>（6）</w:t>
      </w:r>
      <w:r>
        <w:rPr>
          <w:rFonts w:hint="eastAsia" w:ascii="宋体" w:hAnsi="宋体" w:cs="宋体"/>
          <w:i/>
          <w:color w:val="auto"/>
          <w:spacing w:val="-6"/>
          <w:szCs w:val="21"/>
          <w:highlight w:val="none"/>
          <w:u w:val="single"/>
        </w:rPr>
        <w:t>供应商近</w:t>
      </w:r>
      <w:r>
        <w:rPr>
          <w:rFonts w:hint="eastAsia" w:ascii="宋体" w:hAnsi="宋体" w:cs="宋体"/>
          <w:b/>
          <w:bCs/>
          <w:i/>
          <w:color w:val="auto"/>
          <w:spacing w:val="-6"/>
          <w:szCs w:val="21"/>
          <w:highlight w:val="none"/>
          <w:u w:val="single"/>
        </w:rPr>
        <w:t>三个月</w:t>
      </w:r>
      <w:r>
        <w:rPr>
          <w:rFonts w:hint="eastAsia" w:ascii="宋体" w:hAnsi="宋体" w:cs="宋体"/>
          <w:b/>
          <w:bCs/>
          <w:i/>
          <w:color w:val="auto"/>
          <w:szCs w:val="21"/>
          <w:highlight w:val="none"/>
          <w:u w:val="single"/>
        </w:rPr>
        <w:t>内任意一个月</w:t>
      </w:r>
      <w:r>
        <w:rPr>
          <w:rFonts w:hint="eastAsia" w:ascii="宋体" w:hAnsi="宋体" w:cs="宋体"/>
          <w:b/>
          <w:bCs/>
          <w:i/>
          <w:iCs/>
          <w:color w:val="auto"/>
          <w:szCs w:val="21"/>
          <w:highlight w:val="none"/>
          <w:u w:val="single"/>
        </w:rPr>
        <w:t>（2025年5月-2025年7月）</w:t>
      </w:r>
      <w:r>
        <w:rPr>
          <w:rFonts w:hint="eastAsia" w:ascii="宋体" w:hAnsi="宋体" w:cs="宋体"/>
          <w:i/>
          <w:color w:val="auto"/>
          <w:spacing w:val="-6"/>
          <w:szCs w:val="21"/>
          <w:highlight w:val="none"/>
          <w:u w:val="single"/>
        </w:rPr>
        <w:t>依法纳税的缴款凭证</w:t>
      </w:r>
      <w:r>
        <w:rPr>
          <w:rFonts w:hint="eastAsia" w:ascii="宋体" w:hAnsi="宋体" w:cs="宋体"/>
          <w:b/>
          <w:i/>
          <w:color w:val="auto"/>
          <w:spacing w:val="-6"/>
          <w:szCs w:val="21"/>
          <w:highlight w:val="none"/>
          <w:u w:val="single"/>
        </w:rPr>
        <w:t>(复印件加盖</w:t>
      </w:r>
      <w:r>
        <w:rPr>
          <w:rFonts w:hint="eastAsia" w:ascii="宋体" w:hAnsi="宋体" w:cs="宋体"/>
          <w:b/>
          <w:i/>
          <w:color w:val="auto"/>
          <w:szCs w:val="21"/>
          <w:highlight w:val="none"/>
          <w:u w:val="single"/>
        </w:rPr>
        <w:t>供应商</w:t>
      </w:r>
      <w:r>
        <w:rPr>
          <w:rFonts w:hint="eastAsia" w:ascii="宋体" w:hAnsi="宋体" w:cs="宋体"/>
          <w:b/>
          <w:i/>
          <w:color w:val="auto"/>
          <w:spacing w:val="-6"/>
          <w:szCs w:val="21"/>
          <w:highlight w:val="none"/>
          <w:u w:val="single"/>
        </w:rPr>
        <w:t>公章)；</w:t>
      </w:r>
    </w:p>
    <w:p w14:paraId="39A36D79">
      <w:pPr>
        <w:snapToGrid w:val="0"/>
        <w:spacing w:line="360" w:lineRule="auto"/>
        <w:ind w:firstLine="420" w:firstLineChars="200"/>
        <w:jc w:val="left"/>
        <w:rPr>
          <w:rFonts w:ascii="宋体" w:hAnsi="宋体" w:cs="宋体"/>
          <w:i/>
          <w:color w:val="auto"/>
          <w:kern w:val="0"/>
          <w:szCs w:val="21"/>
          <w:highlight w:val="none"/>
          <w:u w:val="single"/>
        </w:rPr>
      </w:pPr>
      <w:r>
        <w:rPr>
          <w:rFonts w:hint="eastAsia" w:ascii="宋体" w:hAnsi="宋体" w:cs="宋体"/>
          <w:i/>
          <w:color w:val="auto"/>
          <w:kern w:val="0"/>
          <w:szCs w:val="21"/>
          <w:highlight w:val="none"/>
        </w:rPr>
        <w:t>（7）</w:t>
      </w:r>
      <w:r>
        <w:rPr>
          <w:rFonts w:hint="eastAsia" w:ascii="宋体" w:hAnsi="宋体" w:cs="宋体"/>
          <w:i/>
          <w:color w:val="auto"/>
          <w:kern w:val="0"/>
          <w:szCs w:val="21"/>
          <w:highlight w:val="none"/>
          <w:u w:val="single"/>
        </w:rPr>
        <w:t>上一年度财务状况报告（成立不满一年不需提供）</w:t>
      </w:r>
      <w:r>
        <w:rPr>
          <w:rFonts w:hint="eastAsia" w:ascii="宋体" w:hAnsi="宋体" w:cs="宋体"/>
          <w:b/>
          <w:bCs/>
          <w:i/>
          <w:color w:val="auto"/>
          <w:kern w:val="0"/>
          <w:szCs w:val="21"/>
          <w:highlight w:val="none"/>
          <w:u w:val="single"/>
        </w:rPr>
        <w:t>(复印件加盖供应商公章)；</w:t>
      </w:r>
    </w:p>
    <w:p w14:paraId="1F9D8339">
      <w:pPr>
        <w:adjustRightInd w:val="0"/>
        <w:snapToGrid w:val="0"/>
        <w:spacing w:line="360" w:lineRule="auto"/>
        <w:ind w:firstLine="396" w:firstLineChars="200"/>
        <w:jc w:val="left"/>
        <w:rPr>
          <w:rFonts w:ascii="宋体" w:hAnsi="宋体" w:cs="宋体"/>
          <w:b/>
          <w:bCs/>
          <w:i/>
          <w:color w:val="auto"/>
          <w:spacing w:val="-6"/>
          <w:szCs w:val="21"/>
          <w:highlight w:val="none"/>
          <w:u w:val="single"/>
        </w:rPr>
      </w:pPr>
      <w:r>
        <w:rPr>
          <w:rFonts w:hint="eastAsia" w:ascii="宋体" w:hAnsi="宋体" w:cs="宋体"/>
          <w:i/>
          <w:color w:val="auto"/>
          <w:spacing w:val="-6"/>
          <w:szCs w:val="21"/>
          <w:highlight w:val="none"/>
        </w:rPr>
        <w:t>（8）</w:t>
      </w:r>
      <w:r>
        <w:rPr>
          <w:rFonts w:hint="eastAsia" w:ascii="宋体" w:hAnsi="宋体" w:cs="宋体"/>
          <w:i/>
          <w:color w:val="auto"/>
          <w:spacing w:val="-6"/>
          <w:szCs w:val="21"/>
          <w:highlight w:val="none"/>
          <w:u w:val="single"/>
        </w:rPr>
        <w:t>供应商参加本次采购活动前3年内在经营活动中没有重大违法记录的书面声明</w:t>
      </w:r>
      <w:r>
        <w:rPr>
          <w:rFonts w:hint="eastAsia" w:ascii="宋体" w:hAnsi="宋体" w:cs="宋体"/>
          <w:b/>
          <w:bCs/>
          <w:i/>
          <w:color w:val="auto"/>
          <w:spacing w:val="-6"/>
          <w:szCs w:val="21"/>
          <w:highlight w:val="none"/>
          <w:u w:val="single"/>
        </w:rPr>
        <w:t>（原件）；</w:t>
      </w:r>
    </w:p>
    <w:p w14:paraId="308E53E4">
      <w:pPr>
        <w:adjustRightInd w:val="0"/>
        <w:snapToGrid w:val="0"/>
        <w:spacing w:line="360" w:lineRule="auto"/>
        <w:ind w:firstLine="420" w:firstLineChars="200"/>
        <w:rPr>
          <w:rFonts w:ascii="宋体" w:hAnsi="宋体" w:cs="宋体"/>
          <w:b/>
          <w:bCs/>
          <w:i/>
          <w:color w:val="auto"/>
          <w:spacing w:val="-6"/>
          <w:szCs w:val="21"/>
          <w:highlight w:val="none"/>
          <w:u w:val="single"/>
        </w:rPr>
      </w:pPr>
      <w:r>
        <w:rPr>
          <w:rFonts w:hint="eastAsia" w:ascii="宋体" w:hAnsi="宋体" w:cs="宋体"/>
          <w:i/>
          <w:color w:val="auto"/>
          <w:kern w:val="0"/>
          <w:szCs w:val="21"/>
          <w:highlight w:val="none"/>
          <w:u w:val="single"/>
        </w:rPr>
        <w:t>（9）</w:t>
      </w:r>
      <w:r>
        <w:rPr>
          <w:rFonts w:ascii="宋体" w:hAnsi="宋体" w:cs="宋体"/>
          <w:i/>
          <w:color w:val="auto"/>
          <w:kern w:val="0"/>
          <w:szCs w:val="21"/>
          <w:highlight w:val="none"/>
          <w:u w:val="single"/>
        </w:rPr>
        <w:t>未被“信用中国”网站（www.creditchina.gov.cn）、“中国政府采购网"(www.ccgp.gov.cn)列入失信被执行人、重大税收违法案件当事人名单、政府采购严重违法失信行为记录名单</w:t>
      </w:r>
      <w:r>
        <w:rPr>
          <w:rFonts w:hint="eastAsia" w:ascii="宋体" w:hAnsi="宋体" w:cs="宋体"/>
          <w:b/>
          <w:bCs/>
          <w:i/>
          <w:iCs/>
          <w:color w:val="auto"/>
          <w:kern w:val="0"/>
          <w:szCs w:val="21"/>
          <w:highlight w:val="none"/>
          <w:u w:val="single"/>
        </w:rPr>
        <w:t>（提供网页查询截图并加盖供应商公章，查询时间为自公告发布至开标截止时间前任意时间）；</w:t>
      </w:r>
    </w:p>
    <w:p w14:paraId="05DE82FA">
      <w:pPr>
        <w:pStyle w:val="29"/>
        <w:spacing w:line="360" w:lineRule="auto"/>
        <w:ind w:firstLine="420"/>
        <w:rPr>
          <w:rFonts w:ascii="宋体" w:hAnsi="宋体" w:cs="宋体"/>
          <w:b/>
          <w:bCs/>
          <w:i/>
          <w:color w:val="auto"/>
          <w:szCs w:val="21"/>
          <w:highlight w:val="none"/>
          <w:u w:val="single"/>
        </w:rPr>
      </w:pPr>
      <w:r>
        <w:rPr>
          <w:rFonts w:hint="eastAsia" w:ascii="宋体" w:hAnsi="宋体" w:cs="宋体"/>
          <w:i/>
          <w:color w:val="auto"/>
          <w:szCs w:val="21"/>
          <w:highlight w:val="none"/>
        </w:rPr>
        <w:t>（10）</w:t>
      </w:r>
      <w:r>
        <w:rPr>
          <w:rFonts w:hint="eastAsia" w:ascii="宋体" w:hAnsi="宋体" w:cs="宋体"/>
          <w:i/>
          <w:color w:val="auto"/>
          <w:szCs w:val="21"/>
          <w:highlight w:val="none"/>
          <w:u w:val="single"/>
        </w:rPr>
        <w:t>供应商信用承诺书</w:t>
      </w:r>
      <w:r>
        <w:rPr>
          <w:rFonts w:hint="eastAsia" w:ascii="宋体" w:hAnsi="宋体" w:cs="宋体"/>
          <w:b/>
          <w:bCs/>
          <w:i/>
          <w:color w:val="auto"/>
          <w:szCs w:val="21"/>
          <w:highlight w:val="none"/>
          <w:u w:val="single"/>
        </w:rPr>
        <w:t>（原件）。</w:t>
      </w:r>
    </w:p>
    <w:p w14:paraId="7C1AD6EF">
      <w:pPr>
        <w:pStyle w:val="29"/>
        <w:spacing w:line="360" w:lineRule="auto"/>
        <w:ind w:firstLine="420"/>
        <w:rPr>
          <w:rFonts w:ascii="宋体" w:hAnsi="宋体" w:cs="宋体"/>
          <w:color w:val="auto"/>
          <w:highlight w:val="none"/>
        </w:rPr>
      </w:pPr>
      <w:r>
        <w:rPr>
          <w:rFonts w:hint="eastAsia" w:ascii="宋体" w:hAnsi="宋体" w:cs="宋体"/>
          <w:color w:val="auto"/>
          <w:highlight w:val="none"/>
        </w:rPr>
        <w:t>注一：如参加本项目的供应商为新成立公司（成立时间距开标时间不到1年）、个体工商户、自然人或事业单位等非企业法人，请提供相应情况说明，本文件中所需法定代表人相关材料、盖章及签字等可用供应商相关负责人的相应材料代替。</w:t>
      </w:r>
    </w:p>
    <w:p w14:paraId="59D647E5">
      <w:pPr>
        <w:pStyle w:val="29"/>
        <w:spacing w:line="360" w:lineRule="auto"/>
        <w:ind w:firstLine="420"/>
        <w:rPr>
          <w:rFonts w:ascii="宋体" w:hAnsi="宋体" w:cs="宋体"/>
          <w:b/>
          <w:bCs/>
          <w:i/>
          <w:color w:val="auto"/>
          <w:szCs w:val="21"/>
          <w:highlight w:val="none"/>
          <w:u w:val="single"/>
        </w:rPr>
      </w:pPr>
      <w:r>
        <w:rPr>
          <w:rFonts w:hint="eastAsia" w:ascii="宋体" w:hAnsi="宋体" w:cs="宋体"/>
          <w:color w:val="auto"/>
          <w:highlight w:val="none"/>
        </w:rPr>
        <w:t>注二：供应商如有相关政策支持，延期缴纳或暂不缴纳职工社会保障资金、税收的，须提供相关证明材料。</w:t>
      </w:r>
    </w:p>
    <w:bookmarkEnd w:id="17"/>
    <w:p w14:paraId="44BE98FE">
      <w:pPr>
        <w:adjustRightInd w:val="0"/>
        <w:snapToGrid w:val="0"/>
        <w:spacing w:line="360" w:lineRule="auto"/>
        <w:ind w:firstLine="422" w:firstLineChars="200"/>
        <w:rPr>
          <w:rFonts w:ascii="宋体" w:hAnsi="宋体" w:cs="宋体"/>
          <w:i/>
          <w:color w:val="auto"/>
          <w:szCs w:val="21"/>
          <w:highlight w:val="none"/>
          <w:u w:val="single"/>
        </w:rPr>
      </w:pPr>
      <w:r>
        <w:rPr>
          <w:rFonts w:hint="eastAsia" w:ascii="宋体" w:hAnsi="宋体" w:cs="宋体"/>
          <w:b/>
          <w:bCs/>
          <w:color w:val="auto"/>
          <w:szCs w:val="21"/>
          <w:highlight w:val="none"/>
        </w:rPr>
        <w:t>2、本项目的特定资格要求：</w:t>
      </w:r>
      <w:bookmarkStart w:id="18" w:name="_Toc35393800"/>
      <w:bookmarkStart w:id="19" w:name="_Toc35393631"/>
      <w:r>
        <w:rPr>
          <w:rFonts w:hint="eastAsia" w:ascii="宋体" w:hAnsi="宋体" w:cs="宋体"/>
          <w:i/>
          <w:iCs/>
          <w:color w:val="auto"/>
          <w:szCs w:val="21"/>
          <w:highlight w:val="none"/>
          <w:u w:val="single"/>
        </w:rPr>
        <w:t>2.1</w:t>
      </w:r>
      <w:r>
        <w:rPr>
          <w:rFonts w:hint="eastAsia" w:ascii="宋体" w:hAnsi="宋体" w:cs="宋体"/>
          <w:i/>
          <w:color w:val="auto"/>
          <w:szCs w:val="21"/>
          <w:highlight w:val="none"/>
          <w:u w:val="single"/>
        </w:rPr>
        <w:t>拟派</w:t>
      </w:r>
      <w:r>
        <w:rPr>
          <w:rFonts w:hint="eastAsia" w:ascii="宋体" w:hAnsi="宋体" w:cs="宋体"/>
          <w:i/>
          <w:iCs/>
          <w:color w:val="auto"/>
          <w:szCs w:val="21"/>
          <w:highlight w:val="none"/>
          <w:u w:val="single"/>
        </w:rPr>
        <w:t>项目负责人</w:t>
      </w:r>
      <w:r>
        <w:rPr>
          <w:rFonts w:hint="eastAsia" w:ascii="宋体" w:hAnsi="宋体" w:cs="宋体"/>
          <w:i/>
          <w:color w:val="auto"/>
          <w:szCs w:val="21"/>
          <w:highlight w:val="none"/>
          <w:u w:val="single"/>
        </w:rPr>
        <w:t>具备环保类高级及以上职称</w:t>
      </w:r>
      <w:r>
        <w:rPr>
          <w:rFonts w:hint="eastAsia" w:ascii="宋体" w:hAnsi="宋体" w:cs="宋体"/>
          <w:i/>
          <w:iCs/>
          <w:color w:val="auto"/>
          <w:szCs w:val="21"/>
          <w:highlight w:val="none"/>
          <w:u w:val="single"/>
        </w:rPr>
        <w:t>（提供职称证书加盖供应商公章）</w:t>
      </w:r>
      <w:r>
        <w:rPr>
          <w:rFonts w:hint="eastAsia" w:ascii="宋体" w:hAnsi="宋体" w:cs="宋体"/>
          <w:b/>
          <w:bCs/>
          <w:i/>
          <w:iCs/>
          <w:color w:val="auto"/>
          <w:szCs w:val="21"/>
          <w:highlight w:val="none"/>
          <w:u w:val="single"/>
        </w:rPr>
        <w:t>；</w:t>
      </w:r>
    </w:p>
    <w:p w14:paraId="2A2123F7">
      <w:pPr>
        <w:adjustRightInd w:val="0"/>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i/>
          <w:iCs/>
          <w:color w:val="auto"/>
          <w:szCs w:val="21"/>
          <w:highlight w:val="none"/>
          <w:u w:val="single"/>
        </w:rPr>
        <w:t>2.2供应商为拟派项目负责人和授权委托人缴纳的2025年5月至2025年7月任意一个月的社保证明(复印件加盖供应商公章)。</w:t>
      </w:r>
    </w:p>
    <w:p w14:paraId="2618328F">
      <w:pPr>
        <w:adjustRightInd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3、拒绝下述供应商参加本次采购活动：</w:t>
      </w:r>
    </w:p>
    <w:p w14:paraId="771CC1C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（1）供应商单位负责人为同一人或者存在直接控股、管理关系的不同供应商，不得参加同一合同项下的采购活动。</w:t>
      </w:r>
    </w:p>
    <w:p w14:paraId="64ECFB78">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（2）凡为采购项目提供整体设计、规范编制或者项目管理、监理、检测等服务的供应商，不得再参加该项目的其他采购活动。</w:t>
      </w:r>
    </w:p>
    <w:p w14:paraId="54CB0D69">
      <w:pPr>
        <w:pStyle w:val="19"/>
        <w:widowControl/>
        <w:spacing w:before="0" w:beforeAutospacing="0" w:after="0" w:afterAutospacing="0" w:line="360" w:lineRule="auto"/>
        <w:ind w:firstLine="420"/>
        <w:rPr>
          <w:rFonts w:ascii="宋体" w:hAnsi="宋体" w:cs="宋体"/>
          <w:b/>
          <w:bCs/>
          <w:color w:val="auto"/>
          <w:kern w:val="2"/>
          <w:sz w:val="21"/>
          <w:szCs w:val="21"/>
          <w:highlight w:val="none"/>
        </w:rPr>
      </w:pPr>
      <w:r>
        <w:rPr>
          <w:rFonts w:hint="eastAsia" w:ascii="宋体" w:hAnsi="宋体" w:cs="宋体"/>
          <w:color w:val="auto"/>
          <w:sz w:val="21"/>
          <w:szCs w:val="21"/>
          <w:highlight w:val="none"/>
        </w:rPr>
        <w:t>（3）</w:t>
      </w:r>
      <w:r>
        <w:rPr>
          <w:rFonts w:hint="eastAsia" w:ascii="宋体" w:hAnsi="宋体" w:cs="宋体"/>
          <w:color w:val="auto"/>
          <w:kern w:val="2"/>
          <w:sz w:val="21"/>
          <w:szCs w:val="21"/>
          <w:highlight w:val="none"/>
        </w:rPr>
        <w:t>未被“信用中国”网站（www.creditchina.gov.cn）、“中国政府采购网"(www.ccgp.gov.cn)列入失信被执行人、重大税收违法案件当事人名单、政府采购严重违法失信行为记录名单。</w:t>
      </w:r>
    </w:p>
    <w:p w14:paraId="1297C818">
      <w:pPr>
        <w:adjustRightInd w:val="0"/>
        <w:snapToGrid w:val="0"/>
        <w:spacing w:line="360" w:lineRule="auto"/>
        <w:ind w:firstLine="422" w:firstLineChars="200"/>
        <w:jc w:val="left"/>
        <w:rPr>
          <w:rFonts w:ascii="宋体" w:hAnsi="宋体" w:cs="宋体"/>
          <w:b/>
          <w:i/>
          <w:iCs/>
          <w:color w:val="auto"/>
          <w:szCs w:val="21"/>
          <w:highlight w:val="none"/>
          <w:u w:val="single"/>
        </w:rPr>
      </w:pPr>
      <w:r>
        <w:rPr>
          <w:rFonts w:hint="eastAsia" w:ascii="宋体" w:hAnsi="宋体" w:cs="宋体"/>
          <w:b/>
          <w:color w:val="auto"/>
          <w:szCs w:val="21"/>
          <w:highlight w:val="none"/>
        </w:rPr>
        <w:t>三、获取磋商文件</w:t>
      </w:r>
      <w:bookmarkEnd w:id="15"/>
      <w:bookmarkEnd w:id="16"/>
      <w:bookmarkEnd w:id="18"/>
      <w:bookmarkEnd w:id="19"/>
    </w:p>
    <w:p w14:paraId="65678ED9">
      <w:pPr>
        <w:spacing w:line="440" w:lineRule="exact"/>
        <w:ind w:firstLine="420" w:firstLineChars="200"/>
        <w:rPr>
          <w:rFonts w:ascii="宋体" w:hAnsi="宋体" w:cs="宋体"/>
          <w:color w:val="auto"/>
          <w:szCs w:val="21"/>
          <w:highlight w:val="none"/>
        </w:rPr>
      </w:pPr>
      <w:bookmarkStart w:id="20" w:name="_Toc35393803"/>
      <w:bookmarkStart w:id="21" w:name="_Toc28359094"/>
      <w:bookmarkStart w:id="22" w:name="_Toc28359017"/>
      <w:bookmarkStart w:id="23" w:name="_Toc35393634"/>
      <w:r>
        <w:rPr>
          <w:rFonts w:hint="eastAsia" w:ascii="宋体" w:hAnsi="宋体"/>
          <w:color w:val="auto"/>
          <w:szCs w:val="21"/>
          <w:highlight w:val="none"/>
        </w:rPr>
        <w:t>时间：</w:t>
      </w:r>
      <w:r>
        <w:rPr>
          <w:rFonts w:hint="eastAsia"/>
          <w:color w:val="auto"/>
          <w:szCs w:val="21"/>
          <w:highlight w:val="none"/>
        </w:rPr>
        <w:t>2025年</w:t>
      </w:r>
      <w:r>
        <w:rPr>
          <w:rFonts w:hint="eastAsia"/>
          <w:color w:val="auto"/>
          <w:szCs w:val="21"/>
          <w:highlight w:val="none"/>
          <w:lang w:val="en-US" w:eastAsia="zh-CN"/>
        </w:rPr>
        <w:t>8</w:t>
      </w:r>
      <w:r>
        <w:rPr>
          <w:color w:val="auto"/>
          <w:szCs w:val="21"/>
          <w:highlight w:val="none"/>
        </w:rPr>
        <w:t>月</w:t>
      </w:r>
      <w:r>
        <w:rPr>
          <w:rFonts w:hint="eastAsia"/>
          <w:color w:val="auto"/>
          <w:szCs w:val="21"/>
          <w:highlight w:val="none"/>
          <w:lang w:val="en-US" w:eastAsia="zh-CN"/>
        </w:rPr>
        <w:t>8</w:t>
      </w:r>
      <w:r>
        <w:rPr>
          <w:color w:val="auto"/>
          <w:szCs w:val="21"/>
          <w:highlight w:val="none"/>
        </w:rPr>
        <w:t>日至</w:t>
      </w:r>
      <w:r>
        <w:rPr>
          <w:rFonts w:hint="eastAsia"/>
          <w:color w:val="auto"/>
          <w:szCs w:val="21"/>
          <w:highlight w:val="none"/>
        </w:rPr>
        <w:t>2025年</w:t>
      </w:r>
      <w:r>
        <w:rPr>
          <w:rFonts w:hint="eastAsia"/>
          <w:color w:val="auto"/>
          <w:szCs w:val="21"/>
          <w:highlight w:val="none"/>
          <w:lang w:val="en-US" w:eastAsia="zh-CN"/>
        </w:rPr>
        <w:t>8</w:t>
      </w:r>
      <w:r>
        <w:rPr>
          <w:color w:val="auto"/>
          <w:szCs w:val="21"/>
          <w:highlight w:val="none"/>
        </w:rPr>
        <w:t>月</w:t>
      </w:r>
      <w:r>
        <w:rPr>
          <w:rFonts w:hint="eastAsia"/>
          <w:color w:val="auto"/>
          <w:szCs w:val="21"/>
          <w:highlight w:val="none"/>
          <w:lang w:val="en-US" w:eastAsia="zh-CN"/>
        </w:rPr>
        <w:t>15</w:t>
      </w:r>
      <w:r>
        <w:rPr>
          <w:color w:val="auto"/>
          <w:szCs w:val="21"/>
          <w:highlight w:val="none"/>
        </w:rPr>
        <w:t>日</w:t>
      </w:r>
      <w:r>
        <w:rPr>
          <w:rFonts w:hint="eastAsia" w:ascii="宋体" w:hAnsi="宋体" w:cs="宋体"/>
          <w:color w:val="auto"/>
          <w:szCs w:val="21"/>
          <w:highlight w:val="none"/>
        </w:rPr>
        <w:t>（北京时间，法定节假日除外）</w:t>
      </w:r>
    </w:p>
    <w:p w14:paraId="504050A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地点：“扬州市公共资源交易平台邗江分中心国企采购栏目”、“扬州维扬发展投资有限公司”网站</w:t>
      </w:r>
    </w:p>
    <w:p w14:paraId="4321DC6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olor w:val="auto"/>
          <w:szCs w:val="21"/>
          <w:highlight w:val="none"/>
        </w:rPr>
        <w:t>投标供应商如确定参加投标，请在</w:t>
      </w:r>
      <w:r>
        <w:rPr>
          <w:rFonts w:hint="eastAsia"/>
          <w:color w:val="auto"/>
          <w:szCs w:val="21"/>
          <w:highlight w:val="none"/>
        </w:rPr>
        <w:t>2025年</w:t>
      </w:r>
      <w:r>
        <w:rPr>
          <w:rFonts w:hint="eastAsia"/>
          <w:color w:val="auto"/>
          <w:szCs w:val="21"/>
          <w:highlight w:val="none"/>
          <w:lang w:val="en-US" w:eastAsia="zh-CN"/>
        </w:rPr>
        <w:t>8</w:t>
      </w:r>
      <w:r>
        <w:rPr>
          <w:rFonts w:hint="eastAsia"/>
          <w:color w:val="auto"/>
          <w:szCs w:val="21"/>
          <w:highlight w:val="none"/>
        </w:rPr>
        <w:t>月</w:t>
      </w:r>
      <w:r>
        <w:rPr>
          <w:rFonts w:hint="eastAsia"/>
          <w:color w:val="auto"/>
          <w:szCs w:val="21"/>
          <w:highlight w:val="none"/>
          <w:lang w:val="en-US" w:eastAsia="zh-CN"/>
        </w:rPr>
        <w:t>15</w:t>
      </w:r>
      <w:r>
        <w:rPr>
          <w:color w:val="auto"/>
          <w:szCs w:val="21"/>
          <w:highlight w:val="none"/>
        </w:rPr>
        <w:t>日</w:t>
      </w:r>
      <w:r>
        <w:rPr>
          <w:rFonts w:hint="eastAsia"/>
          <w:color w:val="auto"/>
          <w:szCs w:val="21"/>
          <w:highlight w:val="none"/>
        </w:rPr>
        <w:t>17:30</w:t>
      </w:r>
      <w:r>
        <w:rPr>
          <w:rFonts w:hint="eastAsia" w:ascii="宋体" w:hAnsi="宋体"/>
          <w:color w:val="auto"/>
          <w:szCs w:val="21"/>
          <w:highlight w:val="none"/>
        </w:rPr>
        <w:t>前如实填写《供应商参加磋商确认函》，并</w:t>
      </w:r>
      <w:r>
        <w:rPr>
          <w:rFonts w:hint="eastAsia" w:ascii="宋体" w:hAnsi="宋体"/>
          <w:color w:val="auto"/>
          <w:kern w:val="0"/>
          <w:szCs w:val="21"/>
          <w:highlight w:val="none"/>
        </w:rPr>
        <w:t>将加盖供应商公章的《供应商参加供应商确认函》的图片或扫描件发送至采购代理机构经办人</w:t>
      </w:r>
      <w:r>
        <w:rPr>
          <w:rFonts w:hint="eastAsia" w:ascii="宋体" w:hAnsi="宋体"/>
          <w:color w:val="auto"/>
          <w:szCs w:val="21"/>
          <w:highlight w:val="none"/>
        </w:rPr>
        <w:t>电子邮箱（</w:t>
      </w:r>
      <w:r>
        <w:rPr>
          <w:color w:val="auto"/>
          <w:highlight w:val="none"/>
        </w:rPr>
        <w:fldChar w:fldCharType="begin"/>
      </w:r>
      <w:r>
        <w:rPr>
          <w:color w:val="auto"/>
          <w:highlight w:val="none"/>
        </w:rPr>
        <w:instrText xml:space="preserve"> HYPERLINK "mailto:1274847791@qq.com" </w:instrText>
      </w:r>
      <w:r>
        <w:rPr>
          <w:color w:val="auto"/>
          <w:highlight w:val="none"/>
        </w:rPr>
        <w:fldChar w:fldCharType="separate"/>
      </w:r>
      <w:r>
        <w:rPr>
          <w:rStyle w:val="27"/>
          <w:rFonts w:hint="eastAsia"/>
          <w:color w:val="auto"/>
          <w:kern w:val="0"/>
          <w:highlight w:val="none"/>
        </w:rPr>
        <w:t>2535112693@qq.com</w:t>
      </w:r>
      <w:r>
        <w:rPr>
          <w:rStyle w:val="27"/>
          <w:rFonts w:hint="eastAsia"/>
          <w:color w:val="auto"/>
          <w:kern w:val="0"/>
          <w:highlight w:val="none"/>
        </w:rPr>
        <w:fldChar w:fldCharType="end"/>
      </w:r>
      <w:r>
        <w:rPr>
          <w:rFonts w:hint="eastAsia" w:ascii="宋体" w:hAnsi="宋体"/>
          <w:color w:val="auto"/>
          <w:kern w:val="0"/>
          <w:szCs w:val="21"/>
          <w:highlight w:val="none"/>
        </w:rPr>
        <w:t>,</w:t>
      </w:r>
      <w:r>
        <w:rPr>
          <w:rFonts w:hint="eastAsia" w:ascii="宋体" w:hAnsi="宋体"/>
          <w:color w:val="auto"/>
          <w:szCs w:val="21"/>
          <w:highlight w:val="none"/>
        </w:rPr>
        <w:t>联系电话：</w:t>
      </w:r>
      <w:r>
        <w:rPr>
          <w:rFonts w:hint="eastAsia"/>
          <w:color w:val="auto"/>
          <w:szCs w:val="21"/>
          <w:highlight w:val="none"/>
        </w:rPr>
        <w:t>18652792880</w:t>
      </w:r>
      <w:r>
        <w:rPr>
          <w:rFonts w:hint="eastAsia" w:ascii="宋体" w:hAnsi="宋体"/>
          <w:color w:val="auto"/>
          <w:szCs w:val="21"/>
          <w:highlight w:val="none"/>
        </w:rPr>
        <w:t>）。</w:t>
      </w:r>
      <w:r>
        <w:rPr>
          <w:rFonts w:hint="eastAsia" w:ascii="宋体" w:hAnsi="宋体" w:cs="宋体"/>
          <w:color w:val="auto"/>
          <w:szCs w:val="21"/>
          <w:highlight w:val="none"/>
        </w:rPr>
        <w:t>同时需与采购代理机构经办人确认是否收到《供应商参加供应商确认函》</w:t>
      </w:r>
      <w:r>
        <w:rPr>
          <w:rFonts w:hint="eastAsia" w:ascii="宋体" w:hAnsi="宋体" w:cs="宋体"/>
          <w:bCs/>
          <w:color w:val="auto"/>
          <w:kern w:val="0"/>
          <w:szCs w:val="21"/>
          <w:highlight w:val="none"/>
        </w:rPr>
        <w:t>。</w:t>
      </w:r>
      <w:r>
        <w:rPr>
          <w:rFonts w:hint="eastAsia" w:ascii="宋体" w:hAnsi="宋体" w:cs="宋体"/>
          <w:color w:val="auto"/>
          <w:szCs w:val="21"/>
          <w:highlight w:val="none"/>
        </w:rPr>
        <w:t>如供应商未按上述要求去做，将自行承担所产生的风险。未报名（提交确认函）者、超过时限者不得前来投标，内容不全者后果自负。</w:t>
      </w:r>
    </w:p>
    <w:p w14:paraId="762DEF29">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r>
        <w:rPr>
          <w:rFonts w:hint="eastAsia" w:ascii="宋体" w:hAnsi="宋体" w:cs="宋体"/>
          <w:color w:val="auto"/>
          <w:szCs w:val="21"/>
          <w:highlight w:val="none"/>
        </w:rPr>
        <w:t>。</w:t>
      </w:r>
    </w:p>
    <w:p w14:paraId="3DF70D27">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四、</w:t>
      </w:r>
      <w:r>
        <w:rPr>
          <w:rFonts w:hint="eastAsia" w:ascii="宋体" w:hAnsi="宋体"/>
          <w:b/>
          <w:bCs/>
          <w:color w:val="auto"/>
          <w:szCs w:val="21"/>
          <w:highlight w:val="none"/>
        </w:rPr>
        <w:t>响应文件提交</w:t>
      </w:r>
    </w:p>
    <w:p w14:paraId="274895DB">
      <w:pPr>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提交截止时间</w:t>
      </w:r>
      <w:r>
        <w:rPr>
          <w:rFonts w:hint="eastAsia" w:ascii="宋体" w:hAnsi="宋体" w:cs="宋体"/>
          <w:color w:val="auto"/>
          <w:szCs w:val="21"/>
          <w:highlight w:val="none"/>
        </w:rPr>
        <w:t>：</w:t>
      </w:r>
      <w:bookmarkStart w:id="24" w:name="OLE_LINK14"/>
      <w:r>
        <w:rPr>
          <w:rFonts w:hint="eastAsia" w:ascii="宋体" w:hAnsi="宋体" w:cs="宋体"/>
          <w:color w:val="auto"/>
          <w:szCs w:val="21"/>
          <w:highlight w:val="none"/>
        </w:rPr>
        <w:t>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21</w:t>
      </w:r>
      <w:r>
        <w:rPr>
          <w:rFonts w:hint="eastAsia" w:ascii="宋体" w:hAnsi="宋体" w:cs="宋体"/>
          <w:bCs/>
          <w:color w:val="auto"/>
          <w:szCs w:val="21"/>
          <w:highlight w:val="none"/>
        </w:rPr>
        <w:t>日15：00</w:t>
      </w:r>
      <w:bookmarkEnd w:id="24"/>
      <w:r>
        <w:rPr>
          <w:rFonts w:hint="eastAsia" w:ascii="宋体" w:hAnsi="宋体" w:cs="宋体"/>
          <w:bCs/>
          <w:color w:val="auto"/>
          <w:szCs w:val="21"/>
          <w:highlight w:val="none"/>
        </w:rPr>
        <w:t>（北京时间）</w:t>
      </w:r>
    </w:p>
    <w:p w14:paraId="786E8F6E">
      <w:pPr>
        <w:spacing w:line="360" w:lineRule="auto"/>
        <w:ind w:firstLine="420" w:firstLineChars="200"/>
        <w:rPr>
          <w:rFonts w:asciiTheme="minorEastAsia" w:hAnsiTheme="minorEastAsia" w:eastAsiaTheme="minorEastAsia" w:cstheme="minorEastAsia"/>
          <w:color w:val="auto"/>
          <w:kern w:val="0"/>
          <w:szCs w:val="21"/>
          <w:highlight w:val="none"/>
          <w:u w:val="single"/>
          <w:shd w:val="clear" w:color="auto" w:fill="FFFFFF"/>
        </w:rPr>
      </w:pPr>
      <w:r>
        <w:rPr>
          <w:rFonts w:hint="eastAsia" w:ascii="宋体" w:hAnsi="宋体" w:cs="宋体"/>
          <w:bCs/>
          <w:color w:val="auto"/>
          <w:szCs w:val="21"/>
          <w:highlight w:val="none"/>
        </w:rPr>
        <w:t>提交地点：</w:t>
      </w:r>
      <w:r>
        <w:rPr>
          <w:rFonts w:hint="eastAsia" w:asciiTheme="minorEastAsia" w:hAnsiTheme="minorEastAsia" w:eastAsiaTheme="minorEastAsia" w:cstheme="minorEastAsia"/>
          <w:color w:val="auto"/>
          <w:szCs w:val="21"/>
          <w:highlight w:val="none"/>
        </w:rPr>
        <w:t>江苏时代投资咨询有限公司二楼开标室（扬州市广陵区汶河北路65号二楼）</w:t>
      </w:r>
    </w:p>
    <w:p w14:paraId="190D37EF">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w:t>
      </w:r>
      <w:r>
        <w:rPr>
          <w:rFonts w:hint="eastAsia" w:ascii="宋体" w:hAnsi="宋体" w:cs="宋体"/>
          <w:b/>
          <w:bCs/>
          <w:color w:val="auto"/>
          <w:szCs w:val="21"/>
          <w:highlight w:val="none"/>
        </w:rPr>
        <w:t>响应文件开启</w:t>
      </w:r>
    </w:p>
    <w:p w14:paraId="26449CCF">
      <w:pPr>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21</w:t>
      </w:r>
      <w:r>
        <w:rPr>
          <w:rFonts w:hint="eastAsia" w:ascii="宋体" w:hAnsi="宋体" w:cs="宋体"/>
          <w:bCs/>
          <w:color w:val="auto"/>
          <w:szCs w:val="21"/>
          <w:highlight w:val="none"/>
        </w:rPr>
        <w:t>日15：00（北京时间）</w:t>
      </w:r>
    </w:p>
    <w:p w14:paraId="693067F7">
      <w:pPr>
        <w:spacing w:line="360" w:lineRule="auto"/>
        <w:ind w:firstLine="420" w:firstLineChars="200"/>
        <w:rPr>
          <w:rFonts w:asciiTheme="minorEastAsia" w:hAnsiTheme="minorEastAsia" w:eastAsiaTheme="minorEastAsia" w:cstheme="minorEastAsia"/>
          <w:color w:val="auto"/>
          <w:kern w:val="0"/>
          <w:szCs w:val="21"/>
          <w:highlight w:val="none"/>
          <w:u w:val="single"/>
          <w:shd w:val="clear" w:color="auto" w:fill="FFFFFF"/>
        </w:rPr>
      </w:pPr>
      <w:r>
        <w:rPr>
          <w:rFonts w:hint="eastAsia" w:ascii="宋体" w:hAnsi="宋体" w:cs="宋体"/>
          <w:color w:val="auto"/>
          <w:szCs w:val="21"/>
          <w:highlight w:val="none"/>
        </w:rPr>
        <w:t>地点：</w:t>
      </w:r>
      <w:bookmarkStart w:id="25" w:name="_Toc35393802"/>
      <w:bookmarkStart w:id="26" w:name="_Toc28359016"/>
      <w:bookmarkStart w:id="27" w:name="_Toc28359093"/>
      <w:bookmarkStart w:id="28" w:name="_Toc35393633"/>
      <w:r>
        <w:rPr>
          <w:rFonts w:hint="eastAsia" w:asciiTheme="minorEastAsia" w:hAnsiTheme="minorEastAsia" w:eastAsiaTheme="minorEastAsia" w:cstheme="minorEastAsia"/>
          <w:color w:val="auto"/>
          <w:szCs w:val="21"/>
          <w:highlight w:val="none"/>
        </w:rPr>
        <w:t>江苏时代投资咨询有限公司二楼开标室（扬州市广陵区汶河北路65号二楼）</w:t>
      </w:r>
    </w:p>
    <w:bookmarkEnd w:id="25"/>
    <w:bookmarkEnd w:id="26"/>
    <w:bookmarkEnd w:id="27"/>
    <w:bookmarkEnd w:id="28"/>
    <w:p w14:paraId="4434B333">
      <w:pPr>
        <w:adjustRightInd w:val="0"/>
        <w:snapToGrid w:val="0"/>
        <w:spacing w:line="360" w:lineRule="auto"/>
        <w:ind w:firstLine="422" w:firstLineChars="200"/>
        <w:jc w:val="left"/>
        <w:rPr>
          <w:rFonts w:ascii="宋体" w:hAnsi="宋体" w:cs="宋体"/>
          <w:b/>
          <w:bCs/>
          <w:color w:val="auto"/>
          <w:szCs w:val="21"/>
          <w:highlight w:val="none"/>
          <w:u w:val="single"/>
        </w:rPr>
      </w:pPr>
      <w:r>
        <w:rPr>
          <w:rFonts w:hint="eastAsia" w:ascii="宋体" w:hAnsi="宋体" w:cs="宋体"/>
          <w:b/>
          <w:color w:val="auto"/>
          <w:szCs w:val="21"/>
          <w:highlight w:val="none"/>
        </w:rPr>
        <w:t>六、公告期限</w:t>
      </w:r>
      <w:bookmarkEnd w:id="20"/>
      <w:bookmarkEnd w:id="21"/>
      <w:bookmarkEnd w:id="22"/>
      <w:bookmarkEnd w:id="23"/>
    </w:p>
    <w:p w14:paraId="1EBD8049">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bookmarkStart w:id="29" w:name="_Toc35393635"/>
      <w:bookmarkStart w:id="30" w:name="_Toc35393804"/>
      <w:r>
        <w:rPr>
          <w:rFonts w:hint="eastAsia" w:ascii="宋体" w:hAnsi="宋体" w:cs="宋体"/>
          <w:color w:val="auto"/>
          <w:kern w:val="0"/>
          <w:szCs w:val="21"/>
          <w:highlight w:val="none"/>
        </w:rPr>
        <w:t>。</w:t>
      </w:r>
    </w:p>
    <w:p w14:paraId="42CE811A">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七、其他补充事宜</w:t>
      </w:r>
      <w:bookmarkEnd w:id="29"/>
      <w:bookmarkEnd w:id="30"/>
      <w:bookmarkStart w:id="31" w:name="_Toc28359095"/>
      <w:bookmarkStart w:id="32" w:name="_Toc28359018"/>
      <w:bookmarkStart w:id="33" w:name="_Toc35393805"/>
      <w:bookmarkStart w:id="34" w:name="_Toc35393636"/>
    </w:p>
    <w:p w14:paraId="6E723471">
      <w:pPr>
        <w:adjustRightInd w:val="0"/>
        <w:snapToGrid w:val="0"/>
        <w:spacing w:line="360" w:lineRule="auto"/>
        <w:ind w:firstLine="420" w:firstLineChars="200"/>
        <w:rPr>
          <w:rFonts w:ascii="宋体" w:hAnsi="宋体" w:cs="宋体"/>
          <w:i/>
          <w:color w:val="auto"/>
          <w:kern w:val="0"/>
          <w:szCs w:val="21"/>
          <w:highlight w:val="none"/>
          <w:u w:val="single"/>
        </w:rPr>
      </w:pPr>
      <w:r>
        <w:rPr>
          <w:rFonts w:hint="eastAsia" w:ascii="宋体" w:hAnsi="宋体" w:cs="宋体"/>
          <w:color w:val="auto"/>
          <w:kern w:val="0"/>
          <w:szCs w:val="21"/>
          <w:highlight w:val="none"/>
        </w:rPr>
        <w:t>1、</w:t>
      </w:r>
      <w:r>
        <w:rPr>
          <w:rFonts w:hint="eastAsia" w:ascii="宋体" w:hAnsi="宋体" w:cs="宋体"/>
          <w:i/>
          <w:iCs/>
          <w:color w:val="auto"/>
          <w:kern w:val="0"/>
          <w:szCs w:val="21"/>
          <w:highlight w:val="none"/>
          <w:u w:val="single"/>
        </w:rPr>
        <w:t>本磋商文件中斜体下划线部分为实质性响应条件，为必须遵守的条件，如不满足将作无效响应文件处理</w:t>
      </w:r>
      <w:r>
        <w:rPr>
          <w:rFonts w:hint="eastAsia" w:ascii="宋体" w:hAnsi="宋体" w:cs="宋体"/>
          <w:i/>
          <w:color w:val="auto"/>
          <w:kern w:val="0"/>
          <w:szCs w:val="21"/>
          <w:highlight w:val="none"/>
          <w:u w:val="single"/>
        </w:rPr>
        <w:t>。</w:t>
      </w:r>
    </w:p>
    <w:p w14:paraId="5F4CCFB7">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2、本项目无须缴纳竞争性磋商保证金。</w:t>
      </w:r>
    </w:p>
    <w:p w14:paraId="473A00C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3、有关本次磋商的事项若存在变动或修改，敬请及时关注“扬州市公共资源交易平台邗江分中心国企采购栏目”、“扬州维扬发展投资有限公司”网站发布的信息或更正公告，</w:t>
      </w:r>
      <w:r>
        <w:rPr>
          <w:rFonts w:hint="eastAsia" w:ascii="宋体" w:hAnsi="宋体" w:cs="宋体"/>
          <w:color w:val="auto"/>
          <w:szCs w:val="21"/>
          <w:highlight w:val="none"/>
        </w:rPr>
        <w:t>无论供应商下载查看与否，均视为已知晓所有关于本项目的实质性要求内容。</w:t>
      </w:r>
    </w:p>
    <w:p w14:paraId="2763AD7D">
      <w:pPr>
        <w:autoSpaceDE w:val="0"/>
        <w:autoSpaceDN w:val="0"/>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4、本次响应文件制作份数要求：纸质版一式3份，其中正本1份，副本2份，每份响应文件须清楚标明“正本”或“副本”字样。</w:t>
      </w:r>
      <w:r>
        <w:rPr>
          <w:rFonts w:hint="eastAsia" w:ascii="宋体" w:hAnsi="宋体" w:cs="宋体"/>
          <w:color w:val="auto"/>
          <w:szCs w:val="21"/>
          <w:highlight w:val="none"/>
        </w:rPr>
        <w:t>一旦副本与正本不符，以正本为准。电子版响应文件壹份(一般应为pdf格式，U盘形式（</w:t>
      </w:r>
      <w:r>
        <w:rPr>
          <w:rFonts w:hint="eastAsia" w:ascii="宋体" w:hAnsi="宋体" w:cs="宋体"/>
          <w:b/>
          <w:bCs/>
          <w:color w:val="auto"/>
          <w:szCs w:val="21"/>
          <w:highlight w:val="none"/>
        </w:rPr>
        <w:t>单独密封</w:t>
      </w:r>
      <w:r>
        <w:rPr>
          <w:rFonts w:hint="eastAsia" w:ascii="宋体" w:hAnsi="宋体" w:cs="宋体"/>
          <w:color w:val="auto"/>
          <w:szCs w:val="21"/>
          <w:highlight w:val="none"/>
        </w:rPr>
        <w:t>）、随纸质正本文件一并提交)。当电子版文件和纸质正本文件不一致时，以纸质正本文件为准。电子版文件用于辅助评标和存档，供应商需承担前述不一致造成的不利后果。</w:t>
      </w:r>
    </w:p>
    <w:p w14:paraId="0636D5E4">
      <w:pPr>
        <w:adjustRightInd w:val="0"/>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八、对本次招标提出询问，请按以下方式联系</w:t>
      </w:r>
      <w:r>
        <w:rPr>
          <w:rFonts w:hint="eastAsia" w:ascii="宋体" w:hAnsi="宋体" w:cs="宋体"/>
          <w:color w:val="auto"/>
          <w:szCs w:val="21"/>
          <w:highlight w:val="none"/>
        </w:rPr>
        <w:t>。</w:t>
      </w:r>
      <w:bookmarkEnd w:id="31"/>
      <w:bookmarkEnd w:id="32"/>
      <w:bookmarkEnd w:id="33"/>
      <w:bookmarkEnd w:id="34"/>
      <w:bookmarkStart w:id="35" w:name="_Toc28359096"/>
      <w:bookmarkStart w:id="36" w:name="_Toc35393637"/>
      <w:bookmarkStart w:id="37" w:name="_Toc28359019"/>
      <w:bookmarkStart w:id="38" w:name="_Toc35393806"/>
    </w:p>
    <w:bookmarkEnd w:id="3"/>
    <w:bookmarkEnd w:id="35"/>
    <w:bookmarkEnd w:id="36"/>
    <w:bookmarkEnd w:id="37"/>
    <w:bookmarkEnd w:id="38"/>
    <w:p w14:paraId="385C930C">
      <w:pPr>
        <w:spacing w:line="360" w:lineRule="auto"/>
        <w:ind w:firstLine="420" w:firstLineChars="200"/>
        <w:rPr>
          <w:rFonts w:ascii="宋体" w:hAnsi="宋体" w:cs="宋体"/>
          <w:color w:val="auto"/>
          <w:szCs w:val="21"/>
          <w:highlight w:val="none"/>
        </w:rPr>
      </w:pPr>
      <w:bookmarkStart w:id="39" w:name="_Toc515373930"/>
      <w:r>
        <w:rPr>
          <w:rFonts w:hint="eastAsia" w:cs="宋体"/>
          <w:color w:val="auto"/>
          <w:szCs w:val="21"/>
          <w:highlight w:val="none"/>
        </w:rPr>
        <w:t>1</w:t>
      </w:r>
      <w:r>
        <w:rPr>
          <w:rFonts w:hint="eastAsia" w:ascii="宋体" w:hAnsi="宋体" w:cs="宋体"/>
          <w:color w:val="auto"/>
          <w:szCs w:val="21"/>
          <w:highlight w:val="none"/>
        </w:rPr>
        <w:t>、采购人信息</w:t>
      </w:r>
    </w:p>
    <w:p w14:paraId="3EC510BF">
      <w:pPr>
        <w:spacing w:line="360" w:lineRule="auto"/>
        <w:ind w:firstLine="420" w:firstLineChars="200"/>
        <w:jc w:val="left"/>
        <w:rPr>
          <w:rFonts w:ascii="宋体" w:hAnsi="宋体" w:cs="宋体"/>
          <w:color w:val="auto"/>
          <w:szCs w:val="21"/>
          <w:highlight w:val="none"/>
        </w:rPr>
      </w:pPr>
      <w:bookmarkStart w:id="40" w:name="_Toc35393807"/>
      <w:bookmarkStart w:id="41" w:name="_Toc28359097"/>
      <w:bookmarkStart w:id="42" w:name="_Toc35393638"/>
      <w:bookmarkStart w:id="43" w:name="_Toc28359020"/>
      <w:r>
        <w:rPr>
          <w:rFonts w:hint="eastAsia" w:ascii="宋体" w:hAnsi="宋体" w:cs="宋体"/>
          <w:color w:val="auto"/>
          <w:szCs w:val="21"/>
          <w:highlight w:val="none"/>
        </w:rPr>
        <w:t>名 称：扬州锦汇置业投资有限公司</w:t>
      </w:r>
    </w:p>
    <w:p w14:paraId="36838640">
      <w:pPr>
        <w:spacing w:line="360" w:lineRule="auto"/>
        <w:ind w:firstLine="420" w:firstLineChars="200"/>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、采购代理机构信息</w:t>
      </w:r>
      <w:bookmarkEnd w:id="40"/>
      <w:bookmarkEnd w:id="41"/>
      <w:bookmarkEnd w:id="42"/>
      <w:bookmarkEnd w:id="43"/>
    </w:p>
    <w:p w14:paraId="4696265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称：江苏时代投资咨询有限公司</w:t>
      </w:r>
    </w:p>
    <w:p w14:paraId="2C4358D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址：扬州市广陵区汶河北路</w:t>
      </w:r>
      <w:r>
        <w:rPr>
          <w:rFonts w:hint="eastAsia" w:cs="宋体"/>
          <w:color w:val="auto"/>
          <w:szCs w:val="21"/>
          <w:highlight w:val="none"/>
        </w:rPr>
        <w:t>65</w:t>
      </w:r>
      <w:r>
        <w:rPr>
          <w:rFonts w:hint="eastAsia" w:ascii="宋体" w:hAnsi="宋体" w:cs="宋体"/>
          <w:color w:val="auto"/>
          <w:szCs w:val="21"/>
          <w:highlight w:val="none"/>
        </w:rPr>
        <w:t>号二楼</w:t>
      </w:r>
    </w:p>
    <w:p w14:paraId="04802CC4">
      <w:pPr>
        <w:spacing w:line="360" w:lineRule="auto"/>
        <w:ind w:firstLine="420" w:firstLineChars="200"/>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、项目联系方式</w:t>
      </w:r>
    </w:p>
    <w:p w14:paraId="7322D8F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项目联系人：林露、杨小新</w:t>
      </w:r>
    </w:p>
    <w:p w14:paraId="3711E45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    话：</w:t>
      </w:r>
      <w:r>
        <w:rPr>
          <w:rFonts w:hint="eastAsia" w:cs="宋体"/>
          <w:color w:val="auto"/>
          <w:szCs w:val="21"/>
          <w:highlight w:val="none"/>
        </w:rPr>
        <w:t>18652792880</w:t>
      </w:r>
      <w:r>
        <w:rPr>
          <w:rFonts w:hint="eastAsia" w:ascii="宋体" w:hAnsi="宋体" w:cs="宋体"/>
          <w:color w:val="auto"/>
          <w:szCs w:val="21"/>
          <w:highlight w:val="none"/>
        </w:rPr>
        <w:t>、</w:t>
      </w:r>
      <w:r>
        <w:rPr>
          <w:rFonts w:hint="eastAsia" w:cs="宋体"/>
          <w:color w:val="auto"/>
          <w:szCs w:val="21"/>
          <w:highlight w:val="none"/>
        </w:rPr>
        <w:t>18652798268</w:t>
      </w:r>
    </w:p>
    <w:p w14:paraId="18F016AD">
      <w:pPr>
        <w:spacing w:line="360" w:lineRule="auto"/>
        <w:rPr>
          <w:rFonts w:ascii="宋体" w:hAnsi="宋体" w:cs="宋体"/>
          <w:color w:val="auto"/>
          <w:sz w:val="36"/>
          <w:highlight w:val="none"/>
        </w:rPr>
      </w:pPr>
      <w:r>
        <w:rPr>
          <w:rFonts w:hint="eastAsia" w:ascii="宋体" w:hAnsi="宋体" w:cs="宋体"/>
          <w:color w:val="auto"/>
          <w:sz w:val="36"/>
          <w:highlight w:val="none"/>
        </w:rPr>
        <w:br w:type="page"/>
      </w:r>
    </w:p>
    <w:bookmarkEnd w:id="39"/>
    <w:p w14:paraId="486A8578">
      <w:pPr>
        <w:pStyle w:val="4"/>
        <w:spacing w:before="0" w:after="0" w:line="360" w:lineRule="auto"/>
        <w:jc w:val="center"/>
        <w:rPr>
          <w:rFonts w:ascii="宋体" w:hAnsi="宋体" w:cs="宋体"/>
          <w:bCs w:val="0"/>
          <w:color w:val="auto"/>
          <w:sz w:val="15"/>
          <w:szCs w:val="15"/>
          <w:highlight w:val="none"/>
        </w:rPr>
      </w:pPr>
      <w:bookmarkStart w:id="44" w:name="_Toc1990"/>
      <w:bookmarkStart w:id="45" w:name="_Toc25069"/>
      <w:bookmarkStart w:id="46" w:name="_Toc24522"/>
      <w:bookmarkStart w:id="47" w:name="_Toc1540"/>
      <w:bookmarkStart w:id="48" w:name="_Toc61149549"/>
      <w:bookmarkStart w:id="49" w:name="_Toc513029209"/>
      <w:bookmarkStart w:id="50" w:name="_Toc14577347"/>
      <w:bookmarkStart w:id="51" w:name="_Toc434"/>
      <w:bookmarkStart w:id="52" w:name="_Toc7555"/>
      <w:bookmarkStart w:id="53" w:name="_Toc31555"/>
      <w:bookmarkStart w:id="54" w:name="_Toc26532"/>
      <w:bookmarkStart w:id="55" w:name="_Toc10719"/>
      <w:bookmarkStart w:id="56" w:name="_Toc511745459"/>
      <w:bookmarkStart w:id="57" w:name="_Toc12793"/>
      <w:bookmarkStart w:id="58" w:name="_Toc24903"/>
      <w:bookmarkStart w:id="59" w:name="_Toc12879"/>
      <w:bookmarkStart w:id="60" w:name="_Toc11716"/>
      <w:bookmarkStart w:id="61" w:name="_Toc515373931"/>
      <w:r>
        <w:rPr>
          <w:rFonts w:hint="eastAsia" w:ascii="宋体" w:hAnsi="宋体" w:cs="宋体"/>
          <w:bCs w:val="0"/>
          <w:color w:val="auto"/>
          <w:sz w:val="36"/>
          <w:szCs w:val="36"/>
          <w:highlight w:val="none"/>
        </w:rPr>
        <w:t>第二章  磋商须知</w:t>
      </w:r>
      <w:bookmarkEnd w:id="44"/>
      <w:bookmarkEnd w:id="45"/>
      <w:bookmarkEnd w:id="46"/>
      <w:bookmarkEnd w:id="47"/>
    </w:p>
    <w:p w14:paraId="62C8A715">
      <w:pPr>
        <w:spacing w:line="360" w:lineRule="auto"/>
        <w:jc w:val="center"/>
        <w:rPr>
          <w:rFonts w:ascii="宋体" w:hAnsi="宋体" w:cs="宋体"/>
          <w:b/>
          <w:bCs/>
          <w:color w:val="auto"/>
          <w:szCs w:val="21"/>
          <w:highlight w:val="none"/>
        </w:rPr>
      </w:pPr>
      <w:r>
        <w:rPr>
          <w:rFonts w:hint="eastAsia" w:ascii="宋体" w:hAnsi="宋体" w:cs="宋体"/>
          <w:bCs/>
          <w:color w:val="auto"/>
          <w:szCs w:val="21"/>
          <w:highlight w:val="none"/>
        </w:rPr>
        <w:t>（参加竞争性磋商的供应商以下简称“磋商供应商”）</w:t>
      </w:r>
    </w:p>
    <w:bookmarkEnd w:id="48"/>
    <w:bookmarkEnd w:id="49"/>
    <w:bookmarkEnd w:id="50"/>
    <w:p w14:paraId="3EC7BDEF">
      <w:pPr>
        <w:tabs>
          <w:tab w:val="left" w:pos="90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一、总则</w:t>
      </w:r>
    </w:p>
    <w:bookmarkEnd w:id="51"/>
    <w:bookmarkEnd w:id="52"/>
    <w:bookmarkEnd w:id="53"/>
    <w:bookmarkEnd w:id="54"/>
    <w:bookmarkEnd w:id="55"/>
    <w:bookmarkEnd w:id="56"/>
    <w:bookmarkEnd w:id="57"/>
    <w:bookmarkEnd w:id="58"/>
    <w:bookmarkEnd w:id="59"/>
    <w:bookmarkEnd w:id="60"/>
    <w:p w14:paraId="6A7CC83E">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1、适用范围</w:t>
      </w:r>
    </w:p>
    <w:p w14:paraId="42D208A6">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本竞争性磋商文件（以下简称磋商文件）仅适用此项目。</w:t>
      </w:r>
    </w:p>
    <w:p w14:paraId="4E96732E">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2、项目采购方式</w:t>
      </w:r>
    </w:p>
    <w:p w14:paraId="2F95CD94">
      <w:pPr>
        <w:tabs>
          <w:tab w:val="left" w:pos="900"/>
        </w:tabs>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本次采购采取竞争性磋商的方式。</w:t>
      </w:r>
    </w:p>
    <w:p w14:paraId="79A22F08">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3、合格的磋商供应商</w:t>
      </w:r>
    </w:p>
    <w:p w14:paraId="561ECADB">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3.1满足本磋商文件“竞争性磋商公告”中合格磋商供应商资格要求的规定。</w:t>
      </w:r>
    </w:p>
    <w:p w14:paraId="4C14036F">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满足本磋商文件实质性要求和条件的规定。</w:t>
      </w:r>
    </w:p>
    <w:p w14:paraId="1B66AD26">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4、参加磋商费用</w:t>
      </w:r>
    </w:p>
    <w:p w14:paraId="2A082DD3">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4.1参加磋商供应商应自行承担所有与参加磋商有关的费用。不论最终的成交结果如何，江苏时代投资咨询有限公司（以下简称代理机构）和采购人在任何情况下均无义务和责任承担这些费用。</w:t>
      </w:r>
    </w:p>
    <w:p w14:paraId="077A4EDA">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4.2本次采购由成交人在领取成交通知书前一次性支付专家评审费（专家评审费暂按500元/人次计取，按实结算（不提供发票））。专家评审费以现金形式支付，专家评审费不在报价中单列。</w:t>
      </w:r>
    </w:p>
    <w:p w14:paraId="0CEB32D0">
      <w:pPr>
        <w:tabs>
          <w:tab w:val="left" w:pos="900"/>
        </w:tabs>
        <w:spacing w:line="360" w:lineRule="auto"/>
        <w:ind w:firstLine="420" w:firstLineChars="200"/>
        <w:rPr>
          <w:rFonts w:ascii="宋体" w:hAnsi="宋体" w:cs="宋体"/>
          <w:color w:val="auto"/>
          <w:szCs w:val="21"/>
          <w:highlight w:val="none"/>
        </w:rPr>
      </w:pPr>
      <w:bookmarkStart w:id="62" w:name="_Toc20823282"/>
      <w:bookmarkStart w:id="63" w:name="_Toc16938526"/>
      <w:bookmarkStart w:id="64" w:name="_Toc513029210"/>
      <w:r>
        <w:rPr>
          <w:rFonts w:hint="eastAsia" w:ascii="宋体" w:hAnsi="宋体" w:cs="宋体"/>
          <w:color w:val="auto"/>
          <w:szCs w:val="21"/>
          <w:highlight w:val="none"/>
        </w:rPr>
        <w:t>5、磋商文件的约束力</w:t>
      </w:r>
    </w:p>
    <w:p w14:paraId="6F17DC29">
      <w:pPr>
        <w:tabs>
          <w:tab w:val="left" w:pos="900"/>
        </w:tabs>
        <w:spacing w:line="360" w:lineRule="auto"/>
        <w:ind w:left="120" w:leftChars="57" w:firstLine="420" w:firstLineChars="200"/>
        <w:rPr>
          <w:rFonts w:ascii="宋体" w:hAnsi="宋体" w:cs="宋体"/>
          <w:color w:val="auto"/>
          <w:szCs w:val="21"/>
          <w:highlight w:val="none"/>
        </w:rPr>
      </w:pPr>
      <w:r>
        <w:rPr>
          <w:rFonts w:hint="eastAsia" w:ascii="宋体" w:hAnsi="宋体" w:cs="宋体"/>
          <w:color w:val="auto"/>
          <w:szCs w:val="21"/>
          <w:highlight w:val="none"/>
        </w:rPr>
        <w:t>供应商一旦下载了本磋商文件并决定参加磋商，即被认为接受了本磋商文件的规定和约束，并且视为自竞争性磋商公告期限届满之日起已经知道或应当知道自身权益是否受到了损害。</w:t>
      </w:r>
    </w:p>
    <w:p w14:paraId="16A96A93">
      <w:pPr>
        <w:tabs>
          <w:tab w:val="left" w:pos="900"/>
        </w:tabs>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6、磋商文件的询问及修改</w:t>
      </w:r>
    </w:p>
    <w:p w14:paraId="554C1C1C">
      <w:pPr>
        <w:tabs>
          <w:tab w:val="left" w:pos="900"/>
        </w:tabs>
        <w:spacing w:line="360" w:lineRule="auto"/>
        <w:ind w:left="120" w:leftChars="57" w:firstLine="420" w:firstLineChars="200"/>
        <w:rPr>
          <w:rFonts w:ascii="宋体" w:hAnsi="宋体" w:cs="宋体"/>
          <w:color w:val="auto"/>
          <w:szCs w:val="21"/>
          <w:highlight w:val="none"/>
        </w:rPr>
      </w:pPr>
      <w:r>
        <w:rPr>
          <w:rFonts w:hint="eastAsia" w:ascii="宋体" w:hAnsi="宋体" w:cs="宋体"/>
          <w:bCs/>
          <w:color w:val="auto"/>
          <w:szCs w:val="21"/>
          <w:highlight w:val="none"/>
        </w:rPr>
        <w:t>6.1任何要求</w:t>
      </w:r>
      <w:r>
        <w:rPr>
          <w:rFonts w:hint="eastAsia" w:ascii="宋体" w:hAnsi="宋体" w:cs="宋体"/>
          <w:color w:val="auto"/>
          <w:szCs w:val="21"/>
          <w:highlight w:val="none"/>
        </w:rPr>
        <w:t>对磋商文件进行询问的供应商，均应在提交首次响应文件截止时间5日前按采购公告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扬州市公共资源交易平台邗江分中心国企采购栏目”、“扬州维扬发展投资有限公司”网站上发布更正公告通知所有获取磋商文件的供应商。不足5日的，代理机构应当顺延提交首次响应文件截止时间。</w:t>
      </w:r>
    </w:p>
    <w:p w14:paraId="3A672974">
      <w:pPr>
        <w:tabs>
          <w:tab w:val="left" w:pos="900"/>
        </w:tabs>
        <w:spacing w:line="360" w:lineRule="auto"/>
        <w:ind w:left="120" w:leftChars="57" w:firstLine="420" w:firstLineChars="200"/>
        <w:rPr>
          <w:rFonts w:ascii="宋体" w:hAnsi="宋体" w:cs="宋体"/>
          <w:color w:val="auto"/>
          <w:szCs w:val="21"/>
          <w:highlight w:val="none"/>
        </w:rPr>
      </w:pPr>
      <w:r>
        <w:rPr>
          <w:rFonts w:hint="eastAsia" w:ascii="宋体" w:hAnsi="宋体" w:cs="宋体"/>
          <w:color w:val="auto"/>
          <w:szCs w:val="21"/>
          <w:highlight w:val="none"/>
        </w:rPr>
        <w:t>6.2代理机构或采购人可以视采购项目的具体情况，组织供应商进行现场考察或召开磋商前答疑会，但不单独或分别组织只有一个供应商参加的现场考察和答疑会。</w:t>
      </w:r>
    </w:p>
    <w:p w14:paraId="22F3280B">
      <w:pPr>
        <w:tabs>
          <w:tab w:val="left" w:pos="900"/>
        </w:tabs>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7、磋商文件的解释</w:t>
      </w:r>
    </w:p>
    <w:p w14:paraId="3678D4E2">
      <w:pP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7.1 本磋商文件由代理机构负责解释。</w:t>
      </w:r>
    </w:p>
    <w:p w14:paraId="79D526CB">
      <w:pPr>
        <w:spacing w:line="360" w:lineRule="auto"/>
        <w:ind w:firstLine="527" w:firstLineChars="250"/>
        <w:rPr>
          <w:rFonts w:ascii="宋体" w:hAnsi="宋体" w:cs="宋体"/>
          <w:bCs/>
          <w:color w:val="auto"/>
          <w:szCs w:val="21"/>
          <w:highlight w:val="none"/>
        </w:rPr>
      </w:pPr>
      <w:r>
        <w:rPr>
          <w:rFonts w:hint="eastAsia" w:ascii="宋体" w:hAnsi="宋体" w:cs="宋体"/>
          <w:b/>
          <w:color w:val="auto"/>
          <w:szCs w:val="21"/>
          <w:highlight w:val="none"/>
        </w:rPr>
        <w:t>二、磋商响应文件的编制及保证金收取</w:t>
      </w:r>
    </w:p>
    <w:p w14:paraId="57BBB2B9">
      <w:pPr>
        <w:tabs>
          <w:tab w:val="left" w:pos="900"/>
        </w:tabs>
        <w:spacing w:line="360" w:lineRule="auto"/>
        <w:ind w:firstLine="420" w:firstLineChars="200"/>
        <w:rPr>
          <w:rFonts w:ascii="宋体" w:hAnsi="宋体" w:cs="宋体"/>
          <w:color w:val="auto"/>
          <w:szCs w:val="21"/>
          <w:highlight w:val="none"/>
        </w:rPr>
      </w:pPr>
      <w:bookmarkStart w:id="65" w:name="_Toc14577361"/>
      <w:bookmarkStart w:id="66" w:name="_Toc513029223"/>
      <w:bookmarkStart w:id="67" w:name="_Toc61149561"/>
      <w:bookmarkStart w:id="68" w:name="_Toc61149562"/>
      <w:bookmarkStart w:id="69" w:name="_Toc14577362"/>
      <w:bookmarkStart w:id="70" w:name="_Toc513029224"/>
      <w:r>
        <w:rPr>
          <w:rFonts w:hint="eastAsia" w:ascii="宋体" w:hAnsi="宋体" w:cs="宋体"/>
          <w:color w:val="auto"/>
          <w:szCs w:val="21"/>
          <w:highlight w:val="none"/>
        </w:rPr>
        <w:t>1、磋商响应文件份数和签署</w:t>
      </w:r>
      <w:bookmarkEnd w:id="65"/>
      <w:bookmarkEnd w:id="66"/>
      <w:bookmarkEnd w:id="67"/>
    </w:p>
    <w:p w14:paraId="2E3667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1.1磋商供应商应严格按照竞争性磋商公告要求准备响应文件（以下简称响应文件），每份响应文件须清楚地标明“正本”或“副本”字样。电子版响应文件一份(一般应为pdf格式，U盘形式</w:t>
      </w:r>
      <w:r>
        <w:rPr>
          <w:rFonts w:hint="eastAsia" w:ascii="宋体" w:hAnsi="宋体" w:cs="宋体"/>
          <w:b/>
          <w:bCs/>
          <w:color w:val="auto"/>
          <w:szCs w:val="21"/>
          <w:highlight w:val="none"/>
        </w:rPr>
        <w:t>（单独密封）</w:t>
      </w:r>
      <w:r>
        <w:rPr>
          <w:rFonts w:hint="eastAsia" w:ascii="宋体" w:hAnsi="宋体" w:cs="宋体"/>
          <w:color w:val="auto"/>
          <w:szCs w:val="21"/>
          <w:highlight w:val="none"/>
        </w:rPr>
        <w:t>、随纸质响应文件文件一并提交)。当电子版响应文件和纸质正本响应文件不一致时，以纸质正本响应文件为准。电子版文件用于辅助评标和存档，供应商需承担前述不一致造成的不利后果。</w:t>
      </w:r>
    </w:p>
    <w:p w14:paraId="12FD83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14:paraId="215CBB77">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除磋商供应商对错处做必要修改外，响应文件不得行间插字、涂改或增删。如有修改错漏处，必须由响应文件签署人签字或盖章。</w:t>
      </w:r>
    </w:p>
    <w:p w14:paraId="6C37337E">
      <w:pPr>
        <w:tabs>
          <w:tab w:val="left" w:pos="900"/>
        </w:tabs>
        <w:spacing w:line="360" w:lineRule="auto"/>
        <w:ind w:firstLine="420" w:firstLineChars="200"/>
        <w:rPr>
          <w:rFonts w:ascii="宋体" w:hAnsi="宋体" w:cs="宋体"/>
          <w:color w:val="auto"/>
          <w:szCs w:val="21"/>
          <w:highlight w:val="none"/>
        </w:rPr>
      </w:pPr>
      <w:bookmarkStart w:id="71" w:name="_Hlt26954834"/>
      <w:bookmarkEnd w:id="71"/>
      <w:bookmarkStart w:id="72" w:name="_Toc513029215"/>
      <w:bookmarkStart w:id="73" w:name="_Toc61149555"/>
      <w:bookmarkStart w:id="74" w:name="_Toc462564074"/>
      <w:bookmarkStart w:id="75" w:name="_Toc14577353"/>
      <w:bookmarkStart w:id="76" w:name="_Toc462564073"/>
      <w:bookmarkStart w:id="77" w:name="_Toc513029214"/>
      <w:bookmarkStart w:id="78" w:name="_Toc61149554"/>
      <w:bookmarkStart w:id="79" w:name="_Toc14577352"/>
      <w:r>
        <w:rPr>
          <w:rFonts w:hint="eastAsia" w:ascii="宋体" w:hAnsi="宋体" w:cs="宋体"/>
          <w:color w:val="auto"/>
          <w:szCs w:val="21"/>
          <w:highlight w:val="none"/>
        </w:rPr>
        <w:t>2、响应文件</w:t>
      </w:r>
      <w:bookmarkEnd w:id="72"/>
      <w:bookmarkEnd w:id="73"/>
      <w:bookmarkEnd w:id="74"/>
      <w:bookmarkEnd w:id="75"/>
      <w:r>
        <w:rPr>
          <w:rFonts w:hint="eastAsia" w:ascii="宋体" w:hAnsi="宋体" w:cs="宋体"/>
          <w:color w:val="auto"/>
          <w:szCs w:val="21"/>
          <w:highlight w:val="none"/>
        </w:rPr>
        <w:t>编制要求</w:t>
      </w:r>
    </w:p>
    <w:bookmarkEnd w:id="76"/>
    <w:bookmarkEnd w:id="77"/>
    <w:bookmarkEnd w:id="78"/>
    <w:bookmarkEnd w:id="79"/>
    <w:p w14:paraId="716B6A15">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2.1磋商供应商提交的响应文件以及磋商供应商与代理机构及采购人就有关磋商的所有来往函电均应使用简体中文。磋商文件中既有中文也有外文的，以中文意义为准。</w:t>
      </w:r>
    </w:p>
    <w:p w14:paraId="0B8BD452">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除技术性能另有规定外，响应文件所使用的度量衡单位，均须采用国家法定计量单位。</w:t>
      </w:r>
    </w:p>
    <w:p w14:paraId="2A67F032">
      <w:pPr>
        <w:tabs>
          <w:tab w:val="left" w:pos="900"/>
        </w:tabs>
        <w:spacing w:line="360" w:lineRule="auto"/>
        <w:ind w:firstLine="525" w:firstLineChars="250"/>
        <w:rPr>
          <w:rFonts w:ascii="宋体" w:hAnsi="宋体" w:cs="宋体"/>
          <w:color w:val="auto"/>
          <w:szCs w:val="21"/>
          <w:highlight w:val="none"/>
        </w:rPr>
      </w:pPr>
      <w:bookmarkStart w:id="80" w:name="_Hlt26670357"/>
      <w:bookmarkEnd w:id="80"/>
      <w:bookmarkStart w:id="81" w:name="_Hlt26954836"/>
      <w:bookmarkEnd w:id="81"/>
      <w:bookmarkStart w:id="82" w:name="_Toc61149558"/>
      <w:bookmarkStart w:id="83" w:name="_Toc14577357"/>
      <w:bookmarkStart w:id="84" w:name="_Toc513029219"/>
      <w:bookmarkStart w:id="85" w:name="_Toc14577355"/>
      <w:bookmarkStart w:id="86" w:name="_Toc513029217"/>
      <w:bookmarkStart w:id="87" w:name="_Toc61149557"/>
      <w:r>
        <w:rPr>
          <w:rFonts w:hint="eastAsia" w:ascii="宋体" w:hAnsi="宋体" w:cs="宋体"/>
          <w:color w:val="auto"/>
          <w:szCs w:val="21"/>
          <w:highlight w:val="none"/>
        </w:rPr>
        <w:t>3、参加磋商供应商资格的文件</w:t>
      </w:r>
      <w:bookmarkEnd w:id="82"/>
      <w:bookmarkEnd w:id="83"/>
      <w:bookmarkEnd w:id="84"/>
      <w:r>
        <w:rPr>
          <w:rFonts w:hint="eastAsia" w:ascii="宋体" w:hAnsi="宋体" w:cs="宋体"/>
          <w:color w:val="auto"/>
          <w:szCs w:val="21"/>
          <w:highlight w:val="none"/>
        </w:rPr>
        <w:t>证明</w:t>
      </w:r>
    </w:p>
    <w:p w14:paraId="23442289">
      <w:pPr>
        <w:tabs>
          <w:tab w:val="left" w:pos="900"/>
        </w:tabs>
        <w:spacing w:line="360" w:lineRule="auto"/>
        <w:ind w:left="120" w:leftChars="57" w:firstLine="420" w:firstLineChars="200"/>
        <w:rPr>
          <w:rFonts w:ascii="宋体" w:hAnsi="宋体" w:cs="宋体"/>
          <w:color w:val="auto"/>
          <w:szCs w:val="21"/>
          <w:highlight w:val="none"/>
        </w:rPr>
      </w:pPr>
      <w:bookmarkStart w:id="88" w:name="_Hlt26668999"/>
      <w:bookmarkEnd w:id="88"/>
      <w:r>
        <w:rPr>
          <w:rFonts w:hint="eastAsia" w:ascii="宋体" w:hAnsi="宋体" w:cs="宋体"/>
          <w:color w:val="auto"/>
          <w:szCs w:val="21"/>
          <w:highlight w:val="none"/>
        </w:rPr>
        <w:t>3.1磋商供应商应提交证明其有资格参加磋商和成交后有能力独立履行合同的文件，并作为其响应文件的一部分。</w:t>
      </w:r>
    </w:p>
    <w:p w14:paraId="0AC1CC14">
      <w:pPr>
        <w:tabs>
          <w:tab w:val="left" w:pos="900"/>
        </w:tabs>
        <w:spacing w:line="360" w:lineRule="auto"/>
        <w:ind w:left="120" w:leftChars="57" w:firstLine="420" w:firstLineChars="200"/>
        <w:rPr>
          <w:rFonts w:ascii="宋体" w:hAnsi="宋体" w:cs="宋体"/>
          <w:color w:val="auto"/>
          <w:szCs w:val="21"/>
          <w:highlight w:val="none"/>
        </w:rPr>
      </w:pPr>
      <w:r>
        <w:rPr>
          <w:rFonts w:hint="eastAsia" w:ascii="宋体" w:hAnsi="宋体" w:cs="宋体"/>
          <w:color w:val="auto"/>
          <w:szCs w:val="21"/>
          <w:highlight w:val="none"/>
        </w:rPr>
        <w:t>3.2磋商供应商除必须具有履行合同所需提供的设备以及服务的能力外，还必须具备相应的财务、技术方面的能力。</w:t>
      </w:r>
    </w:p>
    <w:p w14:paraId="577F8397">
      <w:pPr>
        <w:tabs>
          <w:tab w:val="left" w:pos="900"/>
        </w:tabs>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3.3磋商供应商应填写并提交磋商文件所附的“资格证明文件”。</w:t>
      </w:r>
    </w:p>
    <w:p w14:paraId="24D2AF48">
      <w:pPr>
        <w:tabs>
          <w:tab w:val="left" w:pos="900"/>
        </w:tabs>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4、磋商响应报价</w:t>
      </w:r>
      <w:bookmarkEnd w:id="85"/>
      <w:bookmarkEnd w:id="86"/>
      <w:bookmarkStart w:id="89" w:name="_Hlt26670373"/>
      <w:bookmarkEnd w:id="89"/>
      <w:r>
        <w:rPr>
          <w:rFonts w:hint="eastAsia" w:ascii="宋体" w:hAnsi="宋体" w:cs="宋体"/>
          <w:color w:val="auto"/>
          <w:szCs w:val="21"/>
          <w:highlight w:val="none"/>
        </w:rPr>
        <w:t>表</w:t>
      </w:r>
      <w:bookmarkEnd w:id="87"/>
    </w:p>
    <w:p w14:paraId="1A3F36B9">
      <w:pPr>
        <w:tabs>
          <w:tab w:val="left" w:pos="900"/>
        </w:tabs>
        <w:spacing w:line="360" w:lineRule="auto"/>
        <w:ind w:left="120" w:leftChars="57" w:firstLine="420" w:firstLineChars="200"/>
        <w:rPr>
          <w:rFonts w:ascii="宋体" w:hAnsi="宋体" w:cs="宋体"/>
          <w:color w:val="auto"/>
          <w:szCs w:val="21"/>
          <w:highlight w:val="none"/>
        </w:rPr>
      </w:pPr>
      <w:r>
        <w:rPr>
          <w:rFonts w:hint="eastAsia" w:ascii="宋体" w:hAnsi="宋体" w:cs="宋体"/>
          <w:color w:val="auto"/>
          <w:szCs w:val="21"/>
          <w:highlight w:val="none"/>
        </w:rPr>
        <w:t>4.1磋商供应商应按照磋商文件规定格式填报磋商响应报价表（含分项报价）。每项产品或服务只允许有一个报价，任何有选择的报价将不予接受，磋商文件中另有规定的按规定执行。</w:t>
      </w:r>
    </w:p>
    <w:p w14:paraId="61B52E95">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4.2标的物</w:t>
      </w:r>
    </w:p>
    <w:p w14:paraId="15585E6D">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详见项目需求。</w:t>
      </w:r>
    </w:p>
    <w:p w14:paraId="2DF2631B">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4.3有关费用处理</w:t>
      </w:r>
    </w:p>
    <w:p w14:paraId="15CF691B">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本次采购磋商供应商的总报价应包括为完成本项目发生的所有费用，本磋商文件中另有规定的除外。</w:t>
      </w:r>
    </w:p>
    <w:p w14:paraId="495798E9">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4.4其它费用处理</w:t>
      </w:r>
    </w:p>
    <w:p w14:paraId="24ED88DC">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磋商文件未列明，而磋商供应商认为必须的费用也须列入报价。</w:t>
      </w:r>
    </w:p>
    <w:p w14:paraId="68D79876">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4.5报价采用的货币</w:t>
      </w:r>
    </w:p>
    <w:p w14:paraId="09BF64BE">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响应文件中的单价和总价，无特殊规定的采用人民币报价，以元为单位标注。磋商文件中另有规定的按规定执行。</w:t>
      </w:r>
    </w:p>
    <w:p w14:paraId="15C965B8">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 磋商响应报价表上的价格应按磋商文件规定填写。</w:t>
      </w:r>
    </w:p>
    <w:p w14:paraId="57D1AEA7">
      <w:pPr>
        <w:tabs>
          <w:tab w:val="left" w:pos="900"/>
        </w:tabs>
        <w:spacing w:line="360" w:lineRule="auto"/>
        <w:ind w:firstLine="420" w:firstLineChars="200"/>
        <w:rPr>
          <w:rFonts w:ascii="宋体" w:hAnsi="宋体" w:cs="宋体"/>
          <w:color w:val="auto"/>
          <w:szCs w:val="21"/>
          <w:highlight w:val="none"/>
        </w:rPr>
      </w:pPr>
      <w:bookmarkStart w:id="90" w:name="_Hlt26954848"/>
      <w:bookmarkEnd w:id="90"/>
      <w:bookmarkStart w:id="91" w:name="_Hlt26954842"/>
      <w:bookmarkEnd w:id="91"/>
      <w:bookmarkStart w:id="92" w:name="_Hlt26670403"/>
      <w:bookmarkEnd w:id="92"/>
      <w:bookmarkStart w:id="93" w:name="_Hlt26670482"/>
      <w:bookmarkEnd w:id="93"/>
      <w:bookmarkStart w:id="94" w:name="_Hlt26670425"/>
      <w:bookmarkEnd w:id="94"/>
      <w:bookmarkStart w:id="95" w:name="_Hlt26954844"/>
      <w:bookmarkEnd w:id="95"/>
      <w:bookmarkStart w:id="96" w:name="_Hlt26670486"/>
      <w:bookmarkEnd w:id="96"/>
      <w:bookmarkStart w:id="97" w:name="_Hlt26954846"/>
      <w:bookmarkEnd w:id="97"/>
      <w:bookmarkStart w:id="98" w:name="_Hlt26954731"/>
      <w:bookmarkEnd w:id="98"/>
      <w:bookmarkStart w:id="99" w:name="_Hlt26668983"/>
      <w:bookmarkEnd w:id="99"/>
      <w:bookmarkStart w:id="100" w:name="_Toc14577359"/>
      <w:bookmarkStart w:id="101" w:name="_Toc61149559"/>
      <w:bookmarkStart w:id="102" w:name="_Toc513029221"/>
      <w:r>
        <w:rPr>
          <w:rFonts w:hint="eastAsia" w:ascii="宋体" w:hAnsi="宋体" w:cs="宋体"/>
          <w:color w:val="auto"/>
          <w:szCs w:val="21"/>
          <w:highlight w:val="none"/>
        </w:rPr>
        <w:t>5、项目需求响应方案</w:t>
      </w:r>
    </w:p>
    <w:p w14:paraId="3B624573">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5.1提供为完成本项目的总体实施方案。</w:t>
      </w:r>
    </w:p>
    <w:p w14:paraId="752B96A4">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5.2对磋商文件中项目需求的技术与商务条款要求逐项作出应答，并提供依据或说明。</w:t>
      </w:r>
    </w:p>
    <w:p w14:paraId="48231A8A">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5.3磋商供应商认为需要的其他技术文件或说明。</w:t>
      </w:r>
    </w:p>
    <w:p w14:paraId="61BFE985">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6、磋商保证金</w:t>
      </w:r>
      <w:bookmarkEnd w:id="100"/>
      <w:bookmarkEnd w:id="101"/>
      <w:bookmarkEnd w:id="102"/>
    </w:p>
    <w:p w14:paraId="43296259">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本项目免收磋商保证金</w:t>
      </w:r>
    </w:p>
    <w:p w14:paraId="5187985D">
      <w:pPr>
        <w:tabs>
          <w:tab w:val="left" w:pos="90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三、响应文件的递交</w:t>
      </w:r>
      <w:bookmarkEnd w:id="68"/>
      <w:bookmarkEnd w:id="69"/>
      <w:bookmarkEnd w:id="70"/>
    </w:p>
    <w:p w14:paraId="39B90DE2">
      <w:pPr>
        <w:tabs>
          <w:tab w:val="left" w:pos="900"/>
        </w:tabs>
        <w:spacing w:line="360" w:lineRule="auto"/>
        <w:ind w:firstLine="420" w:firstLineChars="200"/>
        <w:rPr>
          <w:rFonts w:ascii="宋体" w:hAnsi="宋体" w:cs="宋体"/>
          <w:color w:val="auto"/>
          <w:szCs w:val="21"/>
          <w:highlight w:val="none"/>
        </w:rPr>
      </w:pPr>
      <w:bookmarkStart w:id="103" w:name="_Hlt26954856"/>
      <w:bookmarkEnd w:id="103"/>
      <w:bookmarkStart w:id="104" w:name="_Toc61149563"/>
      <w:bookmarkStart w:id="105" w:name="_Toc513029225"/>
      <w:bookmarkStart w:id="106" w:name="_Toc14577363"/>
      <w:bookmarkStart w:id="107" w:name="_Toc462564084"/>
      <w:r>
        <w:rPr>
          <w:rFonts w:hint="eastAsia" w:ascii="宋体" w:hAnsi="宋体" w:cs="宋体"/>
          <w:color w:val="auto"/>
          <w:szCs w:val="21"/>
          <w:highlight w:val="none"/>
        </w:rPr>
        <w:t>1、响应文件</w:t>
      </w:r>
      <w:bookmarkStart w:id="108" w:name="_Hlt26954743"/>
      <w:bookmarkEnd w:id="108"/>
      <w:r>
        <w:rPr>
          <w:rFonts w:hint="eastAsia" w:ascii="宋体" w:hAnsi="宋体" w:cs="宋体"/>
          <w:color w:val="auto"/>
          <w:szCs w:val="21"/>
          <w:highlight w:val="none"/>
        </w:rPr>
        <w:t>的密封和标记</w:t>
      </w:r>
      <w:bookmarkEnd w:id="104"/>
      <w:bookmarkEnd w:id="105"/>
      <w:bookmarkEnd w:id="106"/>
      <w:bookmarkEnd w:id="107"/>
    </w:p>
    <w:p w14:paraId="68232775">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1.1磋商供应商应严格按照竞争性磋商公告要求的份数准备响应文件，每份响应文件须清楚地标明“正本”或“副本”字样。一旦正本和副本不符，以正本为准。磋商供应商应将响应文件正本和所有副本密封。</w:t>
      </w:r>
    </w:p>
    <w:p w14:paraId="424D941C">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1.2密封的响应文件应：</w:t>
      </w:r>
    </w:p>
    <w:p w14:paraId="16EFD340">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（1）按磋商公告中注明的地址送达规定地点；</w:t>
      </w:r>
    </w:p>
    <w:p w14:paraId="7EF990F9">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（2）注明参加磋商项目名称、项目编号及参加的分包号（如有）；</w:t>
      </w:r>
    </w:p>
    <w:p w14:paraId="5D540050">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（3）密封包装上应写明磋商供应商名称和地址。</w:t>
      </w:r>
    </w:p>
    <w:p w14:paraId="361DEF68">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1.3如果密封包装未按要求密封和加写标记，代理机构对误投或过早启封概不负责。对由此造成提前开封的响应文件，代理机构将予以拒绝，作无效响应处理。</w:t>
      </w:r>
    </w:p>
    <w:p w14:paraId="674BB6A7">
      <w:pPr>
        <w:tabs>
          <w:tab w:val="left" w:pos="900"/>
        </w:tabs>
        <w:spacing w:line="360" w:lineRule="auto"/>
        <w:ind w:firstLine="420" w:firstLineChars="200"/>
        <w:rPr>
          <w:rFonts w:ascii="宋体" w:hAnsi="宋体" w:cs="宋体"/>
          <w:color w:val="auto"/>
          <w:szCs w:val="21"/>
          <w:highlight w:val="none"/>
        </w:rPr>
      </w:pPr>
      <w:bookmarkStart w:id="109" w:name="_Hlt26954858"/>
      <w:bookmarkEnd w:id="109"/>
      <w:bookmarkStart w:id="110" w:name="_Hlt26954752"/>
      <w:bookmarkEnd w:id="110"/>
      <w:bookmarkStart w:id="111" w:name="_Hlt26670496"/>
      <w:bookmarkEnd w:id="111"/>
      <w:bookmarkStart w:id="112" w:name="_Toc61149564"/>
      <w:bookmarkStart w:id="113" w:name="_Toc14577364"/>
      <w:bookmarkStart w:id="114" w:name="_Toc513029226"/>
      <w:r>
        <w:rPr>
          <w:rFonts w:hint="eastAsia" w:ascii="宋体" w:hAnsi="宋体" w:cs="宋体"/>
          <w:color w:val="auto"/>
          <w:szCs w:val="21"/>
          <w:highlight w:val="none"/>
        </w:rPr>
        <w:t>2、</w:t>
      </w:r>
      <w:bookmarkEnd w:id="112"/>
      <w:bookmarkEnd w:id="113"/>
      <w:bookmarkEnd w:id="114"/>
      <w:r>
        <w:rPr>
          <w:rFonts w:hint="eastAsia" w:ascii="宋体" w:hAnsi="宋体" w:cs="宋体"/>
          <w:color w:val="auto"/>
          <w:szCs w:val="21"/>
          <w:highlight w:val="none"/>
        </w:rPr>
        <w:t>响应文件开启时间</w:t>
      </w:r>
    </w:p>
    <w:p w14:paraId="5DA5169E">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2.1代理机构收到响应文件的时间不得迟于本磋商文件规定的响应文件接收截止时间。</w:t>
      </w:r>
    </w:p>
    <w:p w14:paraId="533191E9">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2.2代理机构有权通过修改磋商文件推迟响应文件接收截止时间，在此情况下，磋商供应商的所有权利和义务以及受制的响应文件接收截止时间均应以延长后新的响应文件接收截止时间为准。</w:t>
      </w:r>
    </w:p>
    <w:p w14:paraId="22053292">
      <w:pPr>
        <w:tabs>
          <w:tab w:val="left" w:pos="900"/>
        </w:tabs>
        <w:spacing w:line="360" w:lineRule="auto"/>
        <w:ind w:firstLine="420" w:firstLineChars="200"/>
        <w:rPr>
          <w:rFonts w:ascii="宋体" w:hAnsi="宋体" w:cs="宋体"/>
          <w:color w:val="auto"/>
          <w:szCs w:val="21"/>
          <w:highlight w:val="none"/>
        </w:rPr>
      </w:pPr>
      <w:bookmarkStart w:id="115" w:name="_Hlt26954860"/>
      <w:bookmarkEnd w:id="115"/>
      <w:bookmarkStart w:id="116" w:name="_Toc14577365"/>
      <w:bookmarkStart w:id="117" w:name="_Toc61149565"/>
      <w:bookmarkStart w:id="118" w:name="_Toc513029227"/>
      <w:r>
        <w:rPr>
          <w:rFonts w:hint="eastAsia" w:ascii="宋体" w:hAnsi="宋体" w:cs="宋体"/>
          <w:color w:val="auto"/>
          <w:szCs w:val="21"/>
          <w:highlight w:val="none"/>
        </w:rPr>
        <w:t>3、迟交的响应文件</w:t>
      </w:r>
      <w:bookmarkEnd w:id="116"/>
      <w:bookmarkEnd w:id="117"/>
      <w:bookmarkEnd w:id="118"/>
    </w:p>
    <w:p w14:paraId="136A2981">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3.1代理机构将拒绝在规定的响应文件接收截止时间后接收任何响应文件。</w:t>
      </w:r>
    </w:p>
    <w:p w14:paraId="76249481">
      <w:pPr>
        <w:tabs>
          <w:tab w:val="left" w:pos="900"/>
        </w:tabs>
        <w:spacing w:line="360" w:lineRule="auto"/>
        <w:ind w:firstLine="420" w:firstLineChars="200"/>
        <w:rPr>
          <w:rFonts w:ascii="宋体" w:hAnsi="宋体" w:cs="宋体"/>
          <w:color w:val="auto"/>
          <w:szCs w:val="21"/>
          <w:highlight w:val="none"/>
        </w:rPr>
      </w:pPr>
      <w:bookmarkStart w:id="119" w:name="_Hlt26954862"/>
      <w:bookmarkEnd w:id="119"/>
      <w:bookmarkStart w:id="120" w:name="_Hlt26954754"/>
      <w:bookmarkEnd w:id="120"/>
      <w:bookmarkStart w:id="121" w:name="_Toc513029228"/>
      <w:bookmarkStart w:id="122" w:name="_Toc61149566"/>
      <w:bookmarkStart w:id="123" w:name="_Toc14577366"/>
      <w:r>
        <w:rPr>
          <w:rFonts w:hint="eastAsia" w:ascii="宋体" w:hAnsi="宋体" w:cs="宋体"/>
          <w:color w:val="auto"/>
          <w:szCs w:val="21"/>
          <w:highlight w:val="none"/>
        </w:rPr>
        <w:t>4、响应文件</w:t>
      </w:r>
      <w:bookmarkStart w:id="124" w:name="_Hlt26670588"/>
      <w:r>
        <w:rPr>
          <w:rFonts w:hint="eastAsia" w:ascii="宋体" w:hAnsi="宋体" w:cs="宋体"/>
          <w:color w:val="auto"/>
          <w:szCs w:val="21"/>
          <w:highlight w:val="none"/>
        </w:rPr>
        <w:t>的修改</w:t>
      </w:r>
      <w:bookmarkEnd w:id="124"/>
      <w:r>
        <w:rPr>
          <w:rFonts w:hint="eastAsia" w:ascii="宋体" w:hAnsi="宋体" w:cs="宋体"/>
          <w:color w:val="auto"/>
          <w:szCs w:val="21"/>
          <w:highlight w:val="none"/>
        </w:rPr>
        <w:t>和撤回</w:t>
      </w:r>
      <w:bookmarkEnd w:id="121"/>
      <w:bookmarkEnd w:id="122"/>
      <w:bookmarkEnd w:id="123"/>
    </w:p>
    <w:p w14:paraId="32EE3165">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4.1磋商供应商在递交响应文件后，可以修改或撤回其磋商响应文件，但这种修改和撤回，必须在规定的响应文件接收截止时间前，以书面形式送达指定地点。</w:t>
      </w:r>
    </w:p>
    <w:p w14:paraId="52CD5D9F">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4.2磋商供应商的修改或撤回通知书，应按本文件规定进行编制、密封、标记和发送，并应在封套上加注“修改”和“撤回”字样。</w:t>
      </w:r>
    </w:p>
    <w:p w14:paraId="655513FF">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磋商供应商在提交最后报价之前，可以根据磋商情况退出磋商。</w:t>
      </w:r>
    </w:p>
    <w:p w14:paraId="7D0A457C">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5、磋商响应有效期</w:t>
      </w:r>
    </w:p>
    <w:p w14:paraId="47C220C9">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 磋商响应有效期为代理机构规定的响应文件接收截止时间后六十（60）天。磋商响应有效期比规定短的将被视为非实质性响应性而予以拒绝。</w:t>
      </w:r>
    </w:p>
    <w:p w14:paraId="7CE0504C">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在特殊情况下，代理机构于原磋商响应有效期满之前，可向磋商供应商提出延长磋商响应有效期的要求。这种要求与答复均应采用书面形式。磋商供应商可以拒绝代理机构的这一要求而放弃磋商响应，同意延长磋商响应有效期的磋商供应商既不能要求也不允许修改其响应文件。</w:t>
      </w:r>
      <w:r>
        <w:rPr>
          <w:rFonts w:hint="eastAsia" w:ascii="宋体" w:hAnsi="宋体"/>
          <w:color w:val="auto"/>
          <w:szCs w:val="21"/>
          <w:highlight w:val="none"/>
        </w:rPr>
        <w:t>受磋商响应有效期约束的所有权利与义务均延长至新的有效期。</w:t>
      </w:r>
    </w:p>
    <w:p w14:paraId="4BD713A1">
      <w:pPr>
        <w:tabs>
          <w:tab w:val="left" w:pos="90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四、磋商与评审</w:t>
      </w:r>
    </w:p>
    <w:p w14:paraId="45E91167">
      <w:pPr>
        <w:tabs>
          <w:tab w:val="left" w:pos="900"/>
        </w:tabs>
        <w:spacing w:line="360" w:lineRule="auto"/>
        <w:ind w:firstLine="420" w:firstLineChars="200"/>
        <w:rPr>
          <w:rFonts w:ascii="宋体" w:hAnsi="宋体" w:cs="宋体"/>
          <w:color w:val="auto"/>
          <w:szCs w:val="21"/>
          <w:highlight w:val="none"/>
        </w:rPr>
      </w:pPr>
      <w:bookmarkStart w:id="125" w:name="_Toc20823302"/>
      <w:bookmarkStart w:id="126" w:name="_Toc513029230"/>
      <w:bookmarkStart w:id="127" w:name="_Toc16938546"/>
      <w:r>
        <w:rPr>
          <w:rFonts w:hint="eastAsia" w:ascii="宋体" w:hAnsi="宋体" w:cs="宋体"/>
          <w:color w:val="auto"/>
          <w:szCs w:val="21"/>
          <w:highlight w:val="none"/>
        </w:rPr>
        <w:t>1、</w:t>
      </w:r>
      <w:bookmarkEnd w:id="125"/>
      <w:bookmarkEnd w:id="126"/>
      <w:bookmarkEnd w:id="127"/>
      <w:r>
        <w:rPr>
          <w:rFonts w:hint="eastAsia" w:ascii="宋体" w:hAnsi="宋体" w:cs="宋体"/>
          <w:color w:val="auto"/>
          <w:szCs w:val="21"/>
          <w:highlight w:val="none"/>
        </w:rPr>
        <w:t>磋商仪式</w:t>
      </w:r>
    </w:p>
    <w:p w14:paraId="1986443B">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1.1代理机构将在磋商公告中规定的时间和地点组织磋商开始仪式，仪式由代理机构主持，磋商供应商应委派携带有效证件的代表准时参加，参加仪式的代表需签名以证明其出席。</w:t>
      </w:r>
    </w:p>
    <w:p w14:paraId="6406EFDB">
      <w:pPr>
        <w:tabs>
          <w:tab w:val="left" w:pos="900"/>
        </w:tabs>
        <w:spacing w:line="360" w:lineRule="auto"/>
        <w:ind w:firstLine="420" w:firstLineChars="200"/>
        <w:rPr>
          <w:rFonts w:ascii="宋体" w:hAnsi="宋体" w:cs="宋体"/>
          <w:color w:val="auto"/>
          <w:szCs w:val="21"/>
          <w:highlight w:val="none"/>
        </w:rPr>
      </w:pPr>
      <w:bookmarkStart w:id="128" w:name="_Toc16938547"/>
      <w:bookmarkStart w:id="129" w:name="_Toc513029231"/>
      <w:bookmarkStart w:id="130" w:name="_Toc20823303"/>
      <w:r>
        <w:rPr>
          <w:rFonts w:hint="eastAsia" w:ascii="宋体" w:hAnsi="宋体" w:cs="宋体"/>
          <w:color w:val="auto"/>
          <w:szCs w:val="21"/>
          <w:highlight w:val="none"/>
        </w:rPr>
        <w:t>2、磋商小组</w:t>
      </w:r>
    </w:p>
    <w:p w14:paraId="7C59651F">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磋商开始仪式结束后，代理机构将立即组织磋商小组进行评审。</w:t>
      </w:r>
    </w:p>
    <w:p w14:paraId="621534EA">
      <w:pPr>
        <w:tabs>
          <w:tab w:val="left" w:pos="9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 磋商小组由评审专家组成，且人员构成符合有关规定。</w:t>
      </w:r>
    </w:p>
    <w:p w14:paraId="09A3246B">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3、磋商评审过程的保密</w:t>
      </w:r>
      <w:bookmarkEnd w:id="128"/>
      <w:bookmarkEnd w:id="129"/>
      <w:bookmarkEnd w:id="130"/>
      <w:r>
        <w:rPr>
          <w:rFonts w:hint="eastAsia" w:ascii="宋体" w:hAnsi="宋体" w:cs="宋体"/>
          <w:color w:val="auto"/>
          <w:szCs w:val="21"/>
          <w:highlight w:val="none"/>
        </w:rPr>
        <w:t>与公正</w:t>
      </w:r>
    </w:p>
    <w:p w14:paraId="63E80657">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3.1磋商小组、采购人和代理机构工作人员、相关监督人员等与评审工作有关的人员，对评审情况以及在评审过程中获悉的国家秘密、商业秘密负有保密责任。</w:t>
      </w:r>
    </w:p>
    <w:p w14:paraId="05CD4502">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3.2在磋商评审过程中，磋商供应商不得以任何行为影响磋商评审过程，否则其响应文件将被作为无效响应文件。</w:t>
      </w:r>
    </w:p>
    <w:p w14:paraId="63DBA2F8">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51B96DC">
      <w:pPr>
        <w:tabs>
          <w:tab w:val="left" w:pos="900"/>
        </w:tabs>
        <w:spacing w:line="360" w:lineRule="auto"/>
        <w:ind w:firstLine="420" w:firstLineChars="200"/>
        <w:rPr>
          <w:rFonts w:ascii="宋体" w:hAnsi="宋体" w:cs="宋体"/>
          <w:color w:val="auto"/>
          <w:szCs w:val="21"/>
          <w:highlight w:val="none"/>
        </w:rPr>
      </w:pPr>
      <w:bookmarkStart w:id="131" w:name="_Toc20823304"/>
      <w:bookmarkStart w:id="132" w:name="_Toc513029232"/>
      <w:bookmarkStart w:id="133" w:name="_Toc16938548"/>
      <w:r>
        <w:rPr>
          <w:rFonts w:hint="eastAsia" w:ascii="宋体" w:hAnsi="宋体" w:cs="宋体"/>
          <w:color w:val="auto"/>
          <w:szCs w:val="21"/>
          <w:highlight w:val="none"/>
        </w:rPr>
        <w:t>4、评审过程的澄清</w:t>
      </w:r>
      <w:bookmarkEnd w:id="131"/>
      <w:bookmarkEnd w:id="132"/>
      <w:bookmarkEnd w:id="133"/>
      <w:r>
        <w:rPr>
          <w:rFonts w:hint="eastAsia" w:ascii="宋体" w:hAnsi="宋体" w:cs="宋体"/>
          <w:color w:val="auto"/>
          <w:szCs w:val="21"/>
          <w:highlight w:val="none"/>
        </w:rPr>
        <w:t>、说明和更正</w:t>
      </w:r>
    </w:p>
    <w:p w14:paraId="135212B9">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4F407C">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311C9693">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接到磋商小组澄清要求的供应商如未按规定做出澄清，其风险由供应商自行承担。</w:t>
      </w:r>
    </w:p>
    <w:p w14:paraId="7717379F">
      <w:pPr>
        <w:tabs>
          <w:tab w:val="left" w:pos="900"/>
        </w:tabs>
        <w:spacing w:line="360" w:lineRule="auto"/>
        <w:ind w:firstLine="420" w:firstLineChars="200"/>
        <w:rPr>
          <w:rFonts w:ascii="宋体" w:hAnsi="宋体" w:cs="宋体"/>
          <w:color w:val="auto"/>
          <w:szCs w:val="21"/>
          <w:highlight w:val="none"/>
        </w:rPr>
      </w:pPr>
      <w:bookmarkStart w:id="134" w:name="_Toc513029233"/>
      <w:bookmarkStart w:id="135" w:name="_Toc20823305"/>
      <w:bookmarkStart w:id="136" w:name="_Toc16938549"/>
      <w:r>
        <w:rPr>
          <w:rFonts w:hint="eastAsia" w:ascii="宋体" w:hAnsi="宋体" w:cs="宋体"/>
          <w:color w:val="auto"/>
          <w:szCs w:val="21"/>
          <w:highlight w:val="none"/>
        </w:rPr>
        <w:t>5、对响应文件的初审</w:t>
      </w:r>
      <w:bookmarkEnd w:id="134"/>
      <w:bookmarkEnd w:id="135"/>
      <w:bookmarkEnd w:id="136"/>
    </w:p>
    <w:p w14:paraId="78E1A8D0">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5.1响应文件初审分为资格性检查和符合性检查。</w:t>
      </w:r>
    </w:p>
    <w:p w14:paraId="6AB4700C">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资格性检查：依据</w:t>
      </w:r>
      <w:r>
        <w:rPr>
          <w:rFonts w:hint="eastAsia" w:ascii="宋体" w:hAnsi="宋体"/>
          <w:color w:val="auto"/>
          <w:szCs w:val="21"/>
          <w:highlight w:val="none"/>
        </w:rPr>
        <w:t>法律法规和</w:t>
      </w:r>
      <w:r>
        <w:rPr>
          <w:rFonts w:hint="eastAsia" w:ascii="宋体" w:hAnsi="宋体" w:cs="宋体"/>
          <w:color w:val="auto"/>
          <w:szCs w:val="21"/>
          <w:highlight w:val="none"/>
        </w:rPr>
        <w:t>磋商文件的规定，对响应文件中的资格证明文件等进行审查，以确定供应商是否具备参加磋商的资格。</w:t>
      </w:r>
    </w:p>
    <w:p w14:paraId="69761CB9">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符合性检查：依据磋商文件的规定，从响应文件的有效性、完整性和对磋商文件的响应程度进行审查，以确定是否对磋商文件的实质性要求作出响应。</w:t>
      </w:r>
    </w:p>
    <w:p w14:paraId="733828C5">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5.2在正式磋商之前，磋商小组将首先审查每份响应文件是否实质性响应了磋商文件的要求。实质性响应的响应文件应该是与磋商文件要求的条款、条件和规格相符，没有重大偏离或保留。</w:t>
      </w:r>
    </w:p>
    <w:p w14:paraId="2B54FE14">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14:paraId="73161E5E">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被认定为未实质性响应磋商文件的响应文件的情形</w:t>
      </w:r>
    </w:p>
    <w:p w14:paraId="45FBE21D">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（1）未按照磋商文件规定要求密封、签署、盖章的；</w:t>
      </w:r>
    </w:p>
    <w:p w14:paraId="312841EE">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（2）供应商在报价时采用选择性报价；</w:t>
      </w:r>
    </w:p>
    <w:p w14:paraId="5C42CB45">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（3）供应商不具备磋商文件中规定资格要求的；</w:t>
      </w:r>
    </w:p>
    <w:p w14:paraId="689C8737">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（4）不符合</w:t>
      </w:r>
      <w:r>
        <w:rPr>
          <w:rFonts w:hint="eastAsia" w:ascii="宋体" w:hAnsi="宋体"/>
          <w:bCs/>
          <w:color w:val="auto"/>
          <w:szCs w:val="21"/>
          <w:highlight w:val="none"/>
        </w:rPr>
        <w:t>法律、法规和</w:t>
      </w:r>
      <w:r>
        <w:rPr>
          <w:rFonts w:hint="eastAsia" w:ascii="宋体" w:hAnsi="宋体" w:cs="宋体"/>
          <w:color w:val="auto"/>
          <w:szCs w:val="21"/>
          <w:highlight w:val="none"/>
        </w:rPr>
        <w:t>磋商文件中规定的其他实质性要求和条件的（本磋商文件中斜体且有下划线部分为实质性要求和条件）；</w:t>
      </w:r>
    </w:p>
    <w:p w14:paraId="7F4C10F9">
      <w:pPr>
        <w:tabs>
          <w:tab w:val="left" w:pos="9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（5）不可竞争费未按规定计价的；</w:t>
      </w:r>
    </w:p>
    <w:p w14:paraId="1942C9EE">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w:t>
      </w:r>
      <w:r>
        <w:rPr>
          <w:rFonts w:hint="eastAsia" w:ascii="宋体" w:hAnsi="宋体"/>
          <w:bCs/>
          <w:color w:val="auto"/>
          <w:szCs w:val="21"/>
          <w:highlight w:val="none"/>
        </w:rPr>
        <w:t>法律、法规和</w:t>
      </w:r>
      <w:r>
        <w:rPr>
          <w:rFonts w:hint="eastAsia" w:ascii="宋体" w:hAnsi="宋体" w:cs="宋体"/>
          <w:color w:val="auto"/>
          <w:szCs w:val="21"/>
          <w:highlight w:val="none"/>
        </w:rPr>
        <w:t>磋商文件规定的属未实质性响应的响应文件的情形。</w:t>
      </w:r>
    </w:p>
    <w:p w14:paraId="0BE2F76D">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 未实质性响应磋商文件的响应文件按无效响应处理，磋商小组将予以拒绝，供应商不得通过修改或撤销不合要求的偏离或保留而使其响应文件成为实质性响应的文件。</w:t>
      </w:r>
    </w:p>
    <w:p w14:paraId="66365534">
      <w:pPr>
        <w:tabs>
          <w:tab w:val="left" w:pos="900"/>
        </w:tabs>
        <w:spacing w:line="360" w:lineRule="auto"/>
        <w:ind w:firstLine="420" w:firstLineChars="200"/>
        <w:rPr>
          <w:rFonts w:ascii="宋体" w:hAnsi="宋体"/>
          <w:color w:val="auto"/>
          <w:szCs w:val="21"/>
          <w:highlight w:val="none"/>
        </w:rPr>
      </w:pPr>
      <w:bookmarkStart w:id="137" w:name="_Toc513029234"/>
      <w:bookmarkStart w:id="138" w:name="_Toc20823306"/>
      <w:bookmarkStart w:id="139" w:name="_Toc16938550"/>
      <w:r>
        <w:rPr>
          <w:rFonts w:hint="eastAsia" w:ascii="宋体" w:hAnsi="宋体"/>
          <w:color w:val="auto"/>
          <w:szCs w:val="21"/>
          <w:highlight w:val="none"/>
        </w:rPr>
        <w:t>5.5同一项目（项目未分包）或同一分包（项目有不同分包），如出现</w:t>
      </w:r>
      <w:r>
        <w:rPr>
          <w:rFonts w:ascii="宋体" w:hAnsi="宋体"/>
          <w:color w:val="auto"/>
          <w:szCs w:val="21"/>
          <w:highlight w:val="none"/>
        </w:rPr>
        <w:t>同一品牌同一型号</w:t>
      </w:r>
      <w:r>
        <w:rPr>
          <w:rFonts w:hint="eastAsia" w:ascii="宋体" w:hAnsi="宋体"/>
          <w:color w:val="auto"/>
          <w:szCs w:val="21"/>
          <w:highlight w:val="none"/>
        </w:rPr>
        <w:t>的</w:t>
      </w:r>
      <w:r>
        <w:rPr>
          <w:rFonts w:ascii="宋体" w:hAnsi="宋体"/>
          <w:color w:val="auto"/>
          <w:szCs w:val="21"/>
          <w:highlight w:val="none"/>
        </w:rPr>
        <w:t>产品</w:t>
      </w:r>
      <w:r>
        <w:rPr>
          <w:rFonts w:hint="eastAsia" w:ascii="宋体" w:hAnsi="宋体"/>
          <w:color w:val="auto"/>
          <w:szCs w:val="21"/>
          <w:highlight w:val="none"/>
        </w:rPr>
        <w:t>有多个供应商参加磋商时，磋商中在其他条件合格的前提下，选取首次报价最低的供应商参加磋商最后报价，其他供应商作为无效响应处理。</w:t>
      </w:r>
    </w:p>
    <w:p w14:paraId="74B6F3C3">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bookmarkEnd w:id="137"/>
      <w:bookmarkEnd w:id="138"/>
      <w:bookmarkEnd w:id="139"/>
      <w:r>
        <w:rPr>
          <w:rFonts w:hint="eastAsia" w:ascii="宋体" w:hAnsi="宋体" w:cs="宋体"/>
          <w:color w:val="auto"/>
          <w:szCs w:val="21"/>
          <w:highlight w:val="none"/>
        </w:rPr>
        <w:t>磋商程序及评审方法和标准</w:t>
      </w:r>
    </w:p>
    <w:p w14:paraId="0FDE3163">
      <w:pPr>
        <w:tabs>
          <w:tab w:val="left" w:pos="900"/>
        </w:tabs>
        <w:spacing w:line="360" w:lineRule="auto"/>
        <w:ind w:firstLine="420" w:firstLineChars="200"/>
        <w:rPr>
          <w:rFonts w:ascii="宋体" w:hAnsi="宋体" w:cs="宋体"/>
          <w:color w:val="auto"/>
          <w:szCs w:val="21"/>
          <w:highlight w:val="none"/>
        </w:rPr>
      </w:pPr>
      <w:bookmarkStart w:id="140" w:name="_Toc20823307"/>
      <w:bookmarkStart w:id="141" w:name="_Toc513029235"/>
      <w:bookmarkStart w:id="142" w:name="_Toc16938551"/>
      <w:r>
        <w:rPr>
          <w:rFonts w:hint="eastAsia" w:ascii="宋体" w:hAnsi="宋体" w:cs="宋体"/>
          <w:color w:val="auto"/>
          <w:szCs w:val="21"/>
          <w:highlight w:val="none"/>
        </w:rPr>
        <w:t>6.1磋商程序</w:t>
      </w:r>
    </w:p>
    <w:p w14:paraId="6D0FC4DB">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 对于通过资格性和符合性审查的供应商，磋商小组所有成员将集中与单一供应商分别进行磋商。</w:t>
      </w:r>
    </w:p>
    <w:p w14:paraId="577C515D">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47A2C8E1">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6.1.2 磋商文件能够详细列明采购标的的技术、服务要求的，磋商结束后，磋商小组将要求所有实质性响应的供应商在规定时间内提交最后报价。</w:t>
      </w:r>
    </w:p>
    <w:p w14:paraId="768238EF">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6F71B3F9">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后报价是供应商响应文件的有效组成部分。符合《采购竞争性磋商采购方式管理暂行办法》第三条第四项及《财政部关于竞争性磋商采购方式管理暂行办法有关问题的补充通知》（财库[2015]124号）规定情形的，提交最后报价的供应商可以为2家。</w:t>
      </w:r>
    </w:p>
    <w:p w14:paraId="3DC39703">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14:paraId="43DB7347">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 评审方法和标准</w:t>
      </w:r>
    </w:p>
    <w:p w14:paraId="21395A37">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6.2.1评审方法。经磋商确定最终采购需求和提交最后报价的供应商后，由磋商小组采用综合评分法对提交最后报价的供应商的响应文件和最后报价进行综合评分。</w:t>
      </w:r>
    </w:p>
    <w:p w14:paraId="0493F2A8">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271EA331">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6.2.2评审标准</w:t>
      </w:r>
    </w:p>
    <w:p w14:paraId="7D499F45">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见本磋商文件第五章规定。</w:t>
      </w:r>
    </w:p>
    <w:p w14:paraId="0D7598AA">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6.3采购活动终止的情况</w:t>
      </w:r>
    </w:p>
    <w:p w14:paraId="48A5805A">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出现下列情形之一的，本次竞争性磋商采购活动将被终止：</w:t>
      </w:r>
    </w:p>
    <w:p w14:paraId="1CDCCDDB">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73B0ECF7">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3CFACDA">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（3）除本磋商文件第6.1.2条第三款规定的情形外，在采购过程中符合要求的供应商或者报价未超过采购预算的供应商不足3家的。</w:t>
      </w:r>
    </w:p>
    <w:bookmarkEnd w:id="140"/>
    <w:bookmarkEnd w:id="141"/>
    <w:bookmarkEnd w:id="142"/>
    <w:p w14:paraId="66A75248">
      <w:pPr>
        <w:tabs>
          <w:tab w:val="left" w:pos="90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五、成交</w:t>
      </w:r>
    </w:p>
    <w:bookmarkEnd w:id="62"/>
    <w:bookmarkEnd w:id="63"/>
    <w:bookmarkEnd w:id="64"/>
    <w:p w14:paraId="3BE98243">
      <w:pPr>
        <w:tabs>
          <w:tab w:val="left" w:pos="900"/>
        </w:tabs>
        <w:spacing w:line="360" w:lineRule="auto"/>
        <w:ind w:firstLine="420" w:firstLineChars="200"/>
        <w:rPr>
          <w:rFonts w:ascii="宋体" w:hAnsi="宋体" w:cs="宋体"/>
          <w:color w:val="auto"/>
          <w:szCs w:val="21"/>
          <w:highlight w:val="none"/>
        </w:rPr>
      </w:pPr>
      <w:bookmarkStart w:id="143" w:name="_Toc513029238"/>
      <w:bookmarkStart w:id="144" w:name="_Toc20823310"/>
      <w:bookmarkStart w:id="145" w:name="_Toc16938554"/>
      <w:r>
        <w:rPr>
          <w:rFonts w:hint="eastAsia" w:ascii="宋体" w:hAnsi="宋体" w:cs="宋体"/>
          <w:color w:val="auto"/>
          <w:szCs w:val="21"/>
          <w:highlight w:val="none"/>
        </w:rPr>
        <w:t>1、</w:t>
      </w:r>
      <w:bookmarkEnd w:id="143"/>
      <w:r>
        <w:rPr>
          <w:rFonts w:hint="eastAsia" w:ascii="宋体" w:hAnsi="宋体" w:cs="宋体"/>
          <w:color w:val="auto"/>
          <w:szCs w:val="21"/>
          <w:highlight w:val="none"/>
        </w:rPr>
        <w:t>确定</w:t>
      </w:r>
      <w:bookmarkEnd w:id="144"/>
      <w:bookmarkEnd w:id="145"/>
      <w:r>
        <w:rPr>
          <w:rFonts w:hint="eastAsia" w:ascii="宋体" w:hAnsi="宋体" w:cs="宋体"/>
          <w:color w:val="auto"/>
          <w:szCs w:val="21"/>
          <w:highlight w:val="none"/>
        </w:rPr>
        <w:t>成交单位</w:t>
      </w:r>
    </w:p>
    <w:p w14:paraId="57EFC856">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磋商小组根据综合评分情况，按照评审得分由高到低顺序推荐3名以上成交候选供应商，并编写评审报告。符合本文件第6.1.2条情形的，可以推荐2家成交候选供应商。评审得分相同的，按照最后报价由低到高的顺序推荐。评审得分且最后报价相同的，按照技术指标优劣顺序推荐。</w:t>
      </w:r>
    </w:p>
    <w:p w14:paraId="4971CDD2">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采购人根据磋商小组推荐的成交候选人确定成交供应商。采购人确定成交供应商后，代理机构将在“扬州市公共资源交易平台邗江分中心国企采购栏目”“扬州维扬发展投资有限公司网”发布成交结果公告，公告期限为1个工作日。</w:t>
      </w:r>
    </w:p>
    <w:p w14:paraId="3833D9C6">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1.3若有充分证据证明，成交供应商出现下列情况之一的，一经查实，将被取消成交资格：</w:t>
      </w:r>
    </w:p>
    <w:p w14:paraId="2FE3BA74">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（1）提供虚假材料谋取成交的；</w:t>
      </w:r>
    </w:p>
    <w:p w14:paraId="0E44CA47">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（2）与评审专家、采购人、其他供应商或者代理机构工作人员恶意串通的；</w:t>
      </w:r>
    </w:p>
    <w:p w14:paraId="144D1452">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（3）向评审专家、采购人或代理机构工作人员行贿或者提供其他不正当利益的；</w:t>
      </w:r>
    </w:p>
    <w:p w14:paraId="47689080">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（4）恶意竞争，最终总报价明显低于其自身合理成本且又无法提供证明的；</w:t>
      </w:r>
    </w:p>
    <w:p w14:paraId="46F5C9A5">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（5）不满足本磋商文件规定的实质性要求，但在评审过程中又未被磋商小组发现的；</w:t>
      </w:r>
    </w:p>
    <w:p w14:paraId="36A604A0">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（6）成交后无正当理由拒不与采购人签订采购合同或者未按照磋商文件确定的事项签订采购合同；</w:t>
      </w:r>
    </w:p>
    <w:p w14:paraId="211DACFD">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（7）将采购合同转包；</w:t>
      </w:r>
    </w:p>
    <w:p w14:paraId="47359AA3">
      <w:pPr>
        <w:tabs>
          <w:tab w:val="left" w:pos="900"/>
        </w:tabs>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（8）法律、法规、规章规定的属于成交无效的其他情形。</w:t>
      </w:r>
    </w:p>
    <w:p w14:paraId="357A438F">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2、质疑处理</w:t>
      </w:r>
    </w:p>
    <w:p w14:paraId="132C31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2.1供应商认为磋商文件、采购过程和中标或成交结果使自己的权益受到损害的，可以在知道或应知其权益受到损害之日起七个工作日内，以书面形式（原件送达）向采购人或代理机构提出质疑。</w:t>
      </w:r>
    </w:p>
    <w:p w14:paraId="3B136D8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2.1.1对磋商文件提出质疑的，应当在获取磋商文件之日或者磋商文件公告期限届满之日起7个工作日内提出。</w:t>
      </w:r>
      <w:r>
        <w:rPr>
          <w:rFonts w:hint="eastAsia" w:ascii="宋体" w:hAnsi="宋体" w:cs="宋体"/>
          <w:color w:val="auto"/>
          <w:szCs w:val="21"/>
          <w:highlight w:val="none"/>
        </w:rPr>
        <w:br w:type="textWrapping"/>
      </w:r>
      <w:r>
        <w:rPr>
          <w:rFonts w:hint="eastAsia" w:ascii="宋体" w:hAnsi="宋体" w:cs="宋体"/>
          <w:color w:val="auto"/>
          <w:szCs w:val="21"/>
          <w:highlight w:val="none"/>
        </w:rPr>
        <w:t>　　2.1.2对采购过程提出质疑的，为各采购程序环节结束之日起7个工作日内提出。</w:t>
      </w:r>
      <w:r>
        <w:rPr>
          <w:rFonts w:hint="eastAsia" w:ascii="宋体" w:hAnsi="宋体" w:cs="宋体"/>
          <w:color w:val="auto"/>
          <w:szCs w:val="21"/>
          <w:highlight w:val="none"/>
        </w:rPr>
        <w:br w:type="textWrapping"/>
      </w:r>
      <w:r>
        <w:rPr>
          <w:rFonts w:hint="eastAsia" w:ascii="宋体" w:hAnsi="宋体" w:cs="宋体"/>
          <w:color w:val="auto"/>
          <w:szCs w:val="21"/>
          <w:highlight w:val="none"/>
        </w:rPr>
        <w:t>　　2.1.3对成交结果提出质疑的，为成交结果公告期限届满之日起7个工作日内提出。</w:t>
      </w:r>
    </w:p>
    <w:p w14:paraId="0FBECF37">
      <w:pPr>
        <w:spacing w:line="360" w:lineRule="auto"/>
        <w:ind w:firstLine="420" w:firstLineChars="200"/>
        <w:rPr>
          <w:rFonts w:ascii="宋体" w:hAnsi="宋体" w:cs="宋体"/>
          <w:snapToGrid w:val="0"/>
          <w:color w:val="auto"/>
          <w:szCs w:val="21"/>
          <w:highlight w:val="none"/>
        </w:rPr>
      </w:pPr>
      <w:r>
        <w:rPr>
          <w:rFonts w:hint="eastAsia" w:ascii="宋体" w:hAnsi="宋体" w:cs="宋体"/>
          <w:color w:val="auto"/>
          <w:szCs w:val="21"/>
          <w:highlight w:val="none"/>
        </w:rPr>
        <w:t>2.2质疑供应商应在法定质疑期内一次性提出针对同一采购程序环节的质疑。供应商如在法定期限内对同一采购程序环节提出多次质疑的，代理机构、采购人将只对供应商第一次质疑作出答复。</w:t>
      </w:r>
    </w:p>
    <w:p w14:paraId="4C44A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2.3提出质疑的供应商（以下简称质疑供应商）应当是参与所质疑项目采购活动的供应商。未参加磋商采购活动的供应商或在磋商采购活动中自身权益未受到损害的供应商所提出的质疑不予受理。</w:t>
      </w:r>
    </w:p>
    <w:p w14:paraId="62BE58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质疑必须由磋商供应商法定代表人或授权代表（响应文件中所确定的）以原件送达的方式提交，未按上述要求提交的质疑函（含传真、电子邮件等）代理机构有权不予受理。</w:t>
      </w:r>
    </w:p>
    <w:p w14:paraId="2201BF67">
      <w:pPr>
        <w:spacing w:line="360" w:lineRule="auto"/>
        <w:ind w:firstLine="409" w:firstLineChars="195"/>
        <w:rPr>
          <w:rFonts w:ascii="宋体" w:hAnsi="宋体" w:cs="宋体"/>
          <w:color w:val="auto"/>
          <w:kern w:val="0"/>
          <w:szCs w:val="21"/>
          <w:highlight w:val="none"/>
        </w:rPr>
      </w:pPr>
      <w:r>
        <w:rPr>
          <w:rFonts w:hint="eastAsia" w:ascii="宋体" w:hAnsi="宋体" w:cs="宋体"/>
          <w:color w:val="auto"/>
          <w:szCs w:val="21"/>
          <w:highlight w:val="none"/>
        </w:rPr>
        <w:t>潜在供应商已依法获取其可质疑的采购文件的，可以对该文件提出质疑。对采购文件提出质疑的，应当在获取采购文件或者采购文件公告期限届满之日起7个工作日内提出。</w:t>
      </w:r>
    </w:p>
    <w:p w14:paraId="7B8E3641">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2.4供应商提出质疑应当提交质疑函和必要的证明材料。质疑函应当包括下列内容：</w:t>
      </w:r>
    </w:p>
    <w:p w14:paraId="7140FB08">
      <w:pPr>
        <w:spacing w:line="360" w:lineRule="auto"/>
        <w:rPr>
          <w:rFonts w:ascii="宋体" w:hAnsi="宋体" w:cs="宋体"/>
          <w:color w:val="auto"/>
          <w:szCs w:val="21"/>
          <w:highlight w:val="none"/>
        </w:rPr>
      </w:pPr>
      <w:r>
        <w:rPr>
          <w:rFonts w:hint="eastAsia" w:ascii="宋体" w:hAnsi="宋体" w:cs="宋体"/>
          <w:color w:val="auto"/>
          <w:szCs w:val="21"/>
          <w:highlight w:val="none"/>
        </w:rPr>
        <w:t>　　2.4.1供应商的姓名或者名称、地址、邮编、联系人及联系电话；</w:t>
      </w:r>
    </w:p>
    <w:p w14:paraId="20B5D52E">
      <w:pPr>
        <w:spacing w:line="360" w:lineRule="auto"/>
        <w:rPr>
          <w:rFonts w:ascii="宋体" w:hAnsi="宋体" w:cs="宋体"/>
          <w:color w:val="auto"/>
          <w:szCs w:val="21"/>
          <w:highlight w:val="none"/>
        </w:rPr>
      </w:pPr>
      <w:r>
        <w:rPr>
          <w:rFonts w:hint="eastAsia" w:ascii="宋体" w:hAnsi="宋体" w:cs="宋体"/>
          <w:color w:val="auto"/>
          <w:szCs w:val="21"/>
          <w:highlight w:val="none"/>
        </w:rPr>
        <w:t>　　2.4.2质疑项目的名称、编号；</w:t>
      </w:r>
    </w:p>
    <w:p w14:paraId="2C3B8A10">
      <w:pPr>
        <w:spacing w:line="360" w:lineRule="auto"/>
        <w:rPr>
          <w:rFonts w:ascii="宋体" w:hAnsi="宋体" w:cs="宋体"/>
          <w:color w:val="auto"/>
          <w:szCs w:val="21"/>
          <w:highlight w:val="none"/>
        </w:rPr>
      </w:pPr>
      <w:r>
        <w:rPr>
          <w:rFonts w:hint="eastAsia" w:ascii="宋体" w:hAnsi="宋体" w:cs="宋体"/>
          <w:color w:val="auto"/>
          <w:szCs w:val="21"/>
          <w:highlight w:val="none"/>
        </w:rPr>
        <w:t>　　2.4.3具体、明确的质疑事项和与质疑事项相关的请求；</w:t>
      </w:r>
    </w:p>
    <w:p w14:paraId="29C624B4">
      <w:pPr>
        <w:spacing w:line="360" w:lineRule="auto"/>
        <w:rPr>
          <w:rFonts w:ascii="宋体" w:hAnsi="宋体" w:cs="宋体"/>
          <w:color w:val="auto"/>
          <w:szCs w:val="21"/>
          <w:highlight w:val="none"/>
        </w:rPr>
      </w:pPr>
      <w:r>
        <w:rPr>
          <w:rFonts w:hint="eastAsia" w:ascii="宋体" w:hAnsi="宋体" w:cs="宋体"/>
          <w:color w:val="auto"/>
          <w:szCs w:val="21"/>
          <w:highlight w:val="none"/>
        </w:rPr>
        <w:t>　　2.4.4事实依据；</w:t>
      </w:r>
    </w:p>
    <w:p w14:paraId="44679EA1">
      <w:pPr>
        <w:spacing w:line="360" w:lineRule="auto"/>
        <w:rPr>
          <w:rFonts w:ascii="宋体" w:hAnsi="宋体" w:cs="宋体"/>
          <w:color w:val="auto"/>
          <w:szCs w:val="21"/>
          <w:highlight w:val="none"/>
        </w:rPr>
      </w:pPr>
      <w:r>
        <w:rPr>
          <w:rFonts w:hint="eastAsia" w:ascii="宋体" w:hAnsi="宋体" w:cs="宋体"/>
          <w:color w:val="auto"/>
          <w:szCs w:val="21"/>
          <w:highlight w:val="none"/>
        </w:rPr>
        <w:t>　　2.4.5必要的法律依据；</w:t>
      </w:r>
    </w:p>
    <w:p w14:paraId="7A09EBDA">
      <w:pPr>
        <w:spacing w:line="360" w:lineRule="auto"/>
        <w:rPr>
          <w:rFonts w:ascii="宋体" w:hAnsi="宋体" w:cs="宋体"/>
          <w:color w:val="auto"/>
          <w:szCs w:val="21"/>
          <w:highlight w:val="none"/>
        </w:rPr>
      </w:pPr>
      <w:r>
        <w:rPr>
          <w:rFonts w:hint="eastAsia" w:ascii="宋体" w:hAnsi="宋体" w:cs="宋体"/>
          <w:color w:val="auto"/>
          <w:szCs w:val="21"/>
          <w:highlight w:val="none"/>
        </w:rPr>
        <w:t>　　2.4.6提出质疑的日期。</w:t>
      </w:r>
    </w:p>
    <w:p w14:paraId="5FA77C5D">
      <w:pPr>
        <w:tabs>
          <w:tab w:val="left" w:pos="900"/>
        </w:tabs>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质疑函应当署名：</w:t>
      </w:r>
      <w:r>
        <w:rPr>
          <w:rFonts w:hint="eastAsia" w:ascii="宋体" w:hAnsi="宋体" w:cs="宋体"/>
          <w:color w:val="auto"/>
          <w:szCs w:val="21"/>
          <w:highlight w:val="none"/>
        </w:rPr>
        <w:t>供应商为自然人的，应当由本人签字并附有效身份证明；供应商为法人或者其他组织的，应当由法定代表人、主要负责人，或者其授权代表签字或者盖章，并加盖公章。质疑人委托代理质疑的，应当向代理机构提交授权委托书，并载明委托代理的具体权限和事项。</w:t>
      </w:r>
    </w:p>
    <w:p w14:paraId="59FAFC43">
      <w:pPr>
        <w:spacing w:line="360" w:lineRule="auto"/>
        <w:ind w:firstLine="409" w:firstLineChars="195"/>
        <w:rPr>
          <w:rFonts w:ascii="宋体" w:hAnsi="宋体" w:cs="宋体"/>
          <w:snapToGrid w:val="0"/>
          <w:color w:val="auto"/>
          <w:szCs w:val="21"/>
          <w:highlight w:val="none"/>
        </w:rPr>
      </w:pPr>
      <w:r>
        <w:rPr>
          <w:rFonts w:hint="eastAsia" w:ascii="宋体" w:hAnsi="宋体" w:cs="宋体"/>
          <w:snapToGrid w:val="0"/>
          <w:color w:val="auto"/>
          <w:szCs w:val="21"/>
          <w:highlight w:val="none"/>
        </w:rPr>
        <w:t>《质疑函》及《授权委托书》格式见网址：http://zfcg.yangzhou.gov.cn</w:t>
      </w:r>
    </w:p>
    <w:p w14:paraId="49019FE1">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2.5代理机构收到质疑申请后，将对质疑的形式和内容进行审查，如质疑内容、格式不符合规定，代理机构将告知质疑人进行补正。</w:t>
      </w:r>
    </w:p>
    <w:p w14:paraId="1FDA2DA6">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2.6质疑人应当在法定质疑期限内进行补正并重新提交质疑函，拒不补正或者在法定期限内未重新提交质疑函的，为无效质疑，代理机构有权不予受理。</w:t>
      </w:r>
    </w:p>
    <w:p w14:paraId="130AB27A">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2.7对于内容、格式符合规定的质疑函，代理机构将在收到参加磋商供应商的书面质疑后七个工作日内作出答复，并以书面形式通知质疑供应商和其他相关供应商，答复的内容不涉及商业秘密。</w:t>
      </w:r>
    </w:p>
    <w:p w14:paraId="2D021972">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2.8供应商提出书面质疑必须有理、有据，不得恶意质疑或提交虚假质疑。否则，一经查实，代理机构有权依据的有关规定，报请政府相关部门对该供应商进行相应的行政处罚。</w:t>
      </w:r>
    </w:p>
    <w:p w14:paraId="49053C19">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2.9 诚实信用</w:t>
      </w:r>
    </w:p>
    <w:p w14:paraId="72E6A6D0">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2.9.1 供应商之间不得相互串通投标报价，不得妨碍其他供应商的公平竞争，不得损害采购人和其他供应商的合法权益。</w:t>
      </w:r>
    </w:p>
    <w:p w14:paraId="3A2BA8CF">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2.9.2 供应商不得以向代理机构工作人员、评标委员会成员行贿或者采取其他不正当手段谋取中标。经查实供应商有此行为的，管理部门将供应商列入不良行为记录名单，按照有关规定处理。</w:t>
      </w:r>
    </w:p>
    <w:p w14:paraId="62ADEEF2">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2.9.3 供应商提出书面质疑必须有理、有据，不得虚假质疑和恶意质疑，并对质疑内容的真实性承担责任。一经查实，代理机构有权依据的有关规定，报请监管部门对该供应商进行相应的行政处罚并在网站上予以公示。如果供应商或者其他利害关系人通过捏造事实、伪造证明材料等方式提出质疑，干扰采购活动正常进行的，属于严重不良行为，代理机构将提请监管部门将其列入不良行为记录名单，并依法予以处罚。</w:t>
      </w:r>
    </w:p>
    <w:p w14:paraId="03C9A00B">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2.9.4 供应商不得虚假承诺，否则，按照提供虚假材料谋取中标成交处理。</w:t>
      </w:r>
    </w:p>
    <w:p w14:paraId="68FFDF13">
      <w:pPr>
        <w:spacing w:line="360" w:lineRule="auto"/>
        <w:ind w:firstLine="409" w:firstLineChars="195"/>
        <w:rPr>
          <w:rFonts w:ascii="宋体" w:hAnsi="宋体" w:cs="宋体"/>
          <w:color w:val="auto"/>
          <w:szCs w:val="21"/>
          <w:highlight w:val="none"/>
        </w:rPr>
      </w:pPr>
      <w:r>
        <w:rPr>
          <w:rFonts w:hint="eastAsia" w:ascii="宋体" w:hAnsi="宋体" w:cs="宋体"/>
          <w:color w:val="auto"/>
          <w:szCs w:val="21"/>
          <w:highlight w:val="none"/>
        </w:rPr>
        <w:t>2.9.5 供应商应自觉遵守开标、评标纪律，扰乱开标评标现场秩序的，属于失信行为，失信行为将被记入供应商诚信档案。</w:t>
      </w:r>
    </w:p>
    <w:p w14:paraId="1A8EC214">
      <w:pPr>
        <w:tabs>
          <w:tab w:val="left" w:pos="90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六、合同签订相关事项</w:t>
      </w:r>
    </w:p>
    <w:p w14:paraId="621B0170">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1、签订合同</w:t>
      </w:r>
    </w:p>
    <w:p w14:paraId="61FE4894">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l成交供应商确定后，代理机构将向成交供应商发出成交通知书。成交供应商应按成交通知书规定的时间、地点,按照磋商文件确定的事项与采购人签订采购合同，且不得迟于成交通知书发出之日起三十日内，由此给采购人造成损失的，成交供应商还应承担赔偿责任。</w:t>
      </w:r>
    </w:p>
    <w:p w14:paraId="435F4B09">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磋商文件、成交供应商的响应文件及磋商采购过程中有关澄清、承诺文件均应作为合同附件。</w:t>
      </w:r>
    </w:p>
    <w:p w14:paraId="3F4F46EA">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 签订合同后，</w:t>
      </w:r>
      <w:r>
        <w:rPr>
          <w:rFonts w:hint="eastAsia" w:ascii="宋体" w:hAnsi="宋体" w:cs="宋体"/>
          <w:i/>
          <w:color w:val="auto"/>
          <w:szCs w:val="21"/>
          <w:highlight w:val="none"/>
          <w:u w:val="single"/>
        </w:rPr>
        <w:t>成交供应商不得将成交工程或服务进行转包。</w:t>
      </w:r>
      <w:r>
        <w:rPr>
          <w:rFonts w:hint="eastAsia" w:ascii="宋体" w:hAnsi="宋体" w:cs="宋体"/>
          <w:color w:val="auto"/>
          <w:szCs w:val="21"/>
          <w:highlight w:val="none"/>
        </w:rPr>
        <w:t>未经采购人同意，成交供应商也不得采用分包的形式履行合同，否则采购人有权终止合同。转包或分包造成采购人损失的，成交供应商应承担相应赔偿责任。</w:t>
      </w:r>
    </w:p>
    <w:p w14:paraId="00EE5F66">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w:t>
      </w:r>
    </w:p>
    <w:p w14:paraId="6B6960C3">
      <w:pPr>
        <w:tabs>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本项目不收取履约保证金。</w:t>
      </w:r>
    </w:p>
    <w:p w14:paraId="5653B05A">
      <w:pPr>
        <w:tabs>
          <w:tab w:val="left" w:pos="900"/>
        </w:tabs>
        <w:spacing w:line="360" w:lineRule="auto"/>
        <w:ind w:firstLine="720" w:firstLineChars="200"/>
        <w:jc w:val="center"/>
        <w:outlineLvl w:val="0"/>
        <w:rPr>
          <w:rFonts w:ascii="宋体" w:hAnsi="宋体" w:cs="宋体"/>
          <w:color w:val="auto"/>
          <w:sz w:val="56"/>
          <w:szCs w:val="48"/>
          <w:highlight w:val="none"/>
        </w:rPr>
      </w:pPr>
      <w:r>
        <w:rPr>
          <w:rFonts w:hint="eastAsia" w:ascii="宋体" w:hAnsi="宋体" w:cs="宋体"/>
          <w:color w:val="auto"/>
          <w:sz w:val="36"/>
          <w:highlight w:val="none"/>
        </w:rPr>
        <w:br w:type="page"/>
      </w:r>
      <w:bookmarkEnd w:id="61"/>
      <w:bookmarkStart w:id="146" w:name="_Toc17878"/>
      <w:bookmarkStart w:id="147" w:name="_Toc23227"/>
      <w:r>
        <w:rPr>
          <w:rFonts w:hint="eastAsia" w:ascii="宋体" w:hAnsi="宋体" w:cs="宋体"/>
          <w:b/>
          <w:bCs/>
          <w:color w:val="auto"/>
          <w:sz w:val="36"/>
          <w:highlight w:val="none"/>
        </w:rPr>
        <w:t>第三章 合同条款及格式</w:t>
      </w:r>
      <w:bookmarkEnd w:id="146"/>
      <w:bookmarkEnd w:id="147"/>
      <w:bookmarkStart w:id="148" w:name="_Hlt16619369"/>
      <w:bookmarkEnd w:id="148"/>
    </w:p>
    <w:p w14:paraId="42972B7B">
      <w:pPr>
        <w:spacing w:line="360" w:lineRule="auto"/>
        <w:jc w:val="center"/>
        <w:rPr>
          <w:rFonts w:ascii="宋体" w:hAnsi="宋体" w:cs="宋体"/>
          <w:b/>
          <w:bCs/>
          <w:color w:val="auto"/>
          <w:sz w:val="24"/>
          <w:szCs w:val="24"/>
          <w:highlight w:val="none"/>
        </w:rPr>
      </w:pPr>
    </w:p>
    <w:p w14:paraId="26AC5379">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根据《中华人民共和国民法典》及国家有关法规规定，就甲方委托乙方承担</w:t>
      </w:r>
      <w:r>
        <w:rPr>
          <w:rFonts w:hint="eastAsia"/>
          <w:color w:val="auto"/>
          <w:szCs w:val="21"/>
          <w:highlight w:val="none"/>
          <w:u w:val="single"/>
        </w:rPr>
        <w:t>西湖皮革厂土壤修复项目</w:t>
      </w:r>
      <w:r>
        <w:rPr>
          <w:rFonts w:hint="eastAsia" w:asciiTheme="minorEastAsia" w:hAnsiTheme="minorEastAsia" w:eastAsiaTheme="minorEastAsia" w:cstheme="minorEastAsia"/>
          <w:color w:val="auto"/>
          <w:highlight w:val="none"/>
          <w:u w:val="single"/>
        </w:rPr>
        <w:t>效果评估服务</w:t>
      </w:r>
      <w:r>
        <w:rPr>
          <w:rFonts w:hint="eastAsia" w:asciiTheme="minorEastAsia" w:hAnsiTheme="minorEastAsia" w:eastAsiaTheme="minorEastAsia" w:cstheme="minorEastAsia"/>
          <w:bCs/>
          <w:color w:val="auto"/>
          <w:highlight w:val="none"/>
        </w:rPr>
        <w:t>事宜，经甲、乙、双方协商一致，签订本合同，共同遵守。</w:t>
      </w:r>
    </w:p>
    <w:p w14:paraId="3A62A023">
      <w:pPr>
        <w:snapToGrid w:val="0"/>
        <w:spacing w:line="360" w:lineRule="auto"/>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bCs/>
          <w:color w:val="auto"/>
          <w:highlight w:val="none"/>
        </w:rPr>
        <w:t>一、技术服务项目名称：</w:t>
      </w:r>
      <w:r>
        <w:rPr>
          <w:rFonts w:hint="eastAsia"/>
          <w:color w:val="auto"/>
          <w:szCs w:val="21"/>
          <w:highlight w:val="none"/>
          <w:u w:val="single"/>
        </w:rPr>
        <w:t>西湖皮革厂土壤修复项目</w:t>
      </w:r>
      <w:r>
        <w:rPr>
          <w:rFonts w:hint="eastAsia" w:asciiTheme="minorEastAsia" w:hAnsiTheme="minorEastAsia" w:eastAsiaTheme="minorEastAsia" w:cstheme="minorEastAsia"/>
          <w:color w:val="auto"/>
          <w:highlight w:val="none"/>
          <w:u w:val="single"/>
        </w:rPr>
        <w:t>效果评估服务</w:t>
      </w:r>
    </w:p>
    <w:p w14:paraId="61A45942">
      <w:pPr>
        <w:snapToGrid w:val="0"/>
        <w:spacing w:line="360" w:lineRule="auto"/>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bCs/>
          <w:color w:val="auto"/>
          <w:highlight w:val="none"/>
        </w:rPr>
        <w:t>二、技术服务地点：</w:t>
      </w:r>
      <w:r>
        <w:rPr>
          <w:rFonts w:hint="eastAsia" w:asciiTheme="minorEastAsia" w:hAnsiTheme="minorEastAsia" w:eastAsiaTheme="minorEastAsia" w:cstheme="minorEastAsia"/>
          <w:color w:val="auto"/>
          <w:highlight w:val="none"/>
          <w:u w:val="single"/>
        </w:rPr>
        <w:t>扬州市邗江区</w:t>
      </w:r>
    </w:p>
    <w:p w14:paraId="3E56B16B">
      <w:pPr>
        <w:adjustRightInd w:val="0"/>
        <w:snapToGrid w:val="0"/>
        <w:spacing w:line="360" w:lineRule="auto"/>
        <w:ind w:right="-143" w:rightChars="-68"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highlight w:val="none"/>
        </w:rPr>
        <w:t>三、服务</w:t>
      </w:r>
      <w:r>
        <w:rPr>
          <w:rFonts w:hint="eastAsia" w:asciiTheme="minorEastAsia" w:hAnsiTheme="minorEastAsia" w:eastAsiaTheme="minorEastAsia" w:cstheme="minorEastAsia"/>
          <w:color w:val="auto"/>
          <w:szCs w:val="21"/>
          <w:highlight w:val="none"/>
        </w:rPr>
        <w:t>范围：</w:t>
      </w:r>
      <w:r>
        <w:rPr>
          <w:color w:val="auto"/>
          <w:szCs w:val="21"/>
          <w:highlight w:val="none"/>
        </w:rPr>
        <w:t>依据施工单位编制的施工组织方案，按照国家和地方相关技术导则和工作指南，编制</w:t>
      </w:r>
      <w:r>
        <w:rPr>
          <w:rFonts w:hint="eastAsia"/>
          <w:color w:val="auto"/>
          <w:szCs w:val="21"/>
          <w:highlight w:val="none"/>
        </w:rPr>
        <w:t>风险管控</w:t>
      </w:r>
      <w:r>
        <w:rPr>
          <w:color w:val="auto"/>
          <w:szCs w:val="21"/>
          <w:highlight w:val="none"/>
        </w:rPr>
        <w:t>效果评估方案，方案需经专家论证通过后执行；按照</w:t>
      </w:r>
      <w:r>
        <w:rPr>
          <w:rFonts w:hint="eastAsia"/>
          <w:color w:val="auto"/>
          <w:szCs w:val="21"/>
          <w:highlight w:val="none"/>
        </w:rPr>
        <w:t>风险管控</w:t>
      </w:r>
      <w:r>
        <w:rPr>
          <w:color w:val="auto"/>
          <w:szCs w:val="21"/>
          <w:highlight w:val="none"/>
        </w:rPr>
        <w:t>效果评估方案布置效果评估监测点位，开展采样工作；按照国家和地方相关技术导则和工作指南，编制效果评估报告，</w:t>
      </w:r>
      <w:r>
        <w:rPr>
          <w:rFonts w:hint="eastAsia"/>
          <w:color w:val="auto"/>
          <w:szCs w:val="21"/>
          <w:highlight w:val="none"/>
        </w:rPr>
        <w:t>风险管控</w:t>
      </w:r>
      <w:r>
        <w:rPr>
          <w:color w:val="auto"/>
          <w:szCs w:val="21"/>
          <w:highlight w:val="none"/>
        </w:rPr>
        <w:t>效果评估报告</w:t>
      </w:r>
      <w:r>
        <w:rPr>
          <w:rFonts w:hint="eastAsia"/>
          <w:color w:val="auto"/>
          <w:szCs w:val="21"/>
          <w:highlight w:val="none"/>
        </w:rPr>
        <w:t>需</w:t>
      </w:r>
      <w:r>
        <w:rPr>
          <w:color w:val="auto"/>
          <w:szCs w:val="21"/>
          <w:highlight w:val="none"/>
        </w:rPr>
        <w:t>专家评审；按照</w:t>
      </w:r>
      <w:r>
        <w:rPr>
          <w:rFonts w:hint="eastAsia"/>
          <w:color w:val="auto"/>
          <w:szCs w:val="21"/>
          <w:highlight w:val="none"/>
        </w:rPr>
        <w:t>风险管控</w:t>
      </w:r>
      <w:r>
        <w:rPr>
          <w:color w:val="auto"/>
          <w:szCs w:val="21"/>
          <w:highlight w:val="none"/>
        </w:rPr>
        <w:t>效果评估方案对</w:t>
      </w:r>
      <w:r>
        <w:rPr>
          <w:rFonts w:hint="eastAsia"/>
          <w:color w:val="auto"/>
          <w:szCs w:val="21"/>
          <w:highlight w:val="none"/>
        </w:rPr>
        <w:t>风险管控区域</w:t>
      </w:r>
      <w:r>
        <w:rPr>
          <w:color w:val="auto"/>
          <w:szCs w:val="21"/>
          <w:highlight w:val="none"/>
        </w:rPr>
        <w:t>开展</w:t>
      </w:r>
      <w:r>
        <w:rPr>
          <w:rFonts w:hint="eastAsia"/>
          <w:color w:val="auto"/>
          <w:szCs w:val="21"/>
          <w:highlight w:val="none"/>
        </w:rPr>
        <w:t>包含但不限于</w:t>
      </w:r>
      <w:r>
        <w:rPr>
          <w:color w:val="auto"/>
          <w:szCs w:val="21"/>
          <w:highlight w:val="none"/>
        </w:rPr>
        <w:t>地下水</w:t>
      </w:r>
      <w:r>
        <w:rPr>
          <w:rFonts w:hint="eastAsia"/>
          <w:color w:val="auto"/>
          <w:szCs w:val="21"/>
          <w:highlight w:val="none"/>
        </w:rPr>
        <w:t>、土壤气等环境介质</w:t>
      </w:r>
      <w:r>
        <w:rPr>
          <w:color w:val="auto"/>
          <w:szCs w:val="21"/>
          <w:highlight w:val="none"/>
        </w:rPr>
        <w:t>跟踪采样工作，</w:t>
      </w:r>
      <w:r>
        <w:rPr>
          <w:rFonts w:hint="eastAsia"/>
          <w:color w:val="auto"/>
          <w:szCs w:val="21"/>
          <w:highlight w:val="none"/>
        </w:rPr>
        <w:t>直至通过效果评估专家评审及主管部门备案，且乙方需要负责项目的长期监测工作，直至该项目通过第十五批《江苏省建设用地土壤污染风险管控和修复名录》</w:t>
      </w:r>
      <w:r>
        <w:rPr>
          <w:color w:val="auto"/>
          <w:szCs w:val="21"/>
          <w:highlight w:val="none"/>
        </w:rPr>
        <w:t>。</w:t>
      </w:r>
    </w:p>
    <w:p w14:paraId="2D3E382E">
      <w:pPr>
        <w:adjustRightInd w:val="0"/>
        <w:snapToGrid w:val="0"/>
        <w:spacing w:line="360" w:lineRule="auto"/>
        <w:ind w:right="-143" w:rightChars="-68"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四、风险管控效果评估服务期要求：施工方申请验收效果评估后至完成污染土壤及地下水等风险管控效果评估（出具验收报告或者风险管控效果评估报告，包含完成验收实施方案编制工作并且通过专家评审论证及主管部门备案）以及乙方需要负责项目的长期监测工作，直至该项目通过第十五批《江苏省建设用地土壤污染风险管控和修复名录》</w:t>
      </w:r>
      <w:r>
        <w:rPr>
          <w:rFonts w:asciiTheme="minorEastAsia" w:hAnsiTheme="minorEastAsia" w:eastAsiaTheme="minorEastAsia" w:cstheme="minorEastAsia"/>
          <w:color w:val="auto"/>
          <w:szCs w:val="21"/>
          <w:highlight w:val="none"/>
        </w:rPr>
        <w:t>。</w:t>
      </w:r>
    </w:p>
    <w:p w14:paraId="7D1569A5">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五、合同内容：</w:t>
      </w:r>
    </w:p>
    <w:p w14:paraId="640EA21D">
      <w:pPr>
        <w:snapToGrid w:val="0"/>
        <w:spacing w:line="360" w:lineRule="auto"/>
        <w:ind w:firstLine="420" w:firstLineChars="200"/>
        <w:rPr>
          <w:bCs/>
          <w:color w:val="auto"/>
          <w:highlight w:val="none"/>
        </w:rPr>
      </w:pPr>
      <w:r>
        <w:rPr>
          <w:bCs/>
          <w:color w:val="auto"/>
          <w:highlight w:val="none"/>
        </w:rPr>
        <w:t>（</w:t>
      </w:r>
      <w:r>
        <w:rPr>
          <w:rFonts w:hint="eastAsia"/>
          <w:bCs/>
          <w:color w:val="auto"/>
          <w:highlight w:val="none"/>
        </w:rPr>
        <w:t>1</w:t>
      </w:r>
      <w:r>
        <w:rPr>
          <w:bCs/>
          <w:color w:val="auto"/>
          <w:highlight w:val="none"/>
        </w:rPr>
        <w:t>）乙方依据施工单位编制的施工方案，按照国家和地方相关技术导则和工作指南，编制效果评估方案，方案需经专家论证通过后执行；</w:t>
      </w:r>
    </w:p>
    <w:p w14:paraId="78C49471">
      <w:pPr>
        <w:snapToGrid w:val="0"/>
        <w:spacing w:line="360" w:lineRule="auto"/>
        <w:ind w:firstLine="420" w:firstLineChars="200"/>
        <w:rPr>
          <w:bCs/>
          <w:color w:val="auto"/>
          <w:highlight w:val="none"/>
        </w:rPr>
      </w:pPr>
      <w:r>
        <w:rPr>
          <w:bCs/>
          <w:color w:val="auto"/>
          <w:highlight w:val="none"/>
        </w:rPr>
        <w:t>（</w:t>
      </w:r>
      <w:r>
        <w:rPr>
          <w:rFonts w:hint="eastAsia"/>
          <w:bCs/>
          <w:color w:val="auto"/>
          <w:highlight w:val="none"/>
        </w:rPr>
        <w:t>2</w:t>
      </w:r>
      <w:r>
        <w:rPr>
          <w:bCs/>
          <w:color w:val="auto"/>
          <w:highlight w:val="none"/>
        </w:rPr>
        <w:t>）乙方按照</w:t>
      </w:r>
      <w:r>
        <w:rPr>
          <w:rFonts w:hint="eastAsia"/>
          <w:bCs/>
          <w:color w:val="auto"/>
          <w:highlight w:val="none"/>
        </w:rPr>
        <w:t>风险管控</w:t>
      </w:r>
      <w:r>
        <w:rPr>
          <w:bCs/>
          <w:color w:val="auto"/>
          <w:highlight w:val="none"/>
        </w:rPr>
        <w:t>效果评估方案布置效果评估监测点位及样品数量，开展采样工作；</w:t>
      </w:r>
    </w:p>
    <w:p w14:paraId="6FB1A4A4">
      <w:pPr>
        <w:snapToGrid w:val="0"/>
        <w:spacing w:line="360" w:lineRule="auto"/>
        <w:ind w:firstLine="420" w:firstLineChars="200"/>
        <w:rPr>
          <w:bCs/>
          <w:color w:val="auto"/>
          <w:highlight w:val="none"/>
        </w:rPr>
      </w:pPr>
      <w:r>
        <w:rPr>
          <w:bCs/>
          <w:color w:val="auto"/>
          <w:highlight w:val="none"/>
        </w:rPr>
        <w:t>（</w:t>
      </w:r>
      <w:r>
        <w:rPr>
          <w:rFonts w:hint="eastAsia"/>
          <w:bCs/>
          <w:color w:val="auto"/>
          <w:highlight w:val="none"/>
        </w:rPr>
        <w:t>3</w:t>
      </w:r>
      <w:r>
        <w:rPr>
          <w:bCs/>
          <w:color w:val="auto"/>
          <w:highlight w:val="none"/>
        </w:rPr>
        <w:t>）乙方按照国家和地方相关技术导则和工作指南，编制效果评估报告，</w:t>
      </w:r>
      <w:r>
        <w:rPr>
          <w:rFonts w:hint="eastAsia"/>
          <w:color w:val="auto"/>
          <w:szCs w:val="21"/>
          <w:highlight w:val="none"/>
        </w:rPr>
        <w:t>风险管控</w:t>
      </w:r>
      <w:r>
        <w:rPr>
          <w:color w:val="auto"/>
          <w:szCs w:val="21"/>
          <w:highlight w:val="none"/>
        </w:rPr>
        <w:t>效果评估报告</w:t>
      </w:r>
      <w:r>
        <w:rPr>
          <w:rFonts w:hint="eastAsia"/>
          <w:color w:val="auto"/>
          <w:szCs w:val="21"/>
          <w:highlight w:val="none"/>
        </w:rPr>
        <w:t>需</w:t>
      </w:r>
      <w:r>
        <w:rPr>
          <w:color w:val="auto"/>
          <w:szCs w:val="21"/>
          <w:highlight w:val="none"/>
        </w:rPr>
        <w:t>专家评审</w:t>
      </w:r>
      <w:r>
        <w:rPr>
          <w:bCs/>
          <w:color w:val="auto"/>
          <w:highlight w:val="none"/>
        </w:rPr>
        <w:t>；</w:t>
      </w:r>
    </w:p>
    <w:p w14:paraId="6161315C">
      <w:pPr>
        <w:snapToGrid w:val="0"/>
        <w:spacing w:line="360" w:lineRule="auto"/>
        <w:ind w:firstLine="420" w:firstLineChars="200"/>
        <w:rPr>
          <w:rFonts w:hint="eastAsia"/>
          <w:bCs/>
          <w:color w:val="auto"/>
          <w:highlight w:val="none"/>
        </w:rPr>
      </w:pPr>
      <w:r>
        <w:rPr>
          <w:bCs/>
          <w:color w:val="auto"/>
          <w:highlight w:val="none"/>
        </w:rPr>
        <w:t>（</w:t>
      </w:r>
      <w:r>
        <w:rPr>
          <w:rFonts w:hint="eastAsia"/>
          <w:bCs/>
          <w:color w:val="auto"/>
          <w:highlight w:val="none"/>
        </w:rPr>
        <w:t>4</w:t>
      </w:r>
      <w:r>
        <w:rPr>
          <w:bCs/>
          <w:color w:val="auto"/>
          <w:highlight w:val="none"/>
        </w:rPr>
        <w:t>）乙方需开展长期监测工作</w:t>
      </w:r>
      <w:r>
        <w:rPr>
          <w:rFonts w:hint="eastAsia"/>
          <w:bCs/>
          <w:color w:val="auto"/>
          <w:highlight w:val="none"/>
        </w:rPr>
        <w:t>，直至通过第十五批《江苏省建设用地土壤污染风险管控和修复名录》；</w:t>
      </w:r>
    </w:p>
    <w:p w14:paraId="3485C4FB">
      <w:pPr>
        <w:keepNext w:val="0"/>
        <w:keepLines w:val="0"/>
        <w:pageBreakBefore w:val="0"/>
        <w:widowControl w:val="0"/>
        <w:kinsoku/>
        <w:wordWrap/>
        <w:overflowPunct/>
        <w:topLinePunct w:val="0"/>
        <w:autoSpaceDE/>
        <w:autoSpaceDN/>
        <w:bidi w:val="0"/>
        <w:adjustRightInd/>
        <w:snapToGrid w:val="0"/>
        <w:spacing w:line="360" w:lineRule="auto"/>
        <w:ind w:leftChars="0" w:firstLine="420" w:firstLineChars="200"/>
        <w:textAlignment w:val="auto"/>
        <w:rPr>
          <w:rFonts w:asciiTheme="minorEastAsia" w:hAnsiTheme="minorEastAsia" w:eastAsiaTheme="minorEastAsia" w:cstheme="minorEastAsia"/>
          <w:bCs/>
          <w:color w:val="auto"/>
          <w:highlight w:val="none"/>
        </w:rPr>
      </w:pPr>
      <w:r>
        <w:rPr>
          <w:rFonts w:hint="default" w:ascii="Times New Roman" w:hAnsi="Times New Roman" w:eastAsia="宋体" w:cs="Times New Roman"/>
          <w:b w:val="0"/>
          <w:bCs/>
          <w:color w:val="auto"/>
          <w:highlight w:val="none"/>
        </w:rPr>
        <w:t>（</w:t>
      </w:r>
      <w:r>
        <w:rPr>
          <w:rFonts w:hint="eastAsia" w:ascii="Times New Roman" w:hAnsi="Times New Roman" w:cs="Times New Roman"/>
          <w:b w:val="0"/>
          <w:bCs/>
          <w:color w:val="auto"/>
          <w:highlight w:val="none"/>
          <w:lang w:val="en-US" w:eastAsia="zh-CN"/>
        </w:rPr>
        <w:t>5</w:t>
      </w:r>
      <w:r>
        <w:rPr>
          <w:rFonts w:hint="default" w:ascii="Times New Roman" w:hAnsi="Times New Roman" w:eastAsia="宋体" w:cs="Times New Roman"/>
          <w:b w:val="0"/>
          <w:bCs/>
          <w:color w:val="auto"/>
          <w:highlight w:val="none"/>
        </w:rPr>
        <w:t>）项目部组建、人员要求</w:t>
      </w:r>
    </w:p>
    <w:p w14:paraId="7351E609">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乙方承诺派驻至少两名项目组主要成员</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含项目负责人</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在风险管控工程实施期间提供驻场服务，否则委托人有权单方面终止合同。项目竣工验收合格后安排项目负责人或技术负责人负责效果评估相关事务。人员名单如下：</w:t>
      </w:r>
    </w:p>
    <w:p w14:paraId="5621A06D">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姓名：      ；身份证：                  ；联系方式：             ；</w:t>
      </w:r>
    </w:p>
    <w:p w14:paraId="1AF8D207">
      <w:pPr>
        <w:snapToGrid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姓名：      ；身份证：                  ；联系方式：             ；</w:t>
      </w:r>
    </w:p>
    <w:p w14:paraId="71877179">
      <w:pPr>
        <w:keepNext w:val="0"/>
        <w:keepLines w:val="0"/>
        <w:pageBreakBefore w:val="0"/>
        <w:widowControl w:val="0"/>
        <w:kinsoku/>
        <w:wordWrap/>
        <w:overflowPunct/>
        <w:topLinePunct w:val="0"/>
        <w:autoSpaceDE/>
        <w:autoSpaceDN/>
        <w:bidi w:val="0"/>
        <w:adjustRightInd/>
        <w:snapToGrid w:val="0"/>
        <w:spacing w:line="360" w:lineRule="auto"/>
        <w:ind w:leftChars="0" w:firstLine="420" w:firstLineChars="200"/>
        <w:textAlignment w:val="auto"/>
        <w:rPr>
          <w:color w:val="auto"/>
          <w:highlight w:val="none"/>
        </w:rPr>
      </w:pPr>
      <w:r>
        <w:rPr>
          <w:rFonts w:hint="eastAsia" w:asciiTheme="minorEastAsia" w:hAnsiTheme="minorEastAsia" w:eastAsiaTheme="minorEastAsia" w:cstheme="minorEastAsia"/>
          <w:bCs/>
          <w:color w:val="auto"/>
          <w:highlight w:val="none"/>
        </w:rPr>
        <w:t>若需更换项目人员，应事先征得委托人的书面同意。</w:t>
      </w:r>
    </w:p>
    <w:p w14:paraId="551149F9">
      <w:pPr>
        <w:snapToGrid w:val="0"/>
        <w:spacing w:line="360" w:lineRule="auto"/>
        <w:ind w:firstLine="420" w:firstLineChars="200"/>
        <w:rPr>
          <w:bCs/>
          <w:color w:val="auto"/>
          <w:highlight w:val="none"/>
        </w:rPr>
      </w:pPr>
      <w:r>
        <w:rPr>
          <w:rFonts w:hint="eastAsia"/>
          <w:bCs/>
          <w:color w:val="auto"/>
          <w:highlight w:val="none"/>
        </w:rPr>
        <w:t>六</w:t>
      </w:r>
      <w:r>
        <w:rPr>
          <w:bCs/>
          <w:color w:val="auto"/>
          <w:highlight w:val="none"/>
        </w:rPr>
        <w:t>、合同期限：</w:t>
      </w:r>
    </w:p>
    <w:p w14:paraId="44AA0381">
      <w:pPr>
        <w:snapToGrid w:val="0"/>
        <w:spacing w:line="360" w:lineRule="auto"/>
        <w:ind w:firstLine="420" w:firstLineChars="200"/>
        <w:rPr>
          <w:rFonts w:asciiTheme="minorEastAsia" w:hAnsiTheme="minorEastAsia" w:eastAsiaTheme="minorEastAsia" w:cstheme="minorEastAsia"/>
          <w:bCs/>
          <w:color w:val="auto"/>
          <w:highlight w:val="none"/>
        </w:rPr>
      </w:pPr>
      <w:r>
        <w:rPr>
          <w:bCs/>
          <w:color w:val="auto"/>
          <w:highlight w:val="none"/>
        </w:rPr>
        <w:t>自本合同签署之日起至</w:t>
      </w:r>
      <w:r>
        <w:rPr>
          <w:rFonts w:hint="eastAsia" w:ascii="宋体" w:hAnsi="宋体" w:cs="宋体"/>
          <w:color w:val="auto"/>
          <w:highlight w:val="none"/>
        </w:rPr>
        <w:t>项目</w:t>
      </w:r>
      <w:r>
        <w:rPr>
          <w:rFonts w:hint="eastAsia"/>
          <w:bCs/>
          <w:color w:val="auto"/>
          <w:highlight w:val="none"/>
        </w:rPr>
        <w:t>通过第十五批《江苏省建设用地土壤污染风险管控和修复名录》</w:t>
      </w:r>
      <w:r>
        <w:rPr>
          <w:bCs/>
          <w:color w:val="auto"/>
          <w:highlight w:val="none"/>
        </w:rPr>
        <w:t>。</w:t>
      </w:r>
    </w:p>
    <w:p w14:paraId="02B06215">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七、双方的义务</w:t>
      </w:r>
    </w:p>
    <w:p w14:paraId="092AD46A">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（一）、甲方的义务：</w:t>
      </w:r>
    </w:p>
    <w:p w14:paraId="0EF6C69E">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1、向乙方提供有关本项目场地调查与风险评估报告以及风险管控工程实施方案等相关资料；</w:t>
      </w:r>
    </w:p>
    <w:p w14:paraId="606E8944">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2、为乙方开展现场勘探和现场采样工作提供必要的协助。</w:t>
      </w:r>
    </w:p>
    <w:p w14:paraId="64542F25">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（二）、乙方的义务：</w:t>
      </w:r>
    </w:p>
    <w:p w14:paraId="386B2B6D">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1、严格按照国家和地方相关法律、法规和技术规范要求开展风险管控效果评估工作；</w:t>
      </w:r>
    </w:p>
    <w:p w14:paraId="7325D196">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2、在对执行业务过程中知悉的与该项目有关的商业秘密负责保密，不向第三方泄露；</w:t>
      </w:r>
    </w:p>
    <w:p w14:paraId="6AC69229">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3、协助甲方做好媒体应对等工作。</w:t>
      </w:r>
    </w:p>
    <w:p w14:paraId="33AEAB8B">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4、当发现有不合格的批次验收点时，应立即书面告知甲方并提出相应的改进意见或建议，积极配合甲方的相关工作。</w:t>
      </w:r>
    </w:p>
    <w:p w14:paraId="33A80453">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八、双方的责任</w:t>
      </w:r>
    </w:p>
    <w:p w14:paraId="5EB6BCC8">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（一）、甲方的责任：</w:t>
      </w:r>
    </w:p>
    <w:p w14:paraId="40525150">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甲方应履行合同约定的义务。</w:t>
      </w:r>
    </w:p>
    <w:p w14:paraId="0C1517C7">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（二）、乙方的责任：</w:t>
      </w:r>
    </w:p>
    <w:p w14:paraId="2D273FDE">
      <w:pPr>
        <w:snapToGrid w:val="0"/>
        <w:spacing w:line="360" w:lineRule="auto"/>
        <w:ind w:firstLine="420" w:firstLineChars="200"/>
        <w:rPr>
          <w:bCs/>
          <w:color w:val="auto"/>
          <w:highlight w:val="none"/>
        </w:rPr>
      </w:pPr>
      <w:r>
        <w:rPr>
          <w:rFonts w:hint="eastAsia"/>
          <w:bCs/>
          <w:color w:val="auto"/>
          <w:highlight w:val="none"/>
        </w:rPr>
        <w:t>1</w:t>
      </w:r>
      <w:r>
        <w:rPr>
          <w:bCs/>
          <w:color w:val="auto"/>
          <w:highlight w:val="none"/>
        </w:rPr>
        <w:t>、乙方负责编制</w:t>
      </w:r>
      <w:r>
        <w:rPr>
          <w:rFonts w:hint="eastAsia"/>
          <w:bCs/>
          <w:color w:val="auto"/>
          <w:highlight w:val="none"/>
        </w:rPr>
        <w:t>风险管控</w:t>
      </w:r>
      <w:r>
        <w:rPr>
          <w:bCs/>
          <w:color w:val="auto"/>
          <w:highlight w:val="none"/>
        </w:rPr>
        <w:t>效果评估方案，方案需经专家论证通过后执行；</w:t>
      </w:r>
    </w:p>
    <w:p w14:paraId="0C7C01D1">
      <w:pPr>
        <w:snapToGrid w:val="0"/>
        <w:spacing w:line="360" w:lineRule="auto"/>
        <w:ind w:firstLine="420" w:firstLineChars="200"/>
        <w:rPr>
          <w:bCs/>
          <w:color w:val="auto"/>
          <w:highlight w:val="none"/>
        </w:rPr>
      </w:pPr>
      <w:r>
        <w:rPr>
          <w:rFonts w:hint="eastAsia"/>
          <w:bCs/>
          <w:color w:val="auto"/>
          <w:highlight w:val="none"/>
        </w:rPr>
        <w:t>2</w:t>
      </w:r>
      <w:r>
        <w:rPr>
          <w:bCs/>
          <w:color w:val="auto"/>
          <w:highlight w:val="none"/>
        </w:rPr>
        <w:t>、按照</w:t>
      </w:r>
      <w:r>
        <w:rPr>
          <w:rFonts w:hint="eastAsia"/>
          <w:bCs/>
          <w:color w:val="auto"/>
          <w:highlight w:val="none"/>
        </w:rPr>
        <w:t>风险管控</w:t>
      </w:r>
      <w:r>
        <w:rPr>
          <w:bCs/>
          <w:color w:val="auto"/>
          <w:highlight w:val="none"/>
        </w:rPr>
        <w:t>效果评估方案布置效果评估检测点位及样品数量，开展采样工作；</w:t>
      </w:r>
    </w:p>
    <w:p w14:paraId="4B1B909B">
      <w:pPr>
        <w:snapToGrid w:val="0"/>
        <w:spacing w:line="360" w:lineRule="auto"/>
        <w:ind w:firstLine="420" w:firstLineChars="200"/>
        <w:rPr>
          <w:bCs/>
          <w:color w:val="auto"/>
          <w:highlight w:val="none"/>
        </w:rPr>
      </w:pPr>
      <w:r>
        <w:rPr>
          <w:rFonts w:hint="eastAsia"/>
          <w:bCs/>
          <w:color w:val="auto"/>
          <w:highlight w:val="none"/>
        </w:rPr>
        <w:t>3</w:t>
      </w:r>
      <w:r>
        <w:rPr>
          <w:bCs/>
          <w:color w:val="auto"/>
          <w:highlight w:val="none"/>
        </w:rPr>
        <w:t>、按照国家和地方相关技术导则和工作指南，编制</w:t>
      </w:r>
      <w:r>
        <w:rPr>
          <w:rFonts w:hint="eastAsia"/>
          <w:bCs/>
          <w:color w:val="auto"/>
          <w:highlight w:val="none"/>
        </w:rPr>
        <w:t>风险管控</w:t>
      </w:r>
      <w:r>
        <w:rPr>
          <w:bCs/>
          <w:color w:val="auto"/>
          <w:highlight w:val="none"/>
        </w:rPr>
        <w:t>效果评估报告；</w:t>
      </w:r>
    </w:p>
    <w:p w14:paraId="207D5921">
      <w:pPr>
        <w:snapToGrid w:val="0"/>
        <w:spacing w:line="360" w:lineRule="auto"/>
        <w:ind w:firstLine="420" w:firstLineChars="200"/>
        <w:rPr>
          <w:bCs/>
          <w:color w:val="auto"/>
          <w:highlight w:val="none"/>
        </w:rPr>
      </w:pPr>
      <w:r>
        <w:rPr>
          <w:rFonts w:hint="eastAsia"/>
          <w:bCs/>
          <w:color w:val="auto"/>
          <w:highlight w:val="none"/>
        </w:rPr>
        <w:t>4</w:t>
      </w:r>
      <w:r>
        <w:rPr>
          <w:bCs/>
          <w:color w:val="auto"/>
          <w:highlight w:val="none"/>
        </w:rPr>
        <w:t>、组织专家评审会，准备有关会议材料，负责项目汇报，并根据专家意见对文件的内容做必要的修改或补充；评审的专家评审费、组织费等所有费用由乙方承担；</w:t>
      </w:r>
    </w:p>
    <w:p w14:paraId="76224C4E">
      <w:pPr>
        <w:snapToGrid w:val="0"/>
        <w:spacing w:line="360" w:lineRule="auto"/>
        <w:ind w:firstLine="420" w:firstLineChars="200"/>
        <w:rPr>
          <w:bCs/>
          <w:color w:val="auto"/>
          <w:highlight w:val="none"/>
        </w:rPr>
      </w:pPr>
      <w:r>
        <w:rPr>
          <w:rFonts w:hint="eastAsia"/>
          <w:bCs/>
          <w:color w:val="auto"/>
          <w:highlight w:val="none"/>
        </w:rPr>
        <w:t>5</w:t>
      </w:r>
      <w:r>
        <w:rPr>
          <w:bCs/>
          <w:color w:val="auto"/>
          <w:highlight w:val="none"/>
        </w:rPr>
        <w:t>、</w:t>
      </w:r>
      <w:r>
        <w:rPr>
          <w:color w:val="auto"/>
          <w:szCs w:val="21"/>
          <w:highlight w:val="none"/>
        </w:rPr>
        <w:t>组织并通过</w:t>
      </w:r>
      <w:r>
        <w:rPr>
          <w:rFonts w:hint="eastAsia"/>
          <w:color w:val="auto"/>
          <w:szCs w:val="21"/>
          <w:highlight w:val="none"/>
        </w:rPr>
        <w:t>生态环境主管</w:t>
      </w:r>
      <w:r>
        <w:rPr>
          <w:color w:val="auto"/>
          <w:szCs w:val="21"/>
          <w:highlight w:val="none"/>
        </w:rPr>
        <w:t>部门规定的</w:t>
      </w:r>
      <w:r>
        <w:rPr>
          <w:rFonts w:hint="eastAsia"/>
          <w:color w:val="auto"/>
          <w:szCs w:val="21"/>
          <w:highlight w:val="none"/>
        </w:rPr>
        <w:t>风险管控</w:t>
      </w:r>
      <w:r>
        <w:rPr>
          <w:color w:val="auto"/>
          <w:szCs w:val="21"/>
          <w:highlight w:val="none"/>
        </w:rPr>
        <w:t>效果评估报告专家评审</w:t>
      </w:r>
      <w:r>
        <w:rPr>
          <w:bCs/>
          <w:color w:val="auto"/>
          <w:highlight w:val="none"/>
        </w:rPr>
        <w:t>；</w:t>
      </w:r>
    </w:p>
    <w:p w14:paraId="5ACA8D64">
      <w:pPr>
        <w:snapToGrid w:val="0"/>
        <w:spacing w:line="360" w:lineRule="auto"/>
        <w:ind w:firstLine="420" w:firstLineChars="200"/>
        <w:rPr>
          <w:bCs/>
          <w:color w:val="auto"/>
          <w:highlight w:val="none"/>
        </w:rPr>
      </w:pPr>
      <w:r>
        <w:rPr>
          <w:rFonts w:hint="eastAsia"/>
          <w:bCs/>
          <w:color w:val="auto"/>
          <w:highlight w:val="none"/>
        </w:rPr>
        <w:t>6</w:t>
      </w:r>
      <w:r>
        <w:rPr>
          <w:bCs/>
          <w:color w:val="auto"/>
          <w:highlight w:val="none"/>
        </w:rPr>
        <w:t>、乙方如因提供服务不合格或弄虚作假造成甲方经济损失，应赔偿甲方该责任范围内的全部损失。</w:t>
      </w:r>
    </w:p>
    <w:p w14:paraId="520AC17E">
      <w:pPr>
        <w:pStyle w:val="21"/>
        <w:ind w:left="0" w:leftChars="0"/>
        <w:rPr>
          <w:color w:val="auto"/>
          <w:highlight w:val="none"/>
        </w:rPr>
      </w:pPr>
      <w:r>
        <w:rPr>
          <w:rFonts w:hint="eastAsia"/>
          <w:bCs/>
          <w:color w:val="auto"/>
          <w:highlight w:val="none"/>
        </w:rPr>
        <w:t>7、</w:t>
      </w:r>
      <w:r>
        <w:rPr>
          <w:rFonts w:hint="eastAsia" w:ascii="宋体" w:hAnsi="宋体" w:cs="宋体"/>
          <w:color w:val="auto"/>
          <w:szCs w:val="21"/>
          <w:highlight w:val="none"/>
        </w:rPr>
        <w:t>乙方应自觉提高安全意识，做好现场安全防护措施，乙方人员的一切安全责任及措施费用概由乙方自行负责。</w:t>
      </w:r>
    </w:p>
    <w:p w14:paraId="65EFB284">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九、价款及报酬：</w:t>
      </w:r>
    </w:p>
    <w:p w14:paraId="2C636C6C">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1、本项目采用固定总价合同。采用固定总价合同时，费用不再调整。</w:t>
      </w:r>
    </w:p>
    <w:p w14:paraId="1AF5E07D">
      <w:pPr>
        <w:snapToGrid w:val="0"/>
        <w:spacing w:line="360" w:lineRule="auto"/>
        <w:ind w:firstLine="840" w:firstLineChars="4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合同价款：人民币（大写）</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元（小写</w:t>
      </w:r>
      <w:r>
        <w:rPr>
          <w:rFonts w:hint="default" w:ascii="Arial" w:hAnsi="Arial" w:cs="Arial" w:eastAsiaTheme="minorEastAsia"/>
          <w:bCs/>
          <w:color w:val="auto"/>
          <w:highlight w:val="none"/>
        </w:rPr>
        <w:t>¥</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元，含</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%税金）。</w:t>
      </w:r>
    </w:p>
    <w:p w14:paraId="4DA42540">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乙方报酬包括但不限于所需的人员费用、现场费用、交通工具使用费、通信费以及环境监测费用及其措施费、污染物采样检测费用、专家评审费用，编制报告费用以及相关法律法规规定由乙方承担的费用与税金等全部相关费用。</w:t>
      </w:r>
    </w:p>
    <w:p w14:paraId="259BEDC8">
      <w:pPr>
        <w:pStyle w:val="21"/>
        <w:spacing w:line="360" w:lineRule="auto"/>
        <w:ind w:left="0" w:leftChars="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3、付款方式：</w:t>
      </w:r>
      <w:r>
        <w:rPr>
          <w:color w:val="auto"/>
          <w:szCs w:val="21"/>
          <w:highlight w:val="none"/>
        </w:rPr>
        <w:t>本项目效果评估方案通过</w:t>
      </w:r>
      <w:r>
        <w:rPr>
          <w:rFonts w:hint="eastAsia"/>
          <w:color w:val="auto"/>
          <w:szCs w:val="21"/>
          <w:highlight w:val="none"/>
        </w:rPr>
        <w:t>市级</w:t>
      </w:r>
      <w:r>
        <w:rPr>
          <w:rFonts w:hint="eastAsia"/>
          <w:color w:val="auto"/>
          <w:szCs w:val="21"/>
          <w:highlight w:val="none"/>
          <w:lang w:val="en-US" w:eastAsia="zh-CN"/>
        </w:rPr>
        <w:t>或市级</w:t>
      </w:r>
      <w:r>
        <w:rPr>
          <w:rFonts w:hint="eastAsia"/>
          <w:color w:val="auto"/>
          <w:szCs w:val="21"/>
          <w:highlight w:val="none"/>
        </w:rPr>
        <w:t>以上</w:t>
      </w:r>
      <w:r>
        <w:rPr>
          <w:color w:val="auto"/>
          <w:szCs w:val="21"/>
          <w:highlight w:val="none"/>
        </w:rPr>
        <w:t>专家论证后，</w:t>
      </w:r>
      <w:r>
        <w:rPr>
          <w:rFonts w:hint="eastAsia"/>
          <w:color w:val="auto"/>
          <w:szCs w:val="21"/>
          <w:highlight w:val="none"/>
        </w:rPr>
        <w:t>付至</w:t>
      </w:r>
      <w:r>
        <w:rPr>
          <w:color w:val="auto"/>
          <w:szCs w:val="21"/>
          <w:highlight w:val="none"/>
        </w:rPr>
        <w:t>合同金额的</w:t>
      </w:r>
      <w:r>
        <w:rPr>
          <w:rFonts w:hint="eastAsia"/>
          <w:color w:val="auto"/>
          <w:szCs w:val="21"/>
          <w:highlight w:val="none"/>
        </w:rPr>
        <w:t>30</w:t>
      </w:r>
      <w:r>
        <w:rPr>
          <w:color w:val="auto"/>
          <w:szCs w:val="21"/>
          <w:highlight w:val="none"/>
        </w:rPr>
        <w:t>%；风险管控工程竣工后，效果评估报告通过专家评审</w:t>
      </w:r>
      <w:r>
        <w:rPr>
          <w:rFonts w:hint="eastAsia" w:asciiTheme="minorEastAsia" w:hAnsiTheme="minorEastAsia" w:eastAsiaTheme="minorEastAsia" w:cstheme="minorEastAsia"/>
          <w:bCs/>
          <w:color w:val="auto"/>
          <w:highlight w:val="none"/>
        </w:rPr>
        <w:t>并报生态环境主管部门备案</w:t>
      </w:r>
      <w:r>
        <w:rPr>
          <w:color w:val="auto"/>
          <w:szCs w:val="21"/>
          <w:highlight w:val="none"/>
        </w:rPr>
        <w:t>后，付</w:t>
      </w:r>
      <w:r>
        <w:rPr>
          <w:rFonts w:hint="eastAsia"/>
          <w:color w:val="auto"/>
          <w:szCs w:val="21"/>
          <w:highlight w:val="none"/>
        </w:rPr>
        <w:t>至</w:t>
      </w:r>
      <w:r>
        <w:rPr>
          <w:color w:val="auto"/>
          <w:szCs w:val="21"/>
          <w:highlight w:val="none"/>
        </w:rPr>
        <w:t>合同金额的</w:t>
      </w:r>
      <w:r>
        <w:rPr>
          <w:rFonts w:hint="eastAsia"/>
          <w:color w:val="auto"/>
          <w:szCs w:val="21"/>
          <w:highlight w:val="none"/>
        </w:rPr>
        <w:t>90</w:t>
      </w:r>
      <w:r>
        <w:rPr>
          <w:color w:val="auto"/>
          <w:szCs w:val="21"/>
          <w:highlight w:val="none"/>
        </w:rPr>
        <w:t>%；长期监测期满</w:t>
      </w:r>
      <w:r>
        <w:rPr>
          <w:rFonts w:hint="eastAsia"/>
          <w:color w:val="auto"/>
          <w:szCs w:val="21"/>
          <w:highlight w:val="none"/>
        </w:rPr>
        <w:t>，工程</w:t>
      </w:r>
      <w:r>
        <w:rPr>
          <w:rFonts w:hint="eastAsia"/>
          <w:bCs/>
          <w:color w:val="auto"/>
          <w:highlight w:val="none"/>
        </w:rPr>
        <w:t>通过第十五批《江苏省建设用地土壤污染风险管控和修复名录》</w:t>
      </w:r>
      <w:r>
        <w:rPr>
          <w:color w:val="auto"/>
          <w:szCs w:val="21"/>
          <w:highlight w:val="none"/>
        </w:rPr>
        <w:t>后，付</w:t>
      </w:r>
      <w:r>
        <w:rPr>
          <w:rFonts w:hint="eastAsia"/>
          <w:color w:val="auto"/>
          <w:szCs w:val="21"/>
          <w:highlight w:val="none"/>
        </w:rPr>
        <w:t>至</w:t>
      </w:r>
      <w:r>
        <w:rPr>
          <w:color w:val="auto"/>
          <w:szCs w:val="21"/>
          <w:highlight w:val="none"/>
        </w:rPr>
        <w:t>合同金额的</w:t>
      </w:r>
      <w:r>
        <w:rPr>
          <w:rFonts w:hint="eastAsia"/>
          <w:color w:val="auto"/>
          <w:szCs w:val="21"/>
          <w:highlight w:val="none"/>
        </w:rPr>
        <w:t>100</w:t>
      </w:r>
      <w:r>
        <w:rPr>
          <w:color w:val="auto"/>
          <w:szCs w:val="21"/>
          <w:highlight w:val="none"/>
        </w:rPr>
        <w:t>%。</w:t>
      </w:r>
    </w:p>
    <w:p w14:paraId="436996AC">
      <w:pPr>
        <w:snapToGrid w:val="0"/>
        <w:spacing w:line="360" w:lineRule="auto"/>
        <w:ind w:firstLine="420" w:firstLineChars="200"/>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4、相关服务酬金：乙方服务期内不再增加计算任何附加的其他费用。发生以下情况的风险管控效果评估费均不予调整：</w:t>
      </w:r>
    </w:p>
    <w:p w14:paraId="5E3E53DD">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（1）因不可抗力因素造成的工程延误或暂停的；</w:t>
      </w:r>
    </w:p>
    <w:p w14:paraId="6AE245F8">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（2）乙方服务持续时间延长的；</w:t>
      </w:r>
    </w:p>
    <w:p w14:paraId="0B523F1C">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（3）乙方业务发生暂停后恢复执行的。</w:t>
      </w:r>
    </w:p>
    <w:p w14:paraId="5874C03B">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十、风险管控效果评估标准及方法：</w:t>
      </w:r>
    </w:p>
    <w:p w14:paraId="619B9BA2">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风险管控效果评估方案通过专家评审，</w:t>
      </w:r>
      <w:r>
        <w:rPr>
          <w:rFonts w:hint="eastAsia" w:asciiTheme="minorEastAsia" w:hAnsiTheme="minorEastAsia" w:eastAsiaTheme="minorEastAsia" w:cstheme="minorEastAsia"/>
          <w:color w:val="auto"/>
          <w:szCs w:val="21"/>
          <w:highlight w:val="none"/>
        </w:rPr>
        <w:t>风险管控效果评估报告通过生态环境主管部门规定的专家评审</w:t>
      </w:r>
      <w:r>
        <w:rPr>
          <w:rFonts w:hint="eastAsia" w:asciiTheme="minorEastAsia" w:hAnsiTheme="minorEastAsia" w:eastAsiaTheme="minorEastAsia" w:cstheme="minorEastAsia"/>
          <w:bCs/>
          <w:color w:val="auto"/>
          <w:highlight w:val="none"/>
        </w:rPr>
        <w:t>。</w:t>
      </w:r>
    </w:p>
    <w:p w14:paraId="26B298AE">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十一、违约责任：</w:t>
      </w:r>
    </w:p>
    <w:p w14:paraId="114EE72A">
      <w:pPr>
        <w:snapToGrid w:val="0"/>
        <w:spacing w:line="360" w:lineRule="auto"/>
        <w:ind w:firstLine="420" w:firstLineChars="200"/>
        <w:rPr>
          <w:bCs/>
          <w:color w:val="auto"/>
          <w:highlight w:val="none"/>
        </w:rPr>
      </w:pPr>
      <w:r>
        <w:rPr>
          <w:rFonts w:hint="eastAsia"/>
          <w:bCs/>
          <w:color w:val="auto"/>
          <w:highlight w:val="none"/>
        </w:rPr>
        <w:t>1</w:t>
      </w:r>
      <w:r>
        <w:rPr>
          <w:bCs/>
          <w:color w:val="auto"/>
          <w:highlight w:val="none"/>
        </w:rPr>
        <w:t>、由于甲方未能及时提供编制方案所需的资料和工作条件，或由于不可抗力原因使乙方未能如期履行义务，乙方不承担任何责任。</w:t>
      </w:r>
    </w:p>
    <w:p w14:paraId="63A1569D">
      <w:pPr>
        <w:snapToGrid w:val="0"/>
        <w:spacing w:line="360" w:lineRule="auto"/>
        <w:ind w:firstLine="420" w:firstLineChars="200"/>
        <w:rPr>
          <w:bCs/>
          <w:color w:val="auto"/>
          <w:highlight w:val="none"/>
        </w:rPr>
      </w:pPr>
      <w:r>
        <w:rPr>
          <w:rFonts w:hint="eastAsia"/>
          <w:bCs/>
          <w:color w:val="auto"/>
          <w:highlight w:val="none"/>
        </w:rPr>
        <w:t>2</w:t>
      </w:r>
      <w:r>
        <w:rPr>
          <w:bCs/>
          <w:color w:val="auto"/>
          <w:highlight w:val="none"/>
        </w:rPr>
        <w:t>、若乙方原因逾期完成工作，从逾期第七天的次日起算，每逾期一天按合同总金额的万分之五向甲方支付违约金。乙方逾期超过二十日，甲方有权解除合同，乙方在接到甲方书面解除合同的通知十天内须全部退还已收取的费用并按合同总金额的万分之五/日的标准支付已发生的逾期违约金，同时赔偿由此给甲方造成的损失</w:t>
      </w:r>
      <w:r>
        <w:rPr>
          <w:rFonts w:hint="eastAsia"/>
          <w:bCs/>
          <w:color w:val="auto"/>
          <w:highlight w:val="none"/>
        </w:rPr>
        <w:t>，赔偿金额不超过中标金额</w:t>
      </w:r>
      <w:r>
        <w:rPr>
          <w:bCs/>
          <w:color w:val="auto"/>
          <w:highlight w:val="none"/>
        </w:rPr>
        <w:t>。</w:t>
      </w:r>
    </w:p>
    <w:p w14:paraId="05986385">
      <w:pPr>
        <w:snapToGrid w:val="0"/>
        <w:spacing w:line="360" w:lineRule="auto"/>
        <w:ind w:firstLine="420" w:firstLineChars="200"/>
        <w:rPr>
          <w:bCs/>
          <w:color w:val="auto"/>
          <w:highlight w:val="none"/>
        </w:rPr>
      </w:pPr>
      <w:r>
        <w:rPr>
          <w:rFonts w:hint="eastAsia"/>
          <w:bCs/>
          <w:color w:val="auto"/>
          <w:highlight w:val="none"/>
        </w:rPr>
        <w:t>3</w:t>
      </w:r>
      <w:r>
        <w:rPr>
          <w:bCs/>
          <w:color w:val="auto"/>
          <w:highlight w:val="none"/>
        </w:rPr>
        <w:t>、由于乙方不遵守保密规定造成泄密事件发生，导致甲方经济损失的，一经查实，乙方需按本合同费用总额的</w:t>
      </w:r>
      <w:r>
        <w:rPr>
          <w:rFonts w:hint="eastAsia"/>
          <w:bCs/>
          <w:color w:val="auto"/>
          <w:highlight w:val="none"/>
        </w:rPr>
        <w:t>20</w:t>
      </w:r>
      <w:r>
        <w:rPr>
          <w:bCs/>
          <w:color w:val="auto"/>
          <w:highlight w:val="none"/>
        </w:rPr>
        <w:t>%承担违约责任，且甲方有权选择终止本合同。</w:t>
      </w:r>
    </w:p>
    <w:p w14:paraId="6187D4AD">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十二、争议的解决方法：</w:t>
      </w:r>
    </w:p>
    <w:p w14:paraId="30E673DD">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履行本合同过程中，如发生争议，首先通过协商解决，协商不成按下列处理：</w:t>
      </w:r>
    </w:p>
    <w:p w14:paraId="620CCE3D">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（1）向甲方工程所在地人民法院起诉。</w:t>
      </w:r>
    </w:p>
    <w:p w14:paraId="2C2A1429">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十三、签订时间</w:t>
      </w:r>
    </w:p>
    <w:p w14:paraId="7D917B26">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本合同于2025年   月  日签订。</w:t>
      </w:r>
    </w:p>
    <w:p w14:paraId="0B5CB37E">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十四、补充协议</w:t>
      </w:r>
    </w:p>
    <w:p w14:paraId="2D50B75F">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合同未尽事宜，合同当事人另行签订补充协议，补充协议是合同的组成部分，与本合同具有相同的法律效力。</w:t>
      </w:r>
    </w:p>
    <w:p w14:paraId="3378A32F">
      <w:pPr>
        <w:snapToGrid w:val="0"/>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十五、合同生效及其它</w:t>
      </w:r>
    </w:p>
    <w:p w14:paraId="2CB64486">
      <w:pPr>
        <w:pStyle w:val="21"/>
        <w:ind w:left="0" w:leftChars="0"/>
        <w:rPr>
          <w:rFonts w:ascii="宋体" w:hAnsi="宋体" w:cs="宋体"/>
          <w:color w:val="auto"/>
          <w:szCs w:val="21"/>
          <w:highlight w:val="none"/>
        </w:rPr>
      </w:pPr>
      <w:r>
        <w:rPr>
          <w:rFonts w:hint="eastAsia" w:ascii="宋体" w:hAnsi="宋体" w:cs="宋体"/>
          <w:color w:val="auto"/>
          <w:szCs w:val="21"/>
          <w:highlight w:val="none"/>
        </w:rPr>
        <w:t>本合同一式肆份，甲乙双方各执贰份，具有同等法律效力。本合同自三方签字盖章之日起生效。</w:t>
      </w:r>
    </w:p>
    <w:p w14:paraId="07F1E099">
      <w:pPr>
        <w:snapToGrid w:val="0"/>
        <w:spacing w:line="360" w:lineRule="auto"/>
        <w:ind w:left="630" w:leftChars="300"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甲方（盖章）：                       乙方（盖章）：</w:t>
      </w:r>
    </w:p>
    <w:p w14:paraId="1455DC30">
      <w:pPr>
        <w:snapToGrid w:val="0"/>
        <w:spacing w:line="360" w:lineRule="auto"/>
        <w:ind w:left="630" w:leftChars="300"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法定代表人：                        法定代表人：</w:t>
      </w:r>
    </w:p>
    <w:p w14:paraId="0E9C9632">
      <w:pPr>
        <w:snapToGrid w:val="0"/>
        <w:spacing w:line="360" w:lineRule="auto"/>
        <w:ind w:left="630" w:leftChars="300"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委托代表人：                        委托代表人：</w:t>
      </w:r>
    </w:p>
    <w:p w14:paraId="122132A2">
      <w:pPr>
        <w:pStyle w:val="21"/>
        <w:rPr>
          <w:rFonts w:hint="eastAsia"/>
          <w:color w:val="auto"/>
          <w:highlight w:val="none"/>
        </w:rPr>
      </w:pPr>
    </w:p>
    <w:p w14:paraId="25FB6F4D">
      <w:pPr>
        <w:pStyle w:val="21"/>
        <w:rPr>
          <w:color w:val="auto"/>
          <w:highlight w:val="none"/>
        </w:rPr>
      </w:pPr>
      <w:r>
        <w:rPr>
          <w:rFonts w:hint="eastAsia"/>
          <w:color w:val="auto"/>
          <w:highlight w:val="none"/>
        </w:rPr>
        <w:t>见证方（盖章）：</w:t>
      </w:r>
    </w:p>
    <w:p w14:paraId="31051E2F">
      <w:pPr>
        <w:pStyle w:val="21"/>
        <w:rPr>
          <w:color w:val="auto"/>
          <w:highlight w:val="none"/>
        </w:rPr>
      </w:pPr>
      <w:r>
        <w:rPr>
          <w:rFonts w:hint="eastAsia"/>
          <w:color w:val="auto"/>
          <w:highlight w:val="none"/>
        </w:rPr>
        <w:t>见证人（签字）：</w:t>
      </w:r>
    </w:p>
    <w:p w14:paraId="06F6EA9A">
      <w:pPr>
        <w:pStyle w:val="21"/>
        <w:ind w:left="0" w:leftChars="0" w:firstLine="0" w:firstLineChars="0"/>
        <w:rPr>
          <w:color w:val="auto"/>
          <w:highlight w:val="none"/>
        </w:rPr>
      </w:pPr>
    </w:p>
    <w:p w14:paraId="2651DAC4">
      <w:pPr>
        <w:pStyle w:val="21"/>
        <w:ind w:left="0" w:leftChars="0" w:firstLine="5880" w:firstLineChars="2800"/>
        <w:rPr>
          <w:color w:val="auto"/>
          <w:highlight w:val="none"/>
        </w:rPr>
      </w:pPr>
      <w:r>
        <w:rPr>
          <w:rFonts w:hint="eastAsia" w:ascii="宋体" w:hAnsi="宋体" w:cs="宋体"/>
          <w:color w:val="auto"/>
          <w:szCs w:val="21"/>
          <w:highlight w:val="none"/>
        </w:rPr>
        <w:t>签订日期：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41AC28B9">
      <w:pPr>
        <w:rPr>
          <w:rFonts w:hint="eastAsia" w:ascii="宋体" w:hAnsi="宋体" w:cs="宋体"/>
          <w:color w:val="auto"/>
          <w:sz w:val="36"/>
          <w:highlight w:val="none"/>
        </w:rPr>
      </w:pPr>
      <w:bookmarkStart w:id="149" w:name="_Toc15950"/>
      <w:bookmarkStart w:id="150" w:name="_Toc14793"/>
      <w:r>
        <w:rPr>
          <w:rFonts w:hint="eastAsia" w:ascii="宋体" w:hAnsi="宋体" w:cs="宋体"/>
          <w:color w:val="auto"/>
          <w:sz w:val="36"/>
          <w:highlight w:val="none"/>
        </w:rPr>
        <w:br w:type="page"/>
      </w:r>
    </w:p>
    <w:p w14:paraId="13498D64">
      <w:pPr>
        <w:pStyle w:val="4"/>
        <w:spacing w:before="0" w:after="0" w:line="360" w:lineRule="auto"/>
        <w:jc w:val="center"/>
        <w:rPr>
          <w:rFonts w:ascii="宋体" w:hAnsi="宋体" w:cs="宋体"/>
          <w:color w:val="auto"/>
          <w:sz w:val="36"/>
          <w:highlight w:val="none"/>
        </w:rPr>
      </w:pPr>
      <w:r>
        <w:rPr>
          <w:rFonts w:hint="eastAsia" w:ascii="宋体" w:hAnsi="宋体" w:cs="宋体"/>
          <w:color w:val="auto"/>
          <w:sz w:val="36"/>
          <w:highlight w:val="none"/>
        </w:rPr>
        <w:t>第四章 项目需求</w:t>
      </w:r>
      <w:bookmarkEnd w:id="149"/>
      <w:bookmarkEnd w:id="150"/>
      <w:bookmarkStart w:id="151" w:name="_Toc515373933"/>
    </w:p>
    <w:p w14:paraId="4670572A">
      <w:pPr>
        <w:adjustRightInd w:val="0"/>
        <w:snapToGrid w:val="0"/>
        <w:spacing w:line="360" w:lineRule="auto"/>
        <w:ind w:firstLine="482" w:firstLineChars="200"/>
        <w:jc w:val="left"/>
        <w:rPr>
          <w:rFonts w:ascii="宋体" w:hAnsi="宋体" w:cs="宋体"/>
          <w:b/>
          <w:bCs/>
          <w:color w:val="auto"/>
          <w:sz w:val="24"/>
          <w:szCs w:val="24"/>
          <w:highlight w:val="none"/>
        </w:rPr>
      </w:pPr>
    </w:p>
    <w:p w14:paraId="70F1411D">
      <w:pPr>
        <w:pStyle w:val="40"/>
        <w:spacing w:line="360" w:lineRule="auto"/>
        <w:ind w:firstLine="420" w:firstLineChars="200"/>
        <w:rPr>
          <w:rFonts w:ascii="宋体" w:hAnsi="宋体" w:cs="宋体"/>
          <w:color w:val="auto"/>
          <w:szCs w:val="21"/>
          <w:highlight w:val="none"/>
        </w:rPr>
      </w:pPr>
      <w:bookmarkStart w:id="152" w:name="_Toc1022"/>
      <w:bookmarkStart w:id="153" w:name="_Toc12848"/>
      <w:r>
        <w:rPr>
          <w:rFonts w:ascii="宋体" w:hAnsi="宋体" w:cs="宋体"/>
          <w:color w:val="auto"/>
          <w:szCs w:val="21"/>
          <w:highlight w:val="none"/>
        </w:rPr>
        <w:t>1．</w:t>
      </w:r>
      <w:r>
        <w:rPr>
          <w:rFonts w:hint="eastAsia" w:ascii="宋体" w:hAnsi="宋体" w:cs="宋体"/>
          <w:color w:val="auto"/>
          <w:szCs w:val="21"/>
          <w:highlight w:val="none"/>
        </w:rPr>
        <w:t>项目名称：</w:t>
      </w:r>
      <w:r>
        <w:rPr>
          <w:rFonts w:hint="eastAsia" w:ascii="宋体" w:hAnsi="宋体" w:cs="宋体"/>
          <w:color w:val="auto"/>
          <w:highlight w:val="none"/>
        </w:rPr>
        <w:t>西湖皮革厂土壤修复项目效果评估服务</w:t>
      </w:r>
    </w:p>
    <w:p w14:paraId="3AB292A7">
      <w:pPr>
        <w:spacing w:line="360" w:lineRule="auto"/>
        <w:ind w:firstLine="420" w:firstLineChars="200"/>
        <w:rPr>
          <w:color w:val="auto"/>
          <w:szCs w:val="21"/>
          <w:highlight w:val="none"/>
        </w:rPr>
      </w:pPr>
      <w:r>
        <w:rPr>
          <w:rFonts w:hint="eastAsia" w:ascii="宋体" w:hAnsi="宋体" w:cs="宋体"/>
          <w:color w:val="auto"/>
          <w:szCs w:val="21"/>
          <w:highlight w:val="none"/>
        </w:rPr>
        <w:t>2.项目位置：</w:t>
      </w:r>
      <w:r>
        <w:rPr>
          <w:rFonts w:hint="eastAsia"/>
          <w:color w:val="auto"/>
          <w:szCs w:val="21"/>
          <w:highlight w:val="none"/>
        </w:rPr>
        <w:t>原扬州市西湖皮革制品厂地块位于扬州市邗江区西湖镇中心村大王路北侧、孙庄路东侧，中心地理坐标为</w:t>
      </w:r>
      <w:r>
        <w:rPr>
          <w:color w:val="auto"/>
          <w:szCs w:val="21"/>
          <w:highlight w:val="none"/>
        </w:rPr>
        <w:t>119.354021°</w:t>
      </w:r>
      <w:r>
        <w:rPr>
          <w:rFonts w:hint="eastAsia"/>
          <w:color w:val="auto"/>
          <w:szCs w:val="21"/>
          <w:highlight w:val="none"/>
        </w:rPr>
        <w:t>，</w:t>
      </w:r>
      <w:r>
        <w:rPr>
          <w:color w:val="auto"/>
          <w:szCs w:val="21"/>
          <w:highlight w:val="none"/>
        </w:rPr>
        <w:t>32.427755°</w:t>
      </w:r>
      <w:r>
        <w:rPr>
          <w:rFonts w:hint="eastAsia"/>
          <w:color w:val="auto"/>
          <w:szCs w:val="21"/>
          <w:highlight w:val="none"/>
        </w:rPr>
        <w:t>，占地面积约为</w:t>
      </w:r>
      <w:r>
        <w:rPr>
          <w:color w:val="auto"/>
          <w:szCs w:val="21"/>
          <w:highlight w:val="none"/>
        </w:rPr>
        <w:t>5000m</w:t>
      </w:r>
      <w:r>
        <w:rPr>
          <w:color w:val="auto"/>
          <w:szCs w:val="21"/>
          <w:highlight w:val="none"/>
          <w:vertAlign w:val="superscript"/>
        </w:rPr>
        <w:t>2</w:t>
      </w:r>
      <w:r>
        <w:rPr>
          <w:rFonts w:hint="eastAsia"/>
          <w:color w:val="auto"/>
          <w:szCs w:val="21"/>
          <w:highlight w:val="none"/>
        </w:rPr>
        <w:t>。该地块用地规划为留白用地，作为二类用地使用。</w:t>
      </w:r>
    </w:p>
    <w:p w14:paraId="066D56F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color w:val="auto"/>
          <w:szCs w:val="21"/>
          <w:highlight w:val="none"/>
        </w:rPr>
        <w:t>项目内容：土壤需修复污染物为总铬、镍、锌、1,4-二氯苯，土壤修复理论面积为 3519.22m</w:t>
      </w:r>
      <w:r>
        <w:rPr>
          <w:color w:val="auto"/>
          <w:szCs w:val="21"/>
          <w:highlight w:val="none"/>
          <w:vertAlign w:val="superscript"/>
        </w:rPr>
        <w:t>2</w:t>
      </w:r>
      <w:r>
        <w:rPr>
          <w:color w:val="auto"/>
          <w:szCs w:val="21"/>
          <w:highlight w:val="none"/>
        </w:rPr>
        <w:t>，最大修复深度为 5 m， 土壤修复理论方量为 1759.61m</w:t>
      </w:r>
      <w:r>
        <w:rPr>
          <w:color w:val="auto"/>
          <w:szCs w:val="21"/>
          <w:highlight w:val="none"/>
          <w:vertAlign w:val="superscript"/>
        </w:rPr>
        <w:t>3</w:t>
      </w:r>
      <w:r>
        <w:rPr>
          <w:color w:val="auto"/>
          <w:szCs w:val="21"/>
          <w:highlight w:val="none"/>
        </w:rPr>
        <w:t>；地下水需修复污染物为 1,4-二氯苯、氯苯、1,2- 二氯苯，地下水理论修复面积为 450.48 m</w:t>
      </w:r>
      <w:r>
        <w:rPr>
          <w:color w:val="auto"/>
          <w:szCs w:val="21"/>
          <w:highlight w:val="none"/>
          <w:vertAlign w:val="superscript"/>
        </w:rPr>
        <w:t>2</w:t>
      </w:r>
      <w:r>
        <w:rPr>
          <w:color w:val="auto"/>
          <w:szCs w:val="21"/>
          <w:highlight w:val="none"/>
        </w:rPr>
        <w:t>，修复方量为 168.93 m</w:t>
      </w:r>
      <w:r>
        <w:rPr>
          <w:color w:val="auto"/>
          <w:szCs w:val="21"/>
          <w:highlight w:val="none"/>
          <w:vertAlign w:val="superscript"/>
        </w:rPr>
        <w:t>3</w:t>
      </w:r>
      <w:r>
        <w:rPr>
          <w:color w:val="auto"/>
          <w:szCs w:val="21"/>
          <w:highlight w:val="none"/>
        </w:rPr>
        <w:t>，深度 7.5m。根据修复技术路线结合现场实际施工流程，最终确定水泥窑协同处置污染土壤方量合计为 3977m³，土方开挖/转运合计方量为4620.04m³，污水处理量以现场实际情况为准。</w:t>
      </w:r>
    </w:p>
    <w:p w14:paraId="761D30D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中华人民共和国土壤污染防治法》《土壤污染防治行动计划》（国发〔2016〕31号）、《污染地块土壤环境管理办法（试行）》（环境保护部第42号令）等相关文件要求，污染地块治理与修复工程完工后，土地使用权人应当委托第三方机构按照国家有关环境标准和技术规范，开展治理与修复效果评估，编制治理与修复效果评估报告。为此，拟委托有技术服务能力的第三方机构，开展污染地块修复工程修复效果评估检测，并编制修复效果评估方案及报告，报当地生态环境主管部门备案，修复效果评估报告通过生态环境主管部门和自然资源等主管部门的专家评审和备案。</w:t>
      </w:r>
    </w:p>
    <w:p w14:paraId="7B728B8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工作内容及要求：</w:t>
      </w:r>
    </w:p>
    <w:p w14:paraId="37ECE0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效果评估主要工作内容（但不限于</w:t>
      </w:r>
      <w:r>
        <w:rPr>
          <w:rFonts w:hint="eastAsia" w:ascii="宋体" w:hAnsi="宋体" w:cs="宋体"/>
          <w:color w:val="auto"/>
          <w:kern w:val="0"/>
          <w:szCs w:val="21"/>
          <w:highlight w:val="none"/>
          <w:shd w:val="clear" w:color="auto" w:fill="FFFFFF"/>
        </w:rPr>
        <w:t>且不增加任何费用</w:t>
      </w:r>
      <w:r>
        <w:rPr>
          <w:rFonts w:hint="eastAsia" w:ascii="宋体" w:hAnsi="宋体"/>
          <w:color w:val="auto"/>
          <w:szCs w:val="21"/>
          <w:highlight w:val="none"/>
        </w:rPr>
        <w:t>）：</w:t>
      </w:r>
    </w:p>
    <w:p w14:paraId="78178F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（1）更新地块概念模型：应根据风险管控与修复进度，以及掌握的地块信息对地块概念模型进行实时更新，为制定效果评估布点方案提供依据。</w:t>
      </w:r>
    </w:p>
    <w:p w14:paraId="245C6C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布点采样与实验室检测：布点方案包括效果评估的对象和范围、采样节点、采样周期和频次、布点数量和位置、检测指标等内容，并说明上述内容确定的依据。原则上应在风险管控与修复实施方案编制阶段编制效果评估初步布点方案，并在地块风险管控与修复效果评估工作开展之前，根据更新后的概念模型进行完善和更新。根据布点方案，制定采样计划，确定检测指标和实验室分析方法，开展现场采样与实验室检测，明确现场和实验室质量保证与质量控制要求。</w:t>
      </w:r>
    </w:p>
    <w:p w14:paraId="10FEBE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风险管控与土壤修复效果评估：根据检测结果，评估土壤修复是否达到修复目标或可接受水平，评估风险管控是否达到规定要求。对于土壤修复效果，可采用逐一对比和统计分析的方法进行评估，若达到修复效果，则根据情况提出后期环境监管建议并编制修复效果评估报告，若未达到修复效果，则应开展补充修复。</w:t>
      </w:r>
    </w:p>
    <w:p w14:paraId="5834FA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风险管控效果，若工程性能指标和污染物指标均达到评估标准，则判断风险管控达到预期效果，可继续开展运行与维护；若工程性能指标或污染物指标未达到评估标准，则判断风险管控未达到预期效果，须对风险管控措施进行优化或调整。</w:t>
      </w:r>
    </w:p>
    <w:p w14:paraId="068258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（4）后期环境监测：根据风险管控与修复工程实施情况与效果评估结论，进行后期环境监测。</w:t>
      </w:r>
    </w:p>
    <w:p w14:paraId="609FC6AA">
      <w:pPr>
        <w:spacing w:line="360" w:lineRule="auto"/>
        <w:ind w:firstLine="420" w:firstLineChars="200"/>
        <w:jc w:val="left"/>
        <w:rPr>
          <w:rFonts w:ascii="微软雅黑" w:hAnsi="微软雅黑" w:eastAsia="微软雅黑" w:cs="宋体"/>
          <w:color w:val="auto"/>
          <w:szCs w:val="21"/>
          <w:highlight w:val="none"/>
        </w:rPr>
      </w:pPr>
      <w:r>
        <w:rPr>
          <w:rFonts w:hint="eastAsia" w:ascii="宋体" w:hAnsi="宋体"/>
          <w:color w:val="auto"/>
          <w:szCs w:val="21"/>
          <w:highlight w:val="none"/>
        </w:rPr>
        <w:t>（5）编制效果评估报告：汇总前述工作内容，编制效果评估报告，报告应包括风险管控与修复工程概况、环境保护措施落实情况、效果评估布点与采样、检测结果分析、效果评估结论及后期环境监管建议等内容。</w:t>
      </w:r>
    </w:p>
    <w:p w14:paraId="623654A8">
      <w:pPr>
        <w:pStyle w:val="40"/>
        <w:spacing w:line="360" w:lineRule="auto"/>
        <w:ind w:firstLine="42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工作协调</w:t>
      </w:r>
    </w:p>
    <w:p w14:paraId="65FA58E4">
      <w:pPr>
        <w:pStyle w:val="40"/>
        <w:spacing w:line="360" w:lineRule="auto"/>
        <w:ind w:firstLine="420" w:firstLineChars="200"/>
        <w:rPr>
          <w:color w:val="auto"/>
          <w:highlight w:val="none"/>
        </w:rPr>
      </w:pPr>
      <w:r>
        <w:rPr>
          <w:rFonts w:hint="eastAsia"/>
          <w:color w:val="auto"/>
          <w:highlight w:val="none"/>
        </w:rPr>
        <w:t>接受采购人委托，负责协调本项目所涉及的各单位之间的工作关系，并协调解决项目过程中的各类纠纷及安全事故的协调处理。</w:t>
      </w:r>
    </w:p>
    <w:p w14:paraId="3E6D7D8E">
      <w:pPr>
        <w:pStyle w:val="40"/>
        <w:spacing w:line="360" w:lineRule="auto"/>
        <w:ind w:firstLine="420" w:firstLineChars="200"/>
        <w:rPr>
          <w:color w:val="auto"/>
          <w:highlight w:val="none"/>
        </w:rPr>
      </w:pPr>
      <w:r>
        <w:rPr>
          <w:rFonts w:hint="eastAsia"/>
          <w:color w:val="auto"/>
          <w:highlight w:val="none"/>
        </w:rPr>
        <w:t>5</w:t>
      </w:r>
      <w:r>
        <w:rPr>
          <w:color w:val="auto"/>
          <w:highlight w:val="none"/>
        </w:rPr>
        <w:t>．</w:t>
      </w:r>
      <w:r>
        <w:rPr>
          <w:rFonts w:hint="eastAsia"/>
          <w:color w:val="auto"/>
          <w:highlight w:val="none"/>
        </w:rPr>
        <w:t>其它要求：</w:t>
      </w:r>
    </w:p>
    <w:p w14:paraId="4FACF50E">
      <w:pPr>
        <w:pStyle w:val="40"/>
        <w:spacing w:line="360" w:lineRule="auto"/>
        <w:ind w:firstLine="420" w:firstLineChars="200"/>
        <w:rPr>
          <w:color w:val="auto"/>
          <w:highlight w:val="none"/>
        </w:rPr>
      </w:pPr>
      <w:r>
        <w:rPr>
          <w:rFonts w:hint="eastAsia"/>
          <w:color w:val="auto"/>
          <w:highlight w:val="none"/>
        </w:rPr>
        <w:t>（1）成交供应商应对所投项目的全部内容进行报价，只投其中部分内容者，其响应文件将被拒绝。</w:t>
      </w:r>
    </w:p>
    <w:p w14:paraId="3529E389">
      <w:pPr>
        <w:pStyle w:val="40"/>
        <w:spacing w:line="360" w:lineRule="auto"/>
        <w:ind w:firstLine="420" w:firstLineChars="200"/>
        <w:rPr>
          <w:color w:val="auto"/>
          <w:highlight w:val="none"/>
        </w:rPr>
      </w:pPr>
      <w:r>
        <w:rPr>
          <w:rFonts w:hint="eastAsia"/>
          <w:color w:val="auto"/>
          <w:highlight w:val="none"/>
        </w:rPr>
        <w:t>（2）成交供应商对服务缺陷不予更正，采购人有权另请其他供应商更正，所发生的费用在剩余服务费用中扣除。</w:t>
      </w:r>
    </w:p>
    <w:p w14:paraId="36EC9905">
      <w:pPr>
        <w:pStyle w:val="40"/>
        <w:spacing w:line="360" w:lineRule="auto"/>
        <w:ind w:firstLine="420" w:firstLineChars="200"/>
        <w:rPr>
          <w:color w:val="auto"/>
          <w:highlight w:val="none"/>
        </w:rPr>
      </w:pPr>
      <w:r>
        <w:rPr>
          <w:rFonts w:hint="eastAsia"/>
          <w:color w:val="auto"/>
          <w:highlight w:val="none"/>
        </w:rPr>
        <w:t>（3）成交供应商须按照采购人的要求对该采购项目进行服务工作。成交供应商如出现重大责任问题，采购人有权取消其成交资格。</w:t>
      </w:r>
    </w:p>
    <w:p w14:paraId="6CA0FE8C">
      <w:pPr>
        <w:rPr>
          <w:rFonts w:hint="eastAsia" w:ascii="宋体" w:hAnsi="宋体" w:cs="宋体"/>
          <w:color w:val="auto"/>
          <w:sz w:val="36"/>
          <w:highlight w:val="none"/>
        </w:rPr>
      </w:pPr>
      <w:r>
        <w:rPr>
          <w:rFonts w:hint="eastAsia" w:ascii="宋体" w:hAnsi="宋体" w:cs="宋体"/>
          <w:color w:val="auto"/>
          <w:sz w:val="36"/>
          <w:highlight w:val="none"/>
        </w:rPr>
        <w:br w:type="page"/>
      </w:r>
    </w:p>
    <w:p w14:paraId="177D754A">
      <w:pPr>
        <w:pStyle w:val="4"/>
        <w:spacing w:before="0" w:after="0" w:line="360" w:lineRule="auto"/>
        <w:jc w:val="center"/>
        <w:rPr>
          <w:rFonts w:ascii="宋体" w:hAnsi="宋体" w:cs="宋体"/>
          <w:color w:val="auto"/>
          <w:sz w:val="36"/>
          <w:highlight w:val="none"/>
        </w:rPr>
      </w:pPr>
      <w:r>
        <w:rPr>
          <w:rFonts w:hint="eastAsia" w:ascii="宋体" w:hAnsi="宋体" w:cs="宋体"/>
          <w:color w:val="auto"/>
          <w:sz w:val="36"/>
          <w:highlight w:val="none"/>
        </w:rPr>
        <w:t>第五章 评标方法及评标标准</w:t>
      </w:r>
      <w:bookmarkEnd w:id="152"/>
      <w:bookmarkEnd w:id="153"/>
    </w:p>
    <w:p w14:paraId="30968EDD">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一、评标方法</w:t>
      </w:r>
    </w:p>
    <w:p w14:paraId="4F775471">
      <w:pPr>
        <w:spacing w:line="360" w:lineRule="auto"/>
        <w:ind w:firstLine="315" w:firstLineChars="150"/>
        <w:jc w:val="left"/>
        <w:rPr>
          <w:rFonts w:ascii="宋体" w:hAnsi="宋体" w:cs="宋体"/>
          <w:color w:val="auto"/>
          <w:szCs w:val="21"/>
          <w:highlight w:val="none"/>
        </w:rPr>
      </w:pPr>
      <w:bookmarkStart w:id="154" w:name="_Toc449016388"/>
      <w:bookmarkStart w:id="155" w:name="_Toc449017024"/>
      <w:r>
        <w:rPr>
          <w:rFonts w:hint="eastAsia" w:ascii="宋体" w:hAnsi="宋体" w:cs="宋体"/>
          <w:color w:val="auto"/>
          <w:szCs w:val="21"/>
          <w:highlight w:val="none"/>
        </w:rPr>
        <w:t>本项目采用综合评分法，评委会将对确定为实质性响应磋商文件要求的响应文件进行评价和比较。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w:t>
      </w:r>
    </w:p>
    <w:bookmarkEnd w:id="154"/>
    <w:bookmarkEnd w:id="155"/>
    <w:p w14:paraId="01F806AC">
      <w:pPr>
        <w:spacing w:line="360" w:lineRule="auto"/>
        <w:rPr>
          <w:rFonts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小型和微型企业产品价格扣除评审</w:t>
      </w:r>
    </w:p>
    <w:p w14:paraId="7EB8C7E5">
      <w:pPr>
        <w:pStyle w:val="41"/>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6129473D">
      <w:pPr>
        <w:pStyle w:val="41"/>
        <w:spacing w:before="0" w:after="0"/>
        <w:ind w:left="315" w:leftChars="150" w:firstLine="105" w:firstLineChars="50"/>
        <w:rPr>
          <w:rFonts w:ascii="宋体" w:hAnsi="宋体" w:cs="宋体"/>
          <w:color w:val="auto"/>
          <w:kern w:val="2"/>
          <w:sz w:val="21"/>
          <w:szCs w:val="21"/>
          <w:highlight w:val="none"/>
        </w:rPr>
      </w:pPr>
      <w:r>
        <w:rPr>
          <w:rFonts w:hint="eastAsia" w:ascii="宋体" w:hAnsi="宋体" w:cs="宋体"/>
          <w:color w:val="auto"/>
          <w:kern w:val="2"/>
          <w:sz w:val="21"/>
          <w:szCs w:val="21"/>
          <w:highlight w:val="none"/>
        </w:rPr>
        <w:t>1、小微型企业价格扣除</w:t>
      </w:r>
    </w:p>
    <w:p w14:paraId="27A7A235">
      <w:pPr>
        <w:pStyle w:val="41"/>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（1）本项目对小型和微型企业产品给予20%的扣除价格，用扣除后的价格参与评审。</w:t>
      </w:r>
    </w:p>
    <w:p w14:paraId="2D7B83B4">
      <w:pPr>
        <w:pStyle w:val="41"/>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（2）供应商需按照采购文件的要求提供相应的《企业声明函》。</w:t>
      </w:r>
    </w:p>
    <w:p w14:paraId="6D729C4F">
      <w:pPr>
        <w:pStyle w:val="41"/>
        <w:spacing w:before="0" w:after="0"/>
        <w:ind w:left="420" w:leftChars="200"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2、残疾人福利单位价格扣除</w:t>
      </w:r>
    </w:p>
    <w:p w14:paraId="32E6234D">
      <w:pPr>
        <w:pStyle w:val="41"/>
        <w:spacing w:before="0" w:after="0"/>
        <w:ind w:left="315" w:leftChars="150" w:firstLine="105" w:firstLineChars="50"/>
        <w:rPr>
          <w:rFonts w:ascii="宋体" w:hAnsi="宋体" w:cs="宋体"/>
          <w:color w:val="auto"/>
          <w:kern w:val="2"/>
          <w:sz w:val="21"/>
          <w:szCs w:val="21"/>
          <w:highlight w:val="none"/>
        </w:rPr>
      </w:pPr>
      <w:r>
        <w:rPr>
          <w:rFonts w:hint="eastAsia" w:ascii="宋体" w:hAnsi="宋体" w:cs="宋体"/>
          <w:color w:val="auto"/>
          <w:kern w:val="2"/>
          <w:sz w:val="21"/>
          <w:szCs w:val="21"/>
          <w:highlight w:val="none"/>
        </w:rPr>
        <w:t>（1）本项目对残疾人福利性单位视同小型、微型企业，给予20%的价格扣除，用扣除后的价格参与</w:t>
      </w:r>
    </w:p>
    <w:p w14:paraId="42168F9A">
      <w:pPr>
        <w:pStyle w:val="41"/>
        <w:spacing w:before="0" w:after="0"/>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评审。</w:t>
      </w:r>
    </w:p>
    <w:p w14:paraId="0F7422A6">
      <w:pPr>
        <w:pStyle w:val="41"/>
        <w:spacing w:before="0" w:after="0"/>
        <w:ind w:left="420" w:leftChars="200"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（2）残疾人福利单位需按照采购文件的要求提供《残疾人福利性单位声明函》。</w:t>
      </w:r>
    </w:p>
    <w:p w14:paraId="1D564E94">
      <w:pPr>
        <w:pStyle w:val="41"/>
        <w:spacing w:before="0" w:after="0"/>
        <w:ind w:left="420" w:leftChars="200" w:firstLine="0"/>
        <w:rPr>
          <w:rFonts w:ascii="宋体" w:hAnsi="宋体" w:cs="宋体"/>
          <w:color w:val="auto"/>
          <w:spacing w:val="-11"/>
          <w:kern w:val="2"/>
          <w:sz w:val="21"/>
          <w:szCs w:val="21"/>
          <w:highlight w:val="none"/>
        </w:rPr>
      </w:pPr>
      <w:r>
        <w:rPr>
          <w:rFonts w:hint="eastAsia" w:ascii="宋体" w:hAnsi="宋体" w:cs="宋体"/>
          <w:color w:val="auto"/>
          <w:spacing w:val="-11"/>
          <w:kern w:val="2"/>
          <w:sz w:val="21"/>
          <w:szCs w:val="21"/>
          <w:highlight w:val="none"/>
        </w:rPr>
        <w:t>（3）残疾人福利单位标准请参照《关于促进残疾人就业政府采购政策的通知》（财库〔2017〕141号）。</w:t>
      </w:r>
    </w:p>
    <w:p w14:paraId="71DF4AE6">
      <w:pPr>
        <w:pStyle w:val="41"/>
        <w:spacing w:before="0" w:after="0"/>
        <w:ind w:left="420" w:leftChars="200"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3、监狱和戒毒企业价格扣除</w:t>
      </w:r>
    </w:p>
    <w:p w14:paraId="6E3809CE">
      <w:pPr>
        <w:pStyle w:val="41"/>
        <w:spacing w:before="0" w:after="0"/>
        <w:ind w:left="420" w:leftChars="200"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（1）本项目对监狱和戒毒企业（简称监狱企业）视同小型、微型企业，给予20%的价格扣除，用扣</w:t>
      </w:r>
    </w:p>
    <w:p w14:paraId="21F40FD4">
      <w:pPr>
        <w:pStyle w:val="41"/>
        <w:spacing w:before="0" w:after="0"/>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除后的价格参与评审。</w:t>
      </w:r>
    </w:p>
    <w:p w14:paraId="2D128365">
      <w:pPr>
        <w:pStyle w:val="41"/>
        <w:numPr>
          <w:ilvl w:val="0"/>
          <w:numId w:val="4"/>
        </w:numPr>
        <w:spacing w:before="0" w:after="0"/>
        <w:ind w:left="420" w:leftChars="200"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监狱企业参加政府采购活动时，需提供由省级以上监狱管理局、戒毒管理局(含新疆生产建设</w:t>
      </w:r>
    </w:p>
    <w:p w14:paraId="0CDB0322">
      <w:pPr>
        <w:pStyle w:val="41"/>
        <w:spacing w:before="0" w:after="0"/>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兵团)出具的属于监狱企业的证明文件。供应商如不提供上述证明文件，价格将不做相应扣除。</w:t>
      </w:r>
    </w:p>
    <w:p w14:paraId="77457C72">
      <w:pPr>
        <w:pStyle w:val="41"/>
        <w:numPr>
          <w:ilvl w:val="0"/>
          <w:numId w:val="4"/>
        </w:numPr>
        <w:spacing w:before="0" w:after="0"/>
        <w:ind w:left="420" w:leftChars="200"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监狱企业标准请参照《关于政府采购支持监狱企业发展有关问题的通知》（财库[2014]68号）。</w:t>
      </w:r>
    </w:p>
    <w:p w14:paraId="2A8CB1C5">
      <w:pPr>
        <w:pStyle w:val="41"/>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4、残疾人福利单位、监狱企业属于小型、微型企业的，不重复享受政策。</w:t>
      </w:r>
    </w:p>
    <w:p w14:paraId="7012D7BF">
      <w:pPr>
        <w:pStyle w:val="41"/>
        <w:spacing w:before="0" w:after="0"/>
        <w:ind w:left="420" w:leftChars="200"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5、大中型企业与小型、微型企业（残疾人福利单位、监狱企业）组成联合体共同参加政府采购活动。</w:t>
      </w:r>
    </w:p>
    <w:p w14:paraId="4E51F98E">
      <w:pPr>
        <w:pStyle w:val="41"/>
        <w:spacing w:before="0" w:after="0"/>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联合协议中约定，小型、微型企业（残疾人福利单位、监狱企业）的协议合同金额占到联合体协议合同总金额30%以上的，给予联合体6%的价格扣除，用扣除后的价格参与评审。 </w:t>
      </w:r>
    </w:p>
    <w:p w14:paraId="113A0EAA">
      <w:pPr>
        <w:pStyle w:val="41"/>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6、联合体各方均为小型、微型企业（残疾人福利单位、监狱企业）的，联合体享受20%价格扣除，用扣除后的价格参与评审。</w:t>
      </w:r>
    </w:p>
    <w:p w14:paraId="7C493A73">
      <w:pPr>
        <w:pStyle w:val="41"/>
        <w:spacing w:before="0" w:after="0"/>
        <w:ind w:firstLine="0"/>
        <w:rPr>
          <w:rFonts w:ascii="宋体" w:hAnsi="宋体" w:cs="宋体"/>
          <w:color w:val="auto"/>
          <w:szCs w:val="20"/>
          <w:highlight w:val="none"/>
        </w:rPr>
      </w:pPr>
      <w:r>
        <w:rPr>
          <w:rFonts w:hint="eastAsia" w:ascii="宋体" w:hAnsi="宋体" w:cs="宋体"/>
          <w:b/>
          <w:color w:val="auto"/>
          <w:kern w:val="2"/>
          <w:sz w:val="21"/>
          <w:szCs w:val="21"/>
          <w:highlight w:val="none"/>
        </w:rPr>
        <w:t>三、评标标准</w:t>
      </w:r>
    </w:p>
    <w:tbl>
      <w:tblPr>
        <w:tblStyle w:val="22"/>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606"/>
        <w:gridCol w:w="6948"/>
      </w:tblGrid>
      <w:tr w14:paraId="1E3E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6" w:type="dxa"/>
            <w:vAlign w:val="center"/>
          </w:tcPr>
          <w:p w14:paraId="20894A72">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8554" w:type="dxa"/>
            <w:gridSpan w:val="2"/>
            <w:vAlign w:val="center"/>
          </w:tcPr>
          <w:p w14:paraId="5A7CC43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评审内容</w:t>
            </w:r>
          </w:p>
        </w:tc>
      </w:tr>
      <w:tr w14:paraId="2A88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6" w:type="dxa"/>
            <w:vAlign w:val="center"/>
          </w:tcPr>
          <w:p w14:paraId="7562C2B7">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报价</w:t>
            </w:r>
          </w:p>
          <w:p w14:paraId="57BD30D5">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15分</w:t>
            </w:r>
          </w:p>
        </w:tc>
        <w:tc>
          <w:tcPr>
            <w:tcW w:w="8554" w:type="dxa"/>
            <w:gridSpan w:val="2"/>
            <w:vAlign w:val="center"/>
          </w:tcPr>
          <w:p w14:paraId="7CECC416">
            <w:pPr>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以满足磋商文件要求且最终报价最低的价格为磋商基准价，得满分15分。</w:t>
            </w:r>
          </w:p>
          <w:p w14:paraId="7EDDFC0F">
            <w:pPr>
              <w:adjustRightInd w:val="0"/>
              <w:spacing w:line="360" w:lineRule="auto"/>
              <w:textAlignment w:val="baseline"/>
              <w:rPr>
                <w:rFonts w:ascii="宋体" w:hAnsi="宋体" w:cs="宋体"/>
                <w:color w:val="auto"/>
                <w:szCs w:val="21"/>
                <w:highlight w:val="none"/>
              </w:rPr>
            </w:pPr>
            <w:r>
              <w:rPr>
                <w:rFonts w:hint="eastAsia" w:ascii="宋体" w:hAnsi="宋体" w:cs="宋体"/>
                <w:color w:val="auto"/>
                <w:spacing w:val="-6"/>
                <w:szCs w:val="21"/>
                <w:highlight w:val="none"/>
              </w:rPr>
              <w:t>其他磋商报价得分</w:t>
            </w:r>
            <w:r>
              <w:rPr>
                <w:rFonts w:ascii="宋体" w:hAnsi="宋体" w:cs="宋体"/>
                <w:color w:val="auto"/>
                <w:spacing w:val="-6"/>
                <w:szCs w:val="21"/>
                <w:highlight w:val="none"/>
              </w:rPr>
              <w:t>=</w:t>
            </w:r>
            <w:r>
              <w:rPr>
                <w:rFonts w:hint="eastAsia" w:ascii="宋体" w:hAnsi="宋体" w:cs="宋体"/>
                <w:color w:val="auto"/>
                <w:spacing w:val="-6"/>
                <w:szCs w:val="21"/>
                <w:highlight w:val="none"/>
              </w:rPr>
              <w:t>（磋商基准价</w:t>
            </w:r>
            <w:r>
              <w:rPr>
                <w:rFonts w:ascii="宋体" w:hAnsi="宋体" w:cs="宋体"/>
                <w:color w:val="auto"/>
                <w:spacing w:val="-6"/>
                <w:szCs w:val="21"/>
                <w:highlight w:val="none"/>
              </w:rPr>
              <w:t>/</w:t>
            </w:r>
            <w:r>
              <w:rPr>
                <w:rFonts w:hint="eastAsia" w:ascii="宋体" w:hAnsi="宋体" w:cs="宋体"/>
                <w:color w:val="auto"/>
                <w:spacing w:val="-6"/>
                <w:szCs w:val="21"/>
                <w:highlight w:val="none"/>
              </w:rPr>
              <w:t>其他最后磋商报价）×15×</w:t>
            </w:r>
            <w:r>
              <w:rPr>
                <w:rFonts w:ascii="宋体" w:hAnsi="宋体" w:cs="宋体"/>
                <w:color w:val="auto"/>
                <w:spacing w:val="-6"/>
                <w:szCs w:val="21"/>
                <w:highlight w:val="none"/>
              </w:rPr>
              <w:t>100%</w:t>
            </w:r>
            <w:r>
              <w:rPr>
                <w:rFonts w:hint="eastAsia" w:ascii="宋体" w:hAnsi="宋体" w:cs="宋体"/>
                <w:color w:val="auto"/>
                <w:spacing w:val="-6"/>
                <w:szCs w:val="21"/>
                <w:highlight w:val="none"/>
              </w:rPr>
              <w:t>（四舍五入，保留</w:t>
            </w:r>
            <w:r>
              <w:rPr>
                <w:rFonts w:ascii="宋体" w:hAnsi="宋体" w:cs="宋体"/>
                <w:color w:val="auto"/>
                <w:spacing w:val="-6"/>
                <w:szCs w:val="21"/>
                <w:highlight w:val="none"/>
              </w:rPr>
              <w:t>2</w:t>
            </w:r>
            <w:r>
              <w:rPr>
                <w:rFonts w:hint="eastAsia" w:ascii="宋体" w:hAnsi="宋体" w:cs="宋体"/>
                <w:color w:val="auto"/>
                <w:spacing w:val="-6"/>
                <w:szCs w:val="21"/>
                <w:highlight w:val="none"/>
              </w:rPr>
              <w:t>位小数）</w:t>
            </w:r>
          </w:p>
        </w:tc>
      </w:tr>
      <w:tr w14:paraId="433D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96" w:type="dxa"/>
            <w:vMerge w:val="restart"/>
            <w:vAlign w:val="center"/>
          </w:tcPr>
          <w:p w14:paraId="5C3CC2A8">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技术服务方案</w:t>
            </w:r>
          </w:p>
          <w:p w14:paraId="6C32B6DF">
            <w:pPr>
              <w:adjustRightInd w:val="0"/>
              <w:spacing w:line="360" w:lineRule="auto"/>
              <w:jc w:val="center"/>
              <w:textAlignment w:val="baseline"/>
              <w:rPr>
                <w:rFonts w:ascii="宋体" w:hAnsi="宋体" w:cs="宋体"/>
                <w:color w:val="auto"/>
                <w:szCs w:val="21"/>
                <w:highlight w:val="none"/>
              </w:rPr>
            </w:pPr>
            <w:r>
              <w:rPr>
                <w:rFonts w:ascii="宋体" w:hAnsi="宋体" w:cs="宋体"/>
                <w:color w:val="auto"/>
                <w:szCs w:val="21"/>
                <w:highlight w:val="none"/>
              </w:rPr>
              <w:t>50</w:t>
            </w:r>
            <w:r>
              <w:rPr>
                <w:rFonts w:hint="eastAsia" w:ascii="宋体" w:hAnsi="宋体" w:cs="宋体"/>
                <w:color w:val="auto"/>
                <w:szCs w:val="21"/>
                <w:highlight w:val="none"/>
              </w:rPr>
              <w:t>分</w:t>
            </w:r>
          </w:p>
        </w:tc>
        <w:tc>
          <w:tcPr>
            <w:tcW w:w="1606" w:type="dxa"/>
            <w:vAlign w:val="center"/>
          </w:tcPr>
          <w:p w14:paraId="6438FB74">
            <w:pPr>
              <w:spacing w:line="360" w:lineRule="auto"/>
              <w:jc w:val="center"/>
              <w:rPr>
                <w:color w:val="auto"/>
                <w:highlight w:val="none"/>
              </w:rPr>
            </w:pPr>
            <w:r>
              <w:rPr>
                <w:rFonts w:hint="eastAsia" w:asciiTheme="minorEastAsia" w:hAnsiTheme="minorEastAsia" w:eastAsiaTheme="minorEastAsia" w:cstheme="minorEastAsia"/>
                <w:color w:val="auto"/>
                <w:szCs w:val="21"/>
                <w:highlight w:val="none"/>
              </w:rPr>
              <w:t>总体技术路线</w:t>
            </w:r>
            <w:r>
              <w:rPr>
                <w:rFonts w:hint="eastAsia"/>
                <w:color w:val="auto"/>
                <w:highlight w:val="none"/>
              </w:rPr>
              <w:t>10分</w:t>
            </w:r>
          </w:p>
        </w:tc>
        <w:tc>
          <w:tcPr>
            <w:tcW w:w="6948" w:type="dxa"/>
            <w:vAlign w:val="center"/>
          </w:tcPr>
          <w:p w14:paraId="3B69344A">
            <w:pPr>
              <w:adjustRightInd w:val="0"/>
              <w:spacing w:line="360" w:lineRule="auto"/>
              <w:textAlignment w:val="baseline"/>
              <w:rPr>
                <w:rFonts w:ascii="宋体" w:hAnsi="宋体" w:cs="宋体"/>
                <w:color w:val="auto"/>
                <w:szCs w:val="21"/>
                <w:highlight w:val="none"/>
              </w:rPr>
            </w:pPr>
            <w:r>
              <w:rPr>
                <w:rFonts w:ascii="宋体" w:hAnsi="宋体" w:cs="宋体"/>
                <w:color w:val="auto"/>
                <w:szCs w:val="21"/>
                <w:highlight w:val="none"/>
              </w:rPr>
              <w:t>有科学合理可行的技术路线，研究内容和方案完整，有深度，完全符合研究要求，得</w:t>
            </w:r>
            <w:r>
              <w:rPr>
                <w:rFonts w:hint="eastAsia" w:ascii="宋体" w:hAnsi="宋体" w:cs="宋体"/>
                <w:color w:val="auto"/>
                <w:szCs w:val="21"/>
                <w:highlight w:val="none"/>
              </w:rPr>
              <w:t>10</w:t>
            </w:r>
            <w:r>
              <w:rPr>
                <w:rFonts w:ascii="宋体" w:hAnsi="宋体" w:cs="宋体"/>
                <w:color w:val="auto"/>
                <w:szCs w:val="21"/>
                <w:highlight w:val="none"/>
              </w:rPr>
              <w:t>分；</w:t>
            </w:r>
          </w:p>
          <w:p w14:paraId="6EBE2D84">
            <w:pPr>
              <w:adjustRightInd w:val="0"/>
              <w:spacing w:line="360" w:lineRule="auto"/>
              <w:textAlignment w:val="baseline"/>
              <w:rPr>
                <w:rFonts w:ascii="宋体" w:hAnsi="宋体" w:cs="宋体"/>
                <w:color w:val="auto"/>
                <w:szCs w:val="21"/>
                <w:highlight w:val="none"/>
              </w:rPr>
            </w:pPr>
            <w:r>
              <w:rPr>
                <w:rFonts w:ascii="宋体" w:hAnsi="宋体" w:cs="宋体"/>
                <w:color w:val="auto"/>
                <w:szCs w:val="21"/>
                <w:highlight w:val="none"/>
              </w:rPr>
              <w:t>技术路线可行，研究内容和方案较完整，有一定深度，</w:t>
            </w:r>
            <w:r>
              <w:rPr>
                <w:rFonts w:hint="eastAsia" w:ascii="宋体" w:hAnsi="宋体" w:cs="宋体"/>
                <w:color w:val="auto"/>
                <w:szCs w:val="21"/>
                <w:highlight w:val="none"/>
              </w:rPr>
              <w:t>较</w:t>
            </w:r>
            <w:r>
              <w:rPr>
                <w:rFonts w:ascii="宋体" w:hAnsi="宋体" w:cs="宋体"/>
                <w:color w:val="auto"/>
                <w:szCs w:val="21"/>
                <w:highlight w:val="none"/>
              </w:rPr>
              <w:t>符合研究要求，得</w:t>
            </w:r>
            <w:r>
              <w:rPr>
                <w:rFonts w:hint="eastAsia" w:ascii="宋体" w:hAnsi="宋体" w:cs="宋体"/>
                <w:color w:val="auto"/>
                <w:szCs w:val="21"/>
                <w:highlight w:val="none"/>
              </w:rPr>
              <w:t>7</w:t>
            </w:r>
            <w:r>
              <w:rPr>
                <w:rFonts w:ascii="宋体" w:hAnsi="宋体" w:cs="宋体"/>
                <w:color w:val="auto"/>
                <w:szCs w:val="21"/>
                <w:highlight w:val="none"/>
              </w:rPr>
              <w:t>分；</w:t>
            </w:r>
          </w:p>
          <w:p w14:paraId="2DF89997">
            <w:pPr>
              <w:adjustRightInd w:val="0"/>
              <w:spacing w:line="360" w:lineRule="auto"/>
              <w:textAlignment w:val="baseline"/>
              <w:rPr>
                <w:rFonts w:ascii="宋体" w:hAnsi="宋体" w:cs="宋体"/>
                <w:color w:val="auto"/>
                <w:szCs w:val="21"/>
                <w:highlight w:val="none"/>
              </w:rPr>
            </w:pPr>
            <w:r>
              <w:rPr>
                <w:rFonts w:ascii="宋体" w:hAnsi="宋体" w:cs="宋体"/>
                <w:color w:val="auto"/>
                <w:szCs w:val="21"/>
                <w:highlight w:val="none"/>
              </w:rPr>
              <w:t>技术路线可行性</w:t>
            </w:r>
            <w:r>
              <w:rPr>
                <w:rFonts w:hint="eastAsia" w:ascii="宋体" w:hAnsi="宋体" w:cs="宋体"/>
                <w:color w:val="auto"/>
                <w:szCs w:val="21"/>
                <w:highlight w:val="none"/>
              </w:rPr>
              <w:t>一般</w:t>
            </w:r>
            <w:r>
              <w:rPr>
                <w:rFonts w:ascii="宋体" w:hAnsi="宋体" w:cs="宋体"/>
                <w:color w:val="auto"/>
                <w:szCs w:val="21"/>
                <w:highlight w:val="none"/>
              </w:rPr>
              <w:t>，研究内容和方案</w:t>
            </w:r>
            <w:r>
              <w:rPr>
                <w:rFonts w:hint="eastAsia" w:ascii="宋体" w:hAnsi="宋体" w:cs="宋体"/>
                <w:color w:val="auto"/>
                <w:szCs w:val="21"/>
                <w:highlight w:val="none"/>
              </w:rPr>
              <w:t>一般</w:t>
            </w:r>
            <w:r>
              <w:rPr>
                <w:rFonts w:ascii="宋体" w:hAnsi="宋体" w:cs="宋体"/>
                <w:color w:val="auto"/>
                <w:szCs w:val="21"/>
                <w:highlight w:val="none"/>
              </w:rPr>
              <w:t>，</w:t>
            </w:r>
            <w:r>
              <w:rPr>
                <w:rFonts w:hint="eastAsia" w:ascii="宋体" w:hAnsi="宋体" w:cs="宋体"/>
                <w:color w:val="auto"/>
                <w:szCs w:val="21"/>
                <w:highlight w:val="none"/>
              </w:rPr>
              <w:t>基本</w:t>
            </w:r>
            <w:r>
              <w:rPr>
                <w:rFonts w:ascii="宋体" w:hAnsi="宋体" w:cs="宋体"/>
                <w:color w:val="auto"/>
                <w:szCs w:val="21"/>
                <w:highlight w:val="none"/>
              </w:rPr>
              <w:t>满足研究要求，得</w:t>
            </w:r>
            <w:r>
              <w:rPr>
                <w:rFonts w:hint="eastAsia" w:ascii="宋体" w:hAnsi="宋体" w:cs="宋体"/>
                <w:color w:val="auto"/>
                <w:szCs w:val="21"/>
                <w:highlight w:val="none"/>
              </w:rPr>
              <w:t>4</w:t>
            </w:r>
            <w:r>
              <w:rPr>
                <w:rFonts w:ascii="宋体" w:hAnsi="宋体" w:cs="宋体"/>
                <w:color w:val="auto"/>
                <w:szCs w:val="21"/>
                <w:highlight w:val="none"/>
              </w:rPr>
              <w:t>分。</w:t>
            </w:r>
          </w:p>
          <w:p w14:paraId="3D7F61F8">
            <w:pPr>
              <w:adjustRightInd w:val="0"/>
              <w:spacing w:line="360" w:lineRule="auto"/>
              <w:textAlignment w:val="baseline"/>
              <w:rPr>
                <w:rFonts w:ascii="宋体" w:hAnsi="宋体" w:cs="宋体"/>
                <w:color w:val="auto"/>
                <w:szCs w:val="21"/>
                <w:highlight w:val="none"/>
              </w:rPr>
            </w:pPr>
            <w:r>
              <w:rPr>
                <w:rFonts w:ascii="宋体" w:hAnsi="宋体" w:cs="宋体"/>
                <w:color w:val="auto"/>
                <w:szCs w:val="21"/>
                <w:highlight w:val="none"/>
              </w:rPr>
              <w:t>技术路线可行性较差，研究内容和方案不完整，不能满足研究要求，得</w:t>
            </w:r>
            <w:r>
              <w:rPr>
                <w:rFonts w:hint="eastAsia" w:ascii="宋体" w:hAnsi="宋体" w:cs="宋体"/>
                <w:color w:val="auto"/>
                <w:szCs w:val="21"/>
                <w:highlight w:val="none"/>
              </w:rPr>
              <w:t>1</w:t>
            </w:r>
            <w:r>
              <w:rPr>
                <w:rFonts w:ascii="宋体" w:hAnsi="宋体" w:cs="宋体"/>
                <w:color w:val="auto"/>
                <w:szCs w:val="21"/>
                <w:highlight w:val="none"/>
              </w:rPr>
              <w:t>分。</w:t>
            </w:r>
          </w:p>
        </w:tc>
      </w:tr>
      <w:tr w14:paraId="16D6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96" w:type="dxa"/>
            <w:vMerge w:val="continue"/>
            <w:vAlign w:val="center"/>
          </w:tcPr>
          <w:p w14:paraId="52420568">
            <w:pPr>
              <w:adjustRightInd w:val="0"/>
              <w:spacing w:line="360" w:lineRule="auto"/>
              <w:jc w:val="center"/>
              <w:textAlignment w:val="baseline"/>
              <w:rPr>
                <w:rFonts w:ascii="宋体" w:hAnsi="宋体" w:cs="宋体"/>
                <w:color w:val="auto"/>
                <w:szCs w:val="21"/>
                <w:highlight w:val="none"/>
              </w:rPr>
            </w:pPr>
          </w:p>
        </w:tc>
        <w:tc>
          <w:tcPr>
            <w:tcW w:w="1606" w:type="dxa"/>
            <w:vAlign w:val="center"/>
          </w:tcPr>
          <w:p w14:paraId="53DD857B">
            <w:pPr>
              <w:widowControl/>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场地概念模型重难点分析</w:t>
            </w:r>
          </w:p>
          <w:p w14:paraId="5E725757">
            <w:pPr>
              <w:widowControl/>
              <w:spacing w:line="360" w:lineRule="auto"/>
              <w:jc w:val="center"/>
              <w:rPr>
                <w:color w:val="auto"/>
                <w:highlight w:val="none"/>
              </w:rPr>
            </w:pPr>
            <w:r>
              <w:rPr>
                <w:rFonts w:hint="eastAsia" w:asciiTheme="minorEastAsia" w:hAnsiTheme="minorEastAsia" w:eastAsiaTheme="minorEastAsia" w:cstheme="minorEastAsia"/>
                <w:color w:val="auto"/>
                <w:szCs w:val="21"/>
                <w:highlight w:val="none"/>
              </w:rPr>
              <w:t>10分</w:t>
            </w:r>
          </w:p>
        </w:tc>
        <w:tc>
          <w:tcPr>
            <w:tcW w:w="6948" w:type="dxa"/>
            <w:vAlign w:val="center"/>
          </w:tcPr>
          <w:p w14:paraId="1003A4A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对场地概念模型的重点和难点有清晰的认识，措施具体、针对性强的得10分；</w:t>
            </w:r>
          </w:p>
          <w:p w14:paraId="5836E4C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对场地概念模型的重点和难点有较清晰的认识，措施较具体、针对性较强的得7分；</w:t>
            </w:r>
          </w:p>
          <w:p w14:paraId="791FCC1B">
            <w:pPr>
              <w:spacing w:line="360" w:lineRule="auto"/>
              <w:rPr>
                <w:rFonts w:ascii="宋体" w:hAnsi="宋体" w:cs="宋体" w:eastAsiaTheme="minorEastAsia"/>
                <w:color w:val="auto"/>
                <w:szCs w:val="21"/>
                <w:highlight w:val="none"/>
              </w:rPr>
            </w:pPr>
            <w:r>
              <w:rPr>
                <w:rFonts w:hint="eastAsia" w:asciiTheme="minorEastAsia" w:hAnsiTheme="minorEastAsia" w:eastAsiaTheme="minorEastAsia" w:cstheme="minorEastAsia"/>
                <w:color w:val="auto"/>
                <w:szCs w:val="21"/>
                <w:highlight w:val="none"/>
              </w:rPr>
              <w:t>对场地概念模型的重点和难点有基本的认识和措施，针对性一般的得4分；对场地概念模型的重点和难点认识和措施不合理，缺少相关内容的，得1分。</w:t>
            </w:r>
          </w:p>
        </w:tc>
      </w:tr>
      <w:tr w14:paraId="7488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6" w:type="dxa"/>
            <w:vMerge w:val="continue"/>
            <w:vAlign w:val="center"/>
          </w:tcPr>
          <w:p w14:paraId="1D936B95">
            <w:pPr>
              <w:adjustRightInd w:val="0"/>
              <w:spacing w:line="360" w:lineRule="auto"/>
              <w:ind w:firstLine="420" w:firstLineChars="200"/>
              <w:jc w:val="center"/>
              <w:textAlignment w:val="baseline"/>
              <w:rPr>
                <w:rFonts w:ascii="宋体" w:hAnsi="宋体" w:cs="宋体"/>
                <w:color w:val="auto"/>
                <w:szCs w:val="21"/>
                <w:highlight w:val="none"/>
              </w:rPr>
            </w:pPr>
          </w:p>
        </w:tc>
        <w:tc>
          <w:tcPr>
            <w:tcW w:w="1606" w:type="dxa"/>
            <w:vAlign w:val="center"/>
          </w:tcPr>
          <w:p w14:paraId="7734A394">
            <w:pPr>
              <w:widowControl/>
              <w:spacing w:line="360" w:lineRule="auto"/>
              <w:jc w:val="center"/>
              <w:rPr>
                <w:color w:val="auto"/>
                <w:highlight w:val="none"/>
              </w:rPr>
            </w:pPr>
            <w:r>
              <w:rPr>
                <w:rFonts w:hint="eastAsia" w:asciiTheme="minorEastAsia" w:hAnsiTheme="minorEastAsia" w:eastAsiaTheme="minorEastAsia" w:cstheme="minorEastAsia"/>
                <w:color w:val="auto"/>
                <w:szCs w:val="21"/>
                <w:highlight w:val="none"/>
              </w:rPr>
              <w:t>效果评估布点方案及布点图10分</w:t>
            </w:r>
          </w:p>
        </w:tc>
        <w:tc>
          <w:tcPr>
            <w:tcW w:w="6948" w:type="dxa"/>
            <w:vAlign w:val="center"/>
          </w:tcPr>
          <w:p w14:paraId="5D191FF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采样布点工作方案详细、全面和可实施性强的得10分；</w:t>
            </w:r>
          </w:p>
          <w:p w14:paraId="414FF9D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采样布点工作方案较详细、较全面和可实施性较强的得7分；</w:t>
            </w:r>
          </w:p>
          <w:p w14:paraId="7B9B784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布点方案基本合理得4分；</w:t>
            </w:r>
          </w:p>
          <w:p w14:paraId="7597FEC1">
            <w:pPr>
              <w:spacing w:line="360" w:lineRule="auto"/>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布点方案不合理，较差得1分</w:t>
            </w:r>
          </w:p>
        </w:tc>
      </w:tr>
      <w:tr w14:paraId="0A0B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6" w:type="dxa"/>
            <w:vMerge w:val="continue"/>
            <w:vAlign w:val="center"/>
          </w:tcPr>
          <w:p w14:paraId="01191CBD">
            <w:pPr>
              <w:adjustRightInd w:val="0"/>
              <w:spacing w:line="360" w:lineRule="auto"/>
              <w:ind w:firstLine="420" w:firstLineChars="200"/>
              <w:jc w:val="center"/>
              <w:textAlignment w:val="baseline"/>
              <w:rPr>
                <w:rFonts w:ascii="宋体" w:hAnsi="宋体" w:cs="宋体"/>
                <w:color w:val="auto"/>
                <w:szCs w:val="21"/>
                <w:highlight w:val="none"/>
              </w:rPr>
            </w:pPr>
          </w:p>
        </w:tc>
        <w:tc>
          <w:tcPr>
            <w:tcW w:w="1606" w:type="dxa"/>
            <w:vAlign w:val="center"/>
          </w:tcPr>
          <w:p w14:paraId="524AF320">
            <w:pPr>
              <w:widowControl/>
              <w:spacing w:line="360" w:lineRule="auto"/>
              <w:jc w:val="center"/>
              <w:rPr>
                <w:color w:val="auto"/>
                <w:highlight w:val="none"/>
              </w:rPr>
            </w:pPr>
            <w:r>
              <w:rPr>
                <w:rFonts w:hint="eastAsia" w:asciiTheme="minorEastAsia" w:hAnsiTheme="minorEastAsia" w:eastAsiaTheme="minorEastAsia" w:cstheme="minorEastAsia"/>
                <w:color w:val="auto"/>
                <w:szCs w:val="21"/>
                <w:highlight w:val="none"/>
              </w:rPr>
              <w:t>数据分析评估10分</w:t>
            </w:r>
          </w:p>
        </w:tc>
        <w:tc>
          <w:tcPr>
            <w:tcW w:w="6948" w:type="dxa"/>
            <w:vAlign w:val="center"/>
          </w:tcPr>
          <w:p w14:paraId="7FDDA2B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检测结果分析及效果评估方法准确、阐述清晰、全面得10分；</w:t>
            </w:r>
          </w:p>
          <w:p w14:paraId="67D791D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检测结果分析及效果评估方法较准确、阐述较清晰、全面得7分；</w:t>
            </w:r>
          </w:p>
          <w:p w14:paraId="71606E8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检测结果分析及效果评估方法基本准确、阐述一般得4分；</w:t>
            </w:r>
          </w:p>
          <w:p w14:paraId="1089F0C0">
            <w:pPr>
              <w:spacing w:line="360" w:lineRule="auto"/>
              <w:rPr>
                <w:rFonts w:ascii="宋体" w:hAnsi="宋体" w:cs="宋体" w:eastAsiaTheme="minorEastAsia"/>
                <w:color w:val="auto"/>
                <w:szCs w:val="21"/>
                <w:highlight w:val="none"/>
              </w:rPr>
            </w:pPr>
            <w:r>
              <w:rPr>
                <w:rFonts w:hint="eastAsia" w:asciiTheme="minorEastAsia" w:hAnsiTheme="minorEastAsia" w:eastAsiaTheme="minorEastAsia" w:cstheme="minorEastAsia"/>
                <w:color w:val="auto"/>
                <w:szCs w:val="21"/>
                <w:highlight w:val="none"/>
              </w:rPr>
              <w:t>检测结果分析及效果评估方法较差得1分。</w:t>
            </w:r>
          </w:p>
        </w:tc>
      </w:tr>
      <w:tr w14:paraId="046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96" w:type="dxa"/>
            <w:vMerge w:val="continue"/>
            <w:vAlign w:val="center"/>
          </w:tcPr>
          <w:p w14:paraId="68349633">
            <w:pPr>
              <w:adjustRightInd w:val="0"/>
              <w:spacing w:line="360" w:lineRule="auto"/>
              <w:ind w:firstLine="420" w:firstLineChars="200"/>
              <w:jc w:val="center"/>
              <w:textAlignment w:val="baseline"/>
              <w:rPr>
                <w:rFonts w:ascii="宋体" w:hAnsi="宋体" w:cs="宋体"/>
                <w:color w:val="auto"/>
                <w:szCs w:val="21"/>
                <w:highlight w:val="none"/>
              </w:rPr>
            </w:pPr>
          </w:p>
        </w:tc>
        <w:tc>
          <w:tcPr>
            <w:tcW w:w="1606" w:type="dxa"/>
            <w:vAlign w:val="center"/>
          </w:tcPr>
          <w:p w14:paraId="731B90E9">
            <w:pPr>
              <w:widowControl/>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进度计划</w:t>
            </w:r>
          </w:p>
          <w:p w14:paraId="0EDE3263">
            <w:pPr>
              <w:widowControl/>
              <w:spacing w:line="360" w:lineRule="auto"/>
              <w:jc w:val="center"/>
              <w:rPr>
                <w:color w:val="auto"/>
                <w:highlight w:val="none"/>
              </w:rPr>
            </w:pPr>
            <w:r>
              <w:rPr>
                <w:rFonts w:hint="eastAsia" w:asciiTheme="minorEastAsia" w:hAnsiTheme="minorEastAsia" w:eastAsiaTheme="minorEastAsia" w:cstheme="minorEastAsia"/>
                <w:color w:val="auto"/>
                <w:szCs w:val="21"/>
                <w:highlight w:val="none"/>
              </w:rPr>
              <w:t>5分</w:t>
            </w:r>
          </w:p>
        </w:tc>
        <w:tc>
          <w:tcPr>
            <w:tcW w:w="6948" w:type="dxa"/>
            <w:vAlign w:val="center"/>
          </w:tcPr>
          <w:p w14:paraId="1C253E71">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制定科学、合理、高效实施计划及组织措施得5分；</w:t>
            </w:r>
          </w:p>
          <w:p w14:paraId="24FA5CE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制定实施计划及组织措施一般得3分；</w:t>
            </w:r>
          </w:p>
          <w:p w14:paraId="0B1BD031">
            <w:pPr>
              <w:spacing w:line="360" w:lineRule="auto"/>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制定实施计划及组织措施不合理得1分。</w:t>
            </w:r>
          </w:p>
        </w:tc>
      </w:tr>
      <w:tr w14:paraId="3168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14:paraId="6F30584D">
            <w:pPr>
              <w:adjustRightInd w:val="0"/>
              <w:spacing w:line="360" w:lineRule="auto"/>
              <w:ind w:firstLine="420" w:firstLineChars="200"/>
              <w:jc w:val="center"/>
              <w:textAlignment w:val="baseline"/>
              <w:rPr>
                <w:rFonts w:ascii="宋体" w:hAnsi="宋体" w:cs="宋体"/>
                <w:color w:val="auto"/>
                <w:szCs w:val="21"/>
                <w:highlight w:val="none"/>
              </w:rPr>
            </w:pPr>
          </w:p>
        </w:tc>
        <w:tc>
          <w:tcPr>
            <w:tcW w:w="1606" w:type="dxa"/>
            <w:vAlign w:val="center"/>
          </w:tcPr>
          <w:p w14:paraId="596528BE">
            <w:pPr>
              <w:widowControl/>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质量控制</w:t>
            </w:r>
          </w:p>
          <w:p w14:paraId="4EA7E13B">
            <w:pPr>
              <w:widowControl/>
              <w:spacing w:line="360" w:lineRule="auto"/>
              <w:jc w:val="center"/>
              <w:rPr>
                <w:color w:val="auto"/>
                <w:highlight w:val="none"/>
              </w:rPr>
            </w:pPr>
            <w:r>
              <w:rPr>
                <w:rFonts w:hint="eastAsia" w:asciiTheme="minorEastAsia" w:hAnsiTheme="minorEastAsia" w:eastAsiaTheme="minorEastAsia" w:cstheme="minorEastAsia"/>
                <w:color w:val="auto"/>
                <w:szCs w:val="21"/>
                <w:highlight w:val="none"/>
              </w:rPr>
              <w:t>5分</w:t>
            </w:r>
          </w:p>
        </w:tc>
        <w:tc>
          <w:tcPr>
            <w:tcW w:w="6948" w:type="dxa"/>
            <w:vAlign w:val="center"/>
          </w:tcPr>
          <w:p w14:paraId="6E2E518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质量措施可行，能保证项目实施质量的得5分；</w:t>
            </w:r>
          </w:p>
          <w:p w14:paraId="18C11CD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质量措施可行，能较好保证项目实施质量的得3分；</w:t>
            </w:r>
          </w:p>
          <w:p w14:paraId="469722D3">
            <w:pPr>
              <w:spacing w:line="360" w:lineRule="auto"/>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质量措施一般，不能保证项目质量的得1分。</w:t>
            </w:r>
          </w:p>
        </w:tc>
      </w:tr>
      <w:tr w14:paraId="37DA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396" w:type="dxa"/>
            <w:vAlign w:val="center"/>
          </w:tcPr>
          <w:p w14:paraId="3497334A">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项目组人员的技术能力及配置12分</w:t>
            </w:r>
          </w:p>
        </w:tc>
        <w:tc>
          <w:tcPr>
            <w:tcW w:w="8554" w:type="dxa"/>
            <w:gridSpan w:val="2"/>
            <w:vAlign w:val="center"/>
          </w:tcPr>
          <w:p w14:paraId="274CBBD9">
            <w:pPr>
              <w:spacing w:line="360" w:lineRule="auto"/>
              <w:rPr>
                <w:rFonts w:hAnsi="宋体"/>
                <w:color w:val="auto"/>
                <w:szCs w:val="21"/>
                <w:highlight w:val="none"/>
              </w:rPr>
            </w:pPr>
            <w:r>
              <w:rPr>
                <w:rFonts w:hint="eastAsia" w:hAnsi="宋体"/>
                <w:color w:val="auto"/>
                <w:szCs w:val="21"/>
                <w:highlight w:val="none"/>
              </w:rPr>
              <w:t>1、项目负责人具有注册环评工程师得3分。（须提供</w:t>
            </w:r>
            <w:r>
              <w:rPr>
                <w:rFonts w:hint="eastAsia" w:ascii="宋体" w:hAnsi="宋体" w:cs="微软雅黑"/>
                <w:color w:val="auto"/>
                <w:highlight w:val="none"/>
              </w:rPr>
              <w:t>资格证书</w:t>
            </w:r>
            <w:r>
              <w:rPr>
                <w:rFonts w:hint="eastAsia" w:hAnsi="宋体"/>
                <w:color w:val="auto"/>
                <w:szCs w:val="21"/>
                <w:highlight w:val="none"/>
              </w:rPr>
              <w:t>及2025年5月-2025</w:t>
            </w:r>
            <w:r>
              <w:rPr>
                <w:rFonts w:hint="eastAsia" w:hAnsi="宋体"/>
                <w:color w:val="auto"/>
                <w:szCs w:val="21"/>
                <w:highlight w:val="none"/>
                <w:lang w:val="en-US" w:eastAsia="zh-CN"/>
              </w:rPr>
              <w:t>年</w:t>
            </w:r>
            <w:r>
              <w:rPr>
                <w:rFonts w:hint="eastAsia" w:hAnsi="宋体"/>
                <w:color w:val="auto"/>
                <w:szCs w:val="21"/>
                <w:highlight w:val="none"/>
              </w:rPr>
              <w:t>7月任意一个月投标人为其缴纳社保的证明，复印件加盖供应商公章，</w:t>
            </w:r>
            <w:r>
              <w:rPr>
                <w:rFonts w:hint="eastAsia" w:hAnsi="宋体"/>
                <w:color w:val="auto"/>
                <w:szCs w:val="21"/>
                <w:highlight w:val="none"/>
                <w:lang w:val="en-US" w:eastAsia="zh-CN"/>
              </w:rPr>
              <w:t>证书</w:t>
            </w:r>
            <w:r>
              <w:rPr>
                <w:rFonts w:hint="eastAsia" w:hAnsi="宋体"/>
                <w:color w:val="auto"/>
                <w:szCs w:val="21"/>
                <w:highlight w:val="none"/>
              </w:rPr>
              <w:t>原件备查）</w:t>
            </w:r>
          </w:p>
          <w:p w14:paraId="2A13DCF0">
            <w:pPr>
              <w:adjustRightInd w:val="0"/>
              <w:spacing w:line="360" w:lineRule="auto"/>
              <w:textAlignment w:val="baseline"/>
              <w:rPr>
                <w:rFonts w:ascii="宋体" w:hAnsi="宋体" w:cs="宋体"/>
                <w:color w:val="auto"/>
                <w:szCs w:val="21"/>
                <w:highlight w:val="none"/>
              </w:rPr>
            </w:pPr>
            <w:r>
              <w:rPr>
                <w:rFonts w:hint="eastAsia" w:hAnsi="宋体"/>
                <w:color w:val="auto"/>
                <w:szCs w:val="21"/>
                <w:highlight w:val="none"/>
              </w:rPr>
              <w:t>2、项目组成员（不含项目负责人）具有环保类高级</w:t>
            </w:r>
            <w:r>
              <w:rPr>
                <w:rFonts w:hint="eastAsia" w:hAnsi="宋体"/>
                <w:color w:val="auto"/>
                <w:szCs w:val="21"/>
                <w:highlight w:val="none"/>
                <w:lang w:val="en-US" w:eastAsia="zh-CN"/>
              </w:rPr>
              <w:t>及以上</w:t>
            </w:r>
            <w:r>
              <w:rPr>
                <w:rFonts w:hint="eastAsia" w:hAnsi="宋体"/>
                <w:color w:val="auto"/>
                <w:szCs w:val="21"/>
                <w:highlight w:val="none"/>
              </w:rPr>
              <w:t>工程师职称每提供一人得3分，最高得9分。（须提供职称证书及2025年5月-2025</w:t>
            </w:r>
            <w:r>
              <w:rPr>
                <w:rFonts w:hint="eastAsia" w:hAnsi="宋体"/>
                <w:color w:val="auto"/>
                <w:szCs w:val="21"/>
                <w:highlight w:val="none"/>
                <w:lang w:val="en-US" w:eastAsia="zh-CN"/>
              </w:rPr>
              <w:t>年</w:t>
            </w:r>
            <w:r>
              <w:rPr>
                <w:rFonts w:hint="eastAsia" w:hAnsi="宋体"/>
                <w:color w:val="auto"/>
                <w:szCs w:val="21"/>
                <w:highlight w:val="none"/>
              </w:rPr>
              <w:t>7月任意一个月投标人为其缴纳社保的证明，复印件加盖供应商公章，</w:t>
            </w:r>
            <w:r>
              <w:rPr>
                <w:rFonts w:hint="eastAsia" w:hAnsi="宋体"/>
                <w:color w:val="auto"/>
                <w:szCs w:val="21"/>
                <w:highlight w:val="none"/>
                <w:lang w:val="en-US" w:eastAsia="zh-CN"/>
              </w:rPr>
              <w:t>证书</w:t>
            </w:r>
            <w:r>
              <w:rPr>
                <w:rFonts w:hint="eastAsia" w:hAnsi="宋体"/>
                <w:color w:val="auto"/>
                <w:szCs w:val="21"/>
                <w:highlight w:val="none"/>
              </w:rPr>
              <w:t>原件备查）</w:t>
            </w:r>
          </w:p>
        </w:tc>
      </w:tr>
      <w:tr w14:paraId="774D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396" w:type="dxa"/>
            <w:vAlign w:val="center"/>
          </w:tcPr>
          <w:p w14:paraId="61481DF3">
            <w:pPr>
              <w:pStyle w:val="29"/>
              <w:spacing w:line="360" w:lineRule="auto"/>
              <w:ind w:firstLine="210" w:firstLineChars="10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设施设备</w:t>
            </w:r>
          </w:p>
          <w:p w14:paraId="700B0BDE">
            <w:pPr>
              <w:pStyle w:val="29"/>
              <w:spacing w:line="360" w:lineRule="auto"/>
              <w:ind w:firstLine="210" w:firstLineChars="100"/>
              <w:jc w:val="center"/>
              <w:rPr>
                <w:color w:val="auto"/>
                <w:highlight w:val="none"/>
              </w:rPr>
            </w:pPr>
            <w:r>
              <w:rPr>
                <w:rFonts w:hint="eastAsia" w:ascii="宋体" w:hAnsi="宋体" w:cs="宋体"/>
                <w:color w:val="auto"/>
                <w:szCs w:val="21"/>
                <w:highlight w:val="none"/>
              </w:rPr>
              <w:t>3分</w:t>
            </w:r>
          </w:p>
        </w:tc>
        <w:tc>
          <w:tcPr>
            <w:tcW w:w="8554" w:type="dxa"/>
            <w:gridSpan w:val="2"/>
            <w:vAlign w:val="center"/>
          </w:tcPr>
          <w:p w14:paraId="2A145FD3">
            <w:pPr>
              <w:spacing w:line="360" w:lineRule="auto"/>
              <w:textAlignment w:val="baseline"/>
              <w:rPr>
                <w:rFonts w:ascii="宋体" w:hAnsi="宋体" w:cs="宋体"/>
                <w:color w:val="auto"/>
                <w:szCs w:val="21"/>
                <w:highlight w:val="none"/>
              </w:rPr>
            </w:pPr>
            <w:r>
              <w:rPr>
                <w:rFonts w:hAnsi="宋体"/>
                <w:color w:val="auto"/>
                <w:szCs w:val="21"/>
                <w:highlight w:val="none"/>
              </w:rPr>
              <w:t>供应商</w:t>
            </w:r>
            <w:r>
              <w:rPr>
                <w:rFonts w:hint="eastAsia"/>
                <w:color w:val="auto"/>
                <w:szCs w:val="21"/>
                <w:highlight w:val="none"/>
              </w:rPr>
              <w:t>具备检验检测机构资质认定证书的检测实验室，得3分（提供检验检测机构资质认定证书复印件加盖供应商公章，原件备查</w:t>
            </w:r>
            <w:r>
              <w:rPr>
                <w:rFonts w:hint="eastAsia"/>
                <w:color w:val="auto"/>
                <w:szCs w:val="21"/>
                <w:highlight w:val="none"/>
                <w:lang w:eastAsia="zh-CN"/>
              </w:rPr>
              <w:t>。</w:t>
            </w:r>
            <w:r>
              <w:rPr>
                <w:rFonts w:hint="eastAsia"/>
                <w:color w:val="auto"/>
                <w:szCs w:val="21"/>
                <w:highlight w:val="none"/>
              </w:rPr>
              <w:t>）</w:t>
            </w:r>
          </w:p>
        </w:tc>
      </w:tr>
      <w:tr w14:paraId="6572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96" w:type="dxa"/>
            <w:vAlign w:val="center"/>
          </w:tcPr>
          <w:p w14:paraId="047D8480">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获奖</w:t>
            </w:r>
          </w:p>
          <w:p w14:paraId="4A16CD41">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8分</w:t>
            </w:r>
          </w:p>
        </w:tc>
        <w:tc>
          <w:tcPr>
            <w:tcW w:w="8554" w:type="dxa"/>
            <w:gridSpan w:val="2"/>
            <w:vAlign w:val="center"/>
          </w:tcPr>
          <w:p w14:paraId="4F5AFA78">
            <w:pPr>
              <w:adjustRightInd w:val="0"/>
              <w:spacing w:line="360" w:lineRule="auto"/>
              <w:textAlignment w:val="baseline"/>
              <w:rPr>
                <w:rFonts w:ascii="宋体" w:hAnsi="宋体" w:cs="宋体"/>
                <w:color w:val="auto"/>
                <w:szCs w:val="21"/>
                <w:highlight w:val="none"/>
              </w:rPr>
            </w:pPr>
            <w:r>
              <w:rPr>
                <w:rFonts w:hint="eastAsia" w:hAnsi="宋体"/>
                <w:color w:val="auto"/>
                <w:highlight w:val="none"/>
              </w:rPr>
              <w:t>2020年1月1日以来</w:t>
            </w:r>
            <w:r>
              <w:rPr>
                <w:rFonts w:hint="eastAsia" w:ascii="宋体" w:hAnsi="宋体" w:cs="宋体"/>
                <w:color w:val="auto"/>
                <w:highlight w:val="none"/>
              </w:rPr>
              <w:t>供应商获得过土壤环境方向省部级或以上奖项，每获得一项得</w:t>
            </w:r>
            <w:r>
              <w:rPr>
                <w:rFonts w:hint="eastAsia" w:ascii="宋体" w:hAnsi="宋体"/>
                <w:color w:val="auto"/>
                <w:highlight w:val="none"/>
              </w:rPr>
              <w:t>2分，最高8分。（时间以证书上授奖时间为准，提供获奖证书</w:t>
            </w:r>
            <w:r>
              <w:rPr>
                <w:rFonts w:hint="eastAsia" w:ascii="宋体" w:cs="宋体"/>
                <w:color w:val="auto"/>
                <w:kern w:val="0"/>
                <w:highlight w:val="none"/>
              </w:rPr>
              <w:t>复印件加盖</w:t>
            </w:r>
            <w:r>
              <w:rPr>
                <w:rFonts w:hint="eastAsia" w:ascii="宋体" w:cs="宋体"/>
                <w:color w:val="auto"/>
                <w:kern w:val="0"/>
                <w:highlight w:val="none"/>
                <w:lang w:val="en-US" w:eastAsia="zh-CN"/>
              </w:rPr>
              <w:t>供应商</w:t>
            </w:r>
            <w:r>
              <w:rPr>
                <w:rFonts w:hint="eastAsia" w:ascii="宋体" w:cs="宋体"/>
                <w:color w:val="auto"/>
                <w:kern w:val="0"/>
                <w:highlight w:val="none"/>
              </w:rPr>
              <w:t>公章，</w:t>
            </w:r>
            <w:r>
              <w:rPr>
                <w:rFonts w:hint="eastAsia"/>
                <w:color w:val="auto"/>
                <w:highlight w:val="none"/>
              </w:rPr>
              <w:t>原件备查</w:t>
            </w:r>
            <w:r>
              <w:rPr>
                <w:rFonts w:hint="eastAsia"/>
                <w:color w:val="auto"/>
                <w:highlight w:val="none"/>
                <w:lang w:eastAsia="zh-CN"/>
              </w:rPr>
              <w:t>。</w:t>
            </w:r>
            <w:r>
              <w:rPr>
                <w:rFonts w:hint="eastAsia" w:ascii="宋体" w:hAnsi="宋体"/>
                <w:color w:val="auto"/>
                <w:highlight w:val="none"/>
              </w:rPr>
              <w:t>）</w:t>
            </w:r>
          </w:p>
        </w:tc>
      </w:tr>
      <w:tr w14:paraId="0373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96" w:type="dxa"/>
            <w:vAlign w:val="center"/>
          </w:tcPr>
          <w:p w14:paraId="00C7480F">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管理体系</w:t>
            </w:r>
          </w:p>
          <w:p w14:paraId="24993524">
            <w:pPr>
              <w:adjustRightInd w:val="0"/>
              <w:spacing w:line="360" w:lineRule="auto"/>
              <w:jc w:val="center"/>
              <w:textAlignment w:val="baseline"/>
              <w:rPr>
                <w:color w:val="auto"/>
                <w:highlight w:val="none"/>
              </w:rPr>
            </w:pPr>
            <w:r>
              <w:rPr>
                <w:rFonts w:hint="eastAsia" w:ascii="宋体" w:hAnsi="宋体" w:cs="宋体"/>
                <w:color w:val="auto"/>
                <w:kern w:val="0"/>
                <w:highlight w:val="none"/>
              </w:rPr>
              <w:t>6分</w:t>
            </w:r>
          </w:p>
        </w:tc>
        <w:tc>
          <w:tcPr>
            <w:tcW w:w="8554" w:type="dxa"/>
            <w:gridSpan w:val="2"/>
            <w:vAlign w:val="center"/>
          </w:tcPr>
          <w:p w14:paraId="4DA7E4F5">
            <w:pPr>
              <w:adjustRightInd w:val="0"/>
              <w:spacing w:line="400" w:lineRule="exact"/>
              <w:textAlignment w:val="baseline"/>
              <w:rPr>
                <w:rFonts w:ascii="宋体" w:hAnsi="宋体" w:cs="宋体"/>
                <w:color w:val="auto"/>
                <w:kern w:val="0"/>
                <w:highlight w:val="none"/>
              </w:rPr>
            </w:pPr>
            <w:r>
              <w:rPr>
                <w:rFonts w:hint="eastAsia" w:ascii="宋体" w:hAnsi="宋体" w:cs="宋体"/>
                <w:color w:val="auto"/>
                <w:kern w:val="0"/>
                <w:highlight w:val="none"/>
              </w:rPr>
              <w:t>供应商同时具备质量管理体系认证证书（有效期内）、环境管理体系认证证书（有效期内）、</w:t>
            </w:r>
            <w:r>
              <w:rPr>
                <w:rFonts w:hint="eastAsia" w:ascii="宋体" w:hAnsi="宋体"/>
                <w:color w:val="auto"/>
                <w:kern w:val="0"/>
                <w:szCs w:val="21"/>
                <w:highlight w:val="none"/>
              </w:rPr>
              <w:t>职业健康安全管理体系认证证书（有效期内）得6分，每缺一个证书扣2分，最多扣6分。</w:t>
            </w:r>
          </w:p>
          <w:p w14:paraId="10890647">
            <w:pPr>
              <w:adjustRightInd w:val="0"/>
              <w:spacing w:line="360" w:lineRule="auto"/>
              <w:textAlignment w:val="baseline"/>
              <w:rPr>
                <w:rFonts w:hAnsi="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按提供相关证书复印件加盖</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公章，原件备查</w:t>
            </w:r>
            <w:r>
              <w:rPr>
                <w:rFonts w:hint="eastAsia" w:ascii="宋体" w:hAnsi="宋体" w:cs="宋体"/>
                <w:color w:val="auto"/>
                <w:szCs w:val="21"/>
                <w:highlight w:val="none"/>
                <w:lang w:eastAsia="zh-CN"/>
              </w:rPr>
              <w:t>。）</w:t>
            </w:r>
          </w:p>
        </w:tc>
      </w:tr>
      <w:tr w14:paraId="0BFB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96" w:type="dxa"/>
            <w:vAlign w:val="center"/>
          </w:tcPr>
          <w:p w14:paraId="5CE7EFB4">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业绩</w:t>
            </w:r>
          </w:p>
          <w:p w14:paraId="46F669C3">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6分</w:t>
            </w:r>
          </w:p>
        </w:tc>
        <w:tc>
          <w:tcPr>
            <w:tcW w:w="8554" w:type="dxa"/>
            <w:gridSpan w:val="2"/>
            <w:vAlign w:val="center"/>
          </w:tcPr>
          <w:p w14:paraId="21F774CE">
            <w:pPr>
              <w:spacing w:line="360" w:lineRule="auto"/>
              <w:rPr>
                <w:rFonts w:cs="宋体"/>
                <w:color w:val="auto"/>
                <w:szCs w:val="21"/>
                <w:highlight w:val="none"/>
              </w:rPr>
            </w:pPr>
            <w:r>
              <w:rPr>
                <w:rFonts w:hint="eastAsia" w:hAnsi="宋体"/>
                <w:color w:val="auto"/>
                <w:highlight w:val="none"/>
              </w:rPr>
              <w:t>2020年1月1日以来（以通过省级评审时间为准）供应商主持完成土壤污染修复工程</w:t>
            </w:r>
            <w:r>
              <w:rPr>
                <w:rFonts w:hint="eastAsia"/>
                <w:color w:val="auto"/>
                <w:spacing w:val="-9"/>
                <w:highlight w:val="none"/>
              </w:rPr>
              <w:t>（矿山修复、生活垃圾处置、农田治理修复、河道底泥治理工程除外）</w:t>
            </w:r>
            <w:r>
              <w:rPr>
                <w:rFonts w:hint="eastAsia" w:hAnsi="宋体"/>
                <w:color w:val="auto"/>
                <w:highlight w:val="none"/>
              </w:rPr>
              <w:t>并通过省级评审效果评估项目，每</w:t>
            </w:r>
            <w:r>
              <w:rPr>
                <w:rFonts w:hint="eastAsia" w:hAnsi="宋体"/>
                <w:color w:val="auto"/>
                <w:highlight w:val="none"/>
                <w:lang w:val="en-US" w:eastAsia="zh-CN"/>
              </w:rPr>
              <w:t>有</w:t>
            </w:r>
            <w:r>
              <w:rPr>
                <w:rFonts w:hint="eastAsia" w:hAnsi="宋体"/>
                <w:color w:val="auto"/>
                <w:highlight w:val="none"/>
              </w:rPr>
              <w:t>1个得3分，最高6分。（提供合同及省级专家评审意见复印件并加盖供应商公章，原件备查</w:t>
            </w:r>
            <w:r>
              <w:rPr>
                <w:rFonts w:hint="eastAsia" w:hAnsi="宋体"/>
                <w:color w:val="auto"/>
                <w:highlight w:val="none"/>
                <w:lang w:eastAsia="zh-CN"/>
              </w:rPr>
              <w:t>。</w:t>
            </w:r>
            <w:r>
              <w:rPr>
                <w:rFonts w:hint="eastAsia" w:hAnsi="宋体"/>
                <w:color w:val="auto"/>
                <w:highlight w:val="none"/>
              </w:rPr>
              <w:t>）</w:t>
            </w:r>
          </w:p>
        </w:tc>
      </w:tr>
    </w:tbl>
    <w:p w14:paraId="6303AD0A">
      <w:pPr>
        <w:rPr>
          <w:rFonts w:ascii="宋体" w:hAnsi="宋体" w:cs="宋体"/>
          <w:color w:val="auto"/>
          <w:szCs w:val="20"/>
          <w:highlight w:val="none"/>
        </w:rPr>
      </w:pPr>
    </w:p>
    <w:p w14:paraId="06DA26BD">
      <w:pPr>
        <w:rPr>
          <w:rFonts w:ascii="宋体" w:hAnsi="宋体" w:cs="宋体"/>
          <w:color w:val="auto"/>
          <w:szCs w:val="20"/>
          <w:highlight w:val="none"/>
        </w:rPr>
      </w:pPr>
      <w:r>
        <w:rPr>
          <w:rFonts w:hint="eastAsia" w:ascii="宋体" w:hAnsi="宋体" w:cs="宋体"/>
          <w:color w:val="auto"/>
          <w:szCs w:val="20"/>
          <w:highlight w:val="none"/>
        </w:rPr>
        <w:t>注：</w:t>
      </w:r>
    </w:p>
    <w:p w14:paraId="08353968">
      <w:pPr>
        <w:numPr>
          <w:ilvl w:val="0"/>
          <w:numId w:val="5"/>
        </w:num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评分标准中要求提供</w:t>
      </w:r>
      <w:r>
        <w:rPr>
          <w:rFonts w:hint="eastAsia" w:ascii="宋体" w:hAnsi="宋体" w:cs="宋体"/>
          <w:b/>
          <w:bCs/>
          <w:color w:val="auto"/>
          <w:szCs w:val="21"/>
          <w:highlight w:val="none"/>
        </w:rPr>
        <w:t>原件备查</w:t>
      </w:r>
      <w:r>
        <w:rPr>
          <w:rFonts w:hint="eastAsia" w:ascii="宋体" w:hAnsi="宋体" w:cs="宋体"/>
          <w:color w:val="auto"/>
          <w:szCs w:val="21"/>
          <w:highlight w:val="none"/>
        </w:rPr>
        <w:t>的，</w:t>
      </w:r>
      <w:r>
        <w:rPr>
          <w:rFonts w:hint="eastAsia" w:ascii="宋体" w:hAnsi="宋体" w:cs="宋体"/>
          <w:b/>
          <w:bCs/>
          <w:color w:val="auto"/>
          <w:szCs w:val="21"/>
          <w:highlight w:val="none"/>
        </w:rPr>
        <w:t>必须提供相关原件，否则与之对应项不得分</w:t>
      </w:r>
      <w:r>
        <w:rPr>
          <w:rFonts w:hint="eastAsia" w:ascii="宋体" w:hAnsi="宋体" w:cs="宋体"/>
          <w:color w:val="auto"/>
          <w:szCs w:val="21"/>
          <w:highlight w:val="none"/>
        </w:rPr>
        <w:t>。</w:t>
      </w:r>
    </w:p>
    <w:p w14:paraId="29D6CE4E">
      <w:pPr>
        <w:numPr>
          <w:ilvl w:val="0"/>
          <w:numId w:val="5"/>
        </w:num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提供的材料中涉及评标的相关数据不一致的，以数额较小的为准。上述服务不是供应商承接的，不予计分。</w:t>
      </w:r>
    </w:p>
    <w:p w14:paraId="69595D59">
      <w:pPr>
        <w:numPr>
          <w:ilvl w:val="0"/>
          <w:numId w:val="5"/>
        </w:numPr>
        <w:adjustRightInd w:val="0"/>
        <w:snapToGrid w:val="0"/>
        <w:spacing w:line="360" w:lineRule="auto"/>
        <w:ind w:firstLine="420" w:firstLineChars="200"/>
        <w:jc w:val="left"/>
        <w:rPr>
          <w:rFonts w:ascii="宋体" w:hAnsi="宋体"/>
          <w:b/>
          <w:color w:val="auto"/>
          <w:szCs w:val="21"/>
          <w:highlight w:val="none"/>
        </w:rPr>
      </w:pPr>
      <w:r>
        <w:rPr>
          <w:rFonts w:hint="eastAsia" w:ascii="宋体" w:hAnsi="宋体" w:cs="宋体"/>
          <w:color w:val="auto"/>
          <w:szCs w:val="21"/>
          <w:highlight w:val="none"/>
        </w:rPr>
        <w:t>磋商文件的正本和副本中均需提供相关原件的复印件加盖供应商公章。</w:t>
      </w:r>
    </w:p>
    <w:p w14:paraId="7CE19ADB">
      <w:pPr>
        <w:numPr>
          <w:ilvl w:val="0"/>
          <w:numId w:val="5"/>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若发现有提供虚假的证明材料，视为无效响应，追究相关责任。</w:t>
      </w:r>
    </w:p>
    <w:bookmarkEnd w:id="151"/>
    <w:p w14:paraId="33D03504">
      <w:pPr>
        <w:spacing w:line="360" w:lineRule="auto"/>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0AD7AE16">
      <w:pPr>
        <w:spacing w:line="360" w:lineRule="auto"/>
        <w:jc w:val="center"/>
        <w:rPr>
          <w:rFonts w:ascii="宋体" w:hAnsi="宋体" w:cs="宋体"/>
          <w:color w:val="auto"/>
          <w:highlight w:val="none"/>
        </w:rPr>
      </w:pPr>
    </w:p>
    <w:p w14:paraId="7FAACF18">
      <w:pPr>
        <w:pStyle w:val="4"/>
        <w:spacing w:before="0" w:after="0" w:line="360" w:lineRule="auto"/>
        <w:jc w:val="center"/>
        <w:rPr>
          <w:rFonts w:ascii="宋体" w:hAnsi="宋体" w:cs="宋体"/>
          <w:color w:val="auto"/>
          <w:sz w:val="40"/>
          <w:szCs w:val="48"/>
          <w:highlight w:val="none"/>
        </w:rPr>
      </w:pPr>
      <w:bookmarkStart w:id="156" w:name="_Toc14519"/>
      <w:bookmarkStart w:id="157" w:name="_Toc4762"/>
      <w:r>
        <w:rPr>
          <w:rFonts w:hint="eastAsia" w:ascii="宋体" w:hAnsi="宋体" w:cs="宋体"/>
          <w:color w:val="auto"/>
          <w:highlight w:val="none"/>
        </w:rPr>
        <w:t>第六章 竞争性磋商响应文件格式</w:t>
      </w:r>
      <w:bookmarkEnd w:id="156"/>
      <w:bookmarkEnd w:id="157"/>
    </w:p>
    <w:p w14:paraId="43778F65">
      <w:pPr>
        <w:spacing w:line="360" w:lineRule="auto"/>
        <w:jc w:val="center"/>
        <w:rPr>
          <w:rFonts w:ascii="宋体" w:hAnsi="宋体" w:cs="宋体"/>
          <w:b/>
          <w:color w:val="auto"/>
          <w:sz w:val="22"/>
          <w:szCs w:val="21"/>
          <w:highlight w:val="none"/>
        </w:rPr>
      </w:pPr>
    </w:p>
    <w:p w14:paraId="351B1993">
      <w:pPr>
        <w:pStyle w:val="10"/>
        <w:numPr>
          <w:ilvl w:val="0"/>
          <w:numId w:val="0"/>
        </w:numPr>
        <w:spacing w:line="360" w:lineRule="auto"/>
        <w:rPr>
          <w:rFonts w:ascii="宋体" w:hAnsi="宋体" w:cs="宋体"/>
          <w:b/>
          <w:color w:val="auto"/>
          <w:sz w:val="22"/>
          <w:szCs w:val="21"/>
          <w:highlight w:val="none"/>
        </w:rPr>
      </w:pPr>
    </w:p>
    <w:p w14:paraId="5919EF48">
      <w:pPr>
        <w:pStyle w:val="10"/>
        <w:numPr>
          <w:ilvl w:val="0"/>
          <w:numId w:val="0"/>
        </w:numPr>
        <w:spacing w:line="360" w:lineRule="auto"/>
        <w:jc w:val="center"/>
        <w:rPr>
          <w:rFonts w:ascii="宋体" w:hAnsi="宋体" w:cs="宋体"/>
          <w:b/>
          <w:color w:val="auto"/>
          <w:sz w:val="44"/>
          <w:szCs w:val="44"/>
          <w:highlight w:val="none"/>
        </w:rPr>
      </w:pPr>
    </w:p>
    <w:p w14:paraId="45C10DBC">
      <w:pPr>
        <w:spacing w:line="360" w:lineRule="auto"/>
        <w:jc w:val="center"/>
        <w:rPr>
          <w:rFonts w:ascii="宋体" w:hAnsi="宋体" w:cs="宋体"/>
          <w:b/>
          <w:color w:val="auto"/>
          <w:sz w:val="44"/>
          <w:szCs w:val="44"/>
          <w:highlight w:val="none"/>
        </w:rPr>
      </w:pPr>
      <w:bookmarkStart w:id="158" w:name="_Toc511745465"/>
      <w:bookmarkStart w:id="159" w:name="_Toc6113"/>
      <w:r>
        <w:rPr>
          <w:rFonts w:hint="eastAsia" w:ascii="宋体" w:hAnsi="宋体" w:cs="宋体"/>
          <w:b/>
          <w:color w:val="auto"/>
          <w:sz w:val="44"/>
          <w:szCs w:val="44"/>
          <w:highlight w:val="none"/>
        </w:rPr>
        <w:t>竞争性磋商响应文件</w:t>
      </w:r>
      <w:bookmarkEnd w:id="158"/>
      <w:bookmarkEnd w:id="159"/>
    </w:p>
    <w:p w14:paraId="60F3CC72">
      <w:pPr>
        <w:spacing w:line="360" w:lineRule="auto"/>
        <w:jc w:val="center"/>
        <w:rPr>
          <w:rFonts w:ascii="宋体" w:hAnsi="宋体" w:cs="宋体"/>
          <w:b/>
          <w:color w:val="auto"/>
          <w:sz w:val="44"/>
          <w:szCs w:val="44"/>
          <w:highlight w:val="none"/>
        </w:rPr>
      </w:pPr>
      <w:bookmarkStart w:id="160" w:name="_Toc511745466"/>
      <w:bookmarkStart w:id="161" w:name="_Toc20585"/>
      <w:r>
        <w:rPr>
          <w:rFonts w:hint="eastAsia" w:ascii="宋体" w:hAnsi="宋体" w:cs="宋体"/>
          <w:b/>
          <w:color w:val="auto"/>
          <w:sz w:val="44"/>
          <w:szCs w:val="44"/>
          <w:highlight w:val="none"/>
        </w:rPr>
        <w:t>（正或副本</w:t>
      </w:r>
      <w:bookmarkEnd w:id="160"/>
      <w:r>
        <w:rPr>
          <w:rFonts w:hint="eastAsia" w:ascii="宋体" w:hAnsi="宋体" w:cs="宋体"/>
          <w:b/>
          <w:color w:val="auto"/>
          <w:sz w:val="44"/>
          <w:szCs w:val="44"/>
          <w:highlight w:val="none"/>
        </w:rPr>
        <w:t>）</w:t>
      </w:r>
      <w:bookmarkEnd w:id="161"/>
    </w:p>
    <w:p w14:paraId="70F0053C">
      <w:pPr>
        <w:spacing w:line="360" w:lineRule="auto"/>
        <w:jc w:val="center"/>
        <w:rPr>
          <w:rFonts w:ascii="宋体" w:hAnsi="宋体" w:cs="宋体"/>
          <w:b/>
          <w:color w:val="auto"/>
          <w:sz w:val="36"/>
          <w:highlight w:val="none"/>
        </w:rPr>
      </w:pPr>
    </w:p>
    <w:p w14:paraId="6967A207">
      <w:pPr>
        <w:spacing w:line="360" w:lineRule="auto"/>
        <w:rPr>
          <w:rFonts w:ascii="宋体" w:hAnsi="宋体" w:cs="宋体"/>
          <w:b/>
          <w:color w:val="auto"/>
          <w:sz w:val="36"/>
          <w:highlight w:val="none"/>
        </w:rPr>
      </w:pPr>
    </w:p>
    <w:p w14:paraId="5A512DE7">
      <w:pPr>
        <w:pStyle w:val="7"/>
        <w:rPr>
          <w:rFonts w:ascii="宋体" w:hAnsi="宋体" w:eastAsia="宋体" w:cs="宋体"/>
          <w:color w:val="auto"/>
          <w:highlight w:val="none"/>
        </w:rPr>
      </w:pPr>
    </w:p>
    <w:p w14:paraId="76D21DCB">
      <w:pPr>
        <w:pStyle w:val="7"/>
        <w:rPr>
          <w:rFonts w:ascii="宋体" w:hAnsi="宋体" w:eastAsia="宋体" w:cs="宋体"/>
          <w:color w:val="auto"/>
          <w:highlight w:val="none"/>
        </w:rPr>
      </w:pPr>
    </w:p>
    <w:p w14:paraId="7CE33E9C">
      <w:pPr>
        <w:pStyle w:val="8"/>
        <w:spacing w:line="360" w:lineRule="auto"/>
        <w:rPr>
          <w:rFonts w:ascii="宋体" w:hAnsi="宋体" w:eastAsia="宋体" w:cs="宋体"/>
          <w:color w:val="auto"/>
          <w:highlight w:val="none"/>
        </w:rPr>
      </w:pPr>
    </w:p>
    <w:p w14:paraId="15CE27DA">
      <w:pPr>
        <w:pStyle w:val="7"/>
        <w:rPr>
          <w:rFonts w:ascii="宋体" w:hAnsi="宋体" w:eastAsia="宋体" w:cs="宋体"/>
          <w:color w:val="auto"/>
          <w:highlight w:val="none"/>
        </w:rPr>
      </w:pPr>
    </w:p>
    <w:p w14:paraId="76CBFBC2">
      <w:pPr>
        <w:spacing w:line="360" w:lineRule="auto"/>
        <w:ind w:firstLine="904" w:firstLineChars="300"/>
        <w:rPr>
          <w:rFonts w:ascii="宋体" w:hAnsi="宋体" w:cs="宋体"/>
          <w:color w:val="auto"/>
          <w:sz w:val="30"/>
          <w:szCs w:val="30"/>
          <w:highlight w:val="none"/>
          <w:u w:val="single"/>
        </w:rPr>
      </w:pPr>
      <w:r>
        <w:rPr>
          <w:rFonts w:hint="eastAsia" w:ascii="宋体" w:hAnsi="宋体" w:cs="宋体"/>
          <w:b/>
          <w:color w:val="auto"/>
          <w:sz w:val="30"/>
          <w:szCs w:val="30"/>
          <w:highlight w:val="none"/>
        </w:rPr>
        <w:t>项 目 名 称：</w:t>
      </w:r>
      <w:r>
        <w:rPr>
          <w:rFonts w:hint="eastAsia" w:ascii="宋体" w:hAnsi="宋体" w:cs="宋体"/>
          <w:b/>
          <w:color w:val="auto"/>
          <w:sz w:val="30"/>
          <w:szCs w:val="30"/>
          <w:highlight w:val="none"/>
          <w:u w:val="single"/>
        </w:rPr>
        <w:t xml:space="preserve">                       </w:t>
      </w:r>
    </w:p>
    <w:p w14:paraId="3698C9B6">
      <w:pPr>
        <w:spacing w:line="360" w:lineRule="auto"/>
        <w:ind w:firstLine="904" w:firstLineChars="300"/>
        <w:rPr>
          <w:rFonts w:ascii="宋体" w:hAnsi="宋体" w:cs="宋体"/>
          <w:b/>
          <w:color w:val="auto"/>
          <w:sz w:val="30"/>
          <w:szCs w:val="30"/>
          <w:highlight w:val="none"/>
          <w:u w:val="single"/>
        </w:rPr>
      </w:pPr>
      <w:r>
        <w:rPr>
          <w:rFonts w:hint="eastAsia" w:ascii="宋体" w:hAnsi="宋体" w:cs="宋体"/>
          <w:b/>
          <w:color w:val="auto"/>
          <w:sz w:val="30"/>
          <w:szCs w:val="30"/>
          <w:highlight w:val="none"/>
        </w:rPr>
        <w:t>编      号：</w:t>
      </w:r>
      <w:r>
        <w:rPr>
          <w:rFonts w:hint="eastAsia" w:ascii="宋体" w:hAnsi="宋体" w:cs="宋体"/>
          <w:b/>
          <w:color w:val="auto"/>
          <w:sz w:val="30"/>
          <w:szCs w:val="30"/>
          <w:highlight w:val="none"/>
          <w:u w:val="single"/>
        </w:rPr>
        <w:t xml:space="preserve">                        </w:t>
      </w:r>
    </w:p>
    <w:p w14:paraId="3C56E8F8">
      <w:pPr>
        <w:spacing w:line="360" w:lineRule="auto"/>
        <w:rPr>
          <w:rFonts w:ascii="宋体" w:hAnsi="宋体" w:cs="宋体"/>
          <w:b/>
          <w:color w:val="auto"/>
          <w:sz w:val="30"/>
          <w:szCs w:val="30"/>
          <w:highlight w:val="none"/>
          <w:u w:val="single"/>
        </w:rPr>
      </w:pPr>
      <w:r>
        <w:rPr>
          <w:rFonts w:hint="eastAsia" w:ascii="宋体" w:hAnsi="宋体" w:cs="宋体"/>
          <w:b/>
          <w:color w:val="auto"/>
          <w:sz w:val="30"/>
          <w:szCs w:val="30"/>
          <w:highlight w:val="none"/>
        </w:rPr>
        <w:t xml:space="preserve">      磋商供应商名称 ：</w:t>
      </w:r>
      <w:r>
        <w:rPr>
          <w:rFonts w:hint="eastAsia" w:ascii="宋体" w:hAnsi="宋体" w:cs="宋体"/>
          <w:b/>
          <w:color w:val="auto"/>
          <w:sz w:val="30"/>
          <w:szCs w:val="30"/>
          <w:highlight w:val="none"/>
          <w:u w:val="single"/>
        </w:rPr>
        <w:t xml:space="preserve">                   </w:t>
      </w:r>
    </w:p>
    <w:p w14:paraId="2DBEF0D7">
      <w:pPr>
        <w:spacing w:line="360" w:lineRule="auto"/>
        <w:rPr>
          <w:rFonts w:ascii="宋体" w:hAnsi="宋体" w:cs="宋体"/>
          <w:b/>
          <w:color w:val="auto"/>
          <w:sz w:val="36"/>
          <w:highlight w:val="none"/>
        </w:rPr>
      </w:pPr>
      <w:r>
        <w:rPr>
          <w:rFonts w:hint="eastAsia" w:ascii="宋体" w:hAnsi="宋体" w:cs="宋体"/>
          <w:b/>
          <w:color w:val="auto"/>
          <w:sz w:val="30"/>
          <w:szCs w:val="30"/>
          <w:highlight w:val="none"/>
        </w:rPr>
        <w:t xml:space="preserve">      日      期 ：</w:t>
      </w:r>
      <w:r>
        <w:rPr>
          <w:rFonts w:hint="eastAsia" w:ascii="宋体" w:hAnsi="宋体" w:cs="宋体"/>
          <w:b/>
          <w:color w:val="auto"/>
          <w:sz w:val="32"/>
          <w:szCs w:val="32"/>
          <w:highlight w:val="none"/>
          <w:u w:val="single"/>
        </w:rPr>
        <w:t xml:space="preserve"> </w:t>
      </w:r>
      <w:r>
        <w:rPr>
          <w:rFonts w:hint="eastAsia" w:ascii="宋体" w:hAnsi="宋体" w:cs="宋体"/>
          <w:b/>
          <w:color w:val="auto"/>
          <w:sz w:val="36"/>
          <w:highlight w:val="none"/>
          <w:u w:val="single"/>
        </w:rPr>
        <w:t xml:space="preserve">                  </w:t>
      </w:r>
    </w:p>
    <w:p w14:paraId="6092BB9D">
      <w:pPr>
        <w:spacing w:line="360" w:lineRule="auto"/>
        <w:ind w:firstLine="904" w:firstLineChars="30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地      址 ：</w:t>
      </w:r>
      <w:r>
        <w:rPr>
          <w:rFonts w:hint="eastAsia" w:ascii="宋体" w:hAnsi="宋体" w:cs="宋体"/>
          <w:b/>
          <w:bCs/>
          <w:color w:val="auto"/>
          <w:sz w:val="30"/>
          <w:szCs w:val="30"/>
          <w:highlight w:val="none"/>
          <w:u w:val="single"/>
        </w:rPr>
        <w:t xml:space="preserve">                     </w:t>
      </w:r>
    </w:p>
    <w:p w14:paraId="53719935">
      <w:pPr>
        <w:spacing w:line="360" w:lineRule="auto"/>
        <w:jc w:val="left"/>
        <w:rPr>
          <w:rFonts w:ascii="宋体" w:hAnsi="宋体" w:cs="宋体"/>
          <w:b/>
          <w:bCs/>
          <w:color w:val="auto"/>
          <w:sz w:val="30"/>
          <w:szCs w:val="30"/>
          <w:highlight w:val="none"/>
        </w:rPr>
      </w:pPr>
    </w:p>
    <w:p w14:paraId="2BD02352">
      <w:pPr>
        <w:spacing w:line="360" w:lineRule="auto"/>
        <w:jc w:val="left"/>
        <w:rPr>
          <w:rFonts w:ascii="宋体" w:hAnsi="宋体" w:cs="宋体"/>
          <w:b/>
          <w:bCs/>
          <w:color w:val="auto"/>
          <w:sz w:val="30"/>
          <w:szCs w:val="30"/>
          <w:highlight w:val="none"/>
        </w:rPr>
      </w:pPr>
    </w:p>
    <w:p w14:paraId="090F65C6">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说明：</w:t>
      </w:r>
    </w:p>
    <w:p w14:paraId="189A8EF9">
      <w:pPr>
        <w:spacing w:line="360" w:lineRule="auto"/>
        <w:ind w:firstLine="703" w:firstLineChars="25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对本章所有的响应文件格式 ，供应商可根据自身情况进行补充和修改，但补充和修改不得造成与本格式内容有实质性的违背。</w:t>
      </w:r>
    </w:p>
    <w:p w14:paraId="4A0DC1C1">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评分索引表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1B92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5563358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评分项目</w:t>
            </w:r>
          </w:p>
        </w:tc>
        <w:tc>
          <w:tcPr>
            <w:tcW w:w="3570" w:type="dxa"/>
            <w:tcBorders>
              <w:top w:val="single" w:color="auto" w:sz="4" w:space="0"/>
              <w:left w:val="single" w:color="auto" w:sz="4" w:space="0"/>
              <w:bottom w:val="single" w:color="auto" w:sz="4" w:space="0"/>
              <w:right w:val="single" w:color="auto" w:sz="4" w:space="0"/>
            </w:tcBorders>
            <w:vAlign w:val="center"/>
          </w:tcPr>
          <w:p w14:paraId="237088C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在响应文件中的页码位置</w:t>
            </w:r>
          </w:p>
        </w:tc>
      </w:tr>
      <w:tr w14:paraId="1ABC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0A68D7F3">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4DFC17B6">
            <w:pPr>
              <w:spacing w:line="360" w:lineRule="auto"/>
              <w:jc w:val="center"/>
              <w:rPr>
                <w:rFonts w:ascii="宋体" w:hAnsi="宋体" w:cs="宋体"/>
                <w:color w:val="auto"/>
                <w:sz w:val="24"/>
                <w:szCs w:val="24"/>
                <w:highlight w:val="none"/>
              </w:rPr>
            </w:pPr>
          </w:p>
        </w:tc>
      </w:tr>
      <w:tr w14:paraId="7F2E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14:paraId="6CEE5DED">
            <w:pPr>
              <w:spacing w:line="360" w:lineRule="auto"/>
              <w:jc w:val="center"/>
              <w:rPr>
                <w:rFonts w:ascii="宋体" w:hAnsi="宋体" w:cs="宋体"/>
                <w:color w:val="auto"/>
                <w:sz w:val="24"/>
                <w:szCs w:val="24"/>
                <w:highlight w:val="none"/>
              </w:rPr>
            </w:pPr>
          </w:p>
        </w:tc>
      </w:tr>
      <w:tr w14:paraId="5890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0FA9D330">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4C3B9523">
            <w:pPr>
              <w:spacing w:line="360" w:lineRule="auto"/>
              <w:jc w:val="center"/>
              <w:rPr>
                <w:rFonts w:ascii="宋体" w:hAnsi="宋体" w:cs="宋体"/>
                <w:color w:val="auto"/>
                <w:sz w:val="24"/>
                <w:szCs w:val="24"/>
                <w:highlight w:val="none"/>
              </w:rPr>
            </w:pPr>
          </w:p>
        </w:tc>
      </w:tr>
      <w:tr w14:paraId="00FD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6BCF6B46">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7932BE44">
            <w:pPr>
              <w:spacing w:line="360" w:lineRule="auto"/>
              <w:jc w:val="center"/>
              <w:rPr>
                <w:rFonts w:ascii="宋体" w:hAnsi="宋体" w:cs="宋体"/>
                <w:color w:val="auto"/>
                <w:sz w:val="24"/>
                <w:szCs w:val="24"/>
                <w:highlight w:val="none"/>
              </w:rPr>
            </w:pPr>
          </w:p>
        </w:tc>
      </w:tr>
      <w:tr w14:paraId="05FA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677F7561">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6B503791">
            <w:pPr>
              <w:spacing w:line="360" w:lineRule="auto"/>
              <w:jc w:val="center"/>
              <w:rPr>
                <w:rFonts w:ascii="宋体" w:hAnsi="宋体" w:cs="宋体"/>
                <w:color w:val="auto"/>
                <w:sz w:val="24"/>
                <w:szCs w:val="24"/>
                <w:highlight w:val="none"/>
              </w:rPr>
            </w:pPr>
          </w:p>
        </w:tc>
      </w:tr>
      <w:tr w14:paraId="08AD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0516CE37">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799A8721">
            <w:pPr>
              <w:spacing w:line="360" w:lineRule="auto"/>
              <w:jc w:val="center"/>
              <w:rPr>
                <w:rFonts w:ascii="宋体" w:hAnsi="宋体" w:cs="宋体"/>
                <w:color w:val="auto"/>
                <w:sz w:val="24"/>
                <w:szCs w:val="24"/>
                <w:highlight w:val="none"/>
              </w:rPr>
            </w:pPr>
          </w:p>
        </w:tc>
      </w:tr>
      <w:tr w14:paraId="7752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20E02EFF">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4E18463E">
            <w:pPr>
              <w:spacing w:line="360" w:lineRule="auto"/>
              <w:jc w:val="center"/>
              <w:rPr>
                <w:rFonts w:ascii="宋体" w:hAnsi="宋体" w:cs="宋体"/>
                <w:color w:val="auto"/>
                <w:sz w:val="24"/>
                <w:szCs w:val="24"/>
                <w:highlight w:val="none"/>
              </w:rPr>
            </w:pPr>
          </w:p>
        </w:tc>
      </w:tr>
      <w:tr w14:paraId="7742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14:paraId="1EBC447F">
            <w:pPr>
              <w:spacing w:line="360" w:lineRule="auto"/>
              <w:jc w:val="center"/>
              <w:rPr>
                <w:rFonts w:ascii="宋体" w:hAnsi="宋体" w:cs="宋体"/>
                <w:color w:val="auto"/>
                <w:sz w:val="24"/>
                <w:szCs w:val="24"/>
                <w:highlight w:val="none"/>
              </w:rPr>
            </w:pPr>
          </w:p>
        </w:tc>
      </w:tr>
      <w:tr w14:paraId="0B09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4BF73AFB">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04F552CE">
            <w:pPr>
              <w:spacing w:line="360" w:lineRule="auto"/>
              <w:jc w:val="center"/>
              <w:rPr>
                <w:rFonts w:ascii="宋体" w:hAnsi="宋体" w:cs="宋体"/>
                <w:color w:val="auto"/>
                <w:sz w:val="24"/>
                <w:szCs w:val="24"/>
                <w:highlight w:val="none"/>
              </w:rPr>
            </w:pPr>
          </w:p>
        </w:tc>
      </w:tr>
      <w:tr w14:paraId="16D8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7ADF0264">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366607C8">
            <w:pPr>
              <w:spacing w:line="360" w:lineRule="auto"/>
              <w:jc w:val="center"/>
              <w:rPr>
                <w:rFonts w:ascii="宋体" w:hAnsi="宋体" w:cs="宋体"/>
                <w:color w:val="auto"/>
                <w:sz w:val="24"/>
                <w:szCs w:val="24"/>
                <w:highlight w:val="none"/>
              </w:rPr>
            </w:pPr>
          </w:p>
        </w:tc>
      </w:tr>
      <w:tr w14:paraId="7F3F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1B294A9C">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3406B7C7">
            <w:pPr>
              <w:spacing w:line="360" w:lineRule="auto"/>
              <w:jc w:val="center"/>
              <w:rPr>
                <w:rFonts w:ascii="宋体" w:hAnsi="宋体" w:cs="宋体"/>
                <w:color w:val="auto"/>
                <w:sz w:val="24"/>
                <w:szCs w:val="24"/>
                <w:highlight w:val="none"/>
              </w:rPr>
            </w:pPr>
          </w:p>
        </w:tc>
      </w:tr>
      <w:tr w14:paraId="16A5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684E4ED5">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1134D361">
            <w:pPr>
              <w:spacing w:line="360" w:lineRule="auto"/>
              <w:jc w:val="center"/>
              <w:rPr>
                <w:rFonts w:ascii="宋体" w:hAnsi="宋体" w:cs="宋体"/>
                <w:color w:val="auto"/>
                <w:sz w:val="24"/>
                <w:szCs w:val="24"/>
                <w:highlight w:val="none"/>
              </w:rPr>
            </w:pPr>
          </w:p>
        </w:tc>
      </w:tr>
      <w:tr w14:paraId="26B7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7F0448AA">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029EFE23">
            <w:pPr>
              <w:spacing w:line="360" w:lineRule="auto"/>
              <w:jc w:val="center"/>
              <w:rPr>
                <w:rFonts w:ascii="宋体" w:hAnsi="宋体" w:cs="宋体"/>
                <w:color w:val="auto"/>
                <w:sz w:val="24"/>
                <w:szCs w:val="24"/>
                <w:highlight w:val="none"/>
              </w:rPr>
            </w:pPr>
          </w:p>
        </w:tc>
      </w:tr>
      <w:tr w14:paraId="6D67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14:paraId="72153965">
            <w:pPr>
              <w:spacing w:line="360" w:lineRule="auto"/>
              <w:jc w:val="center"/>
              <w:rPr>
                <w:rFonts w:ascii="宋体" w:hAnsi="宋体" w:cs="宋体"/>
                <w:color w:val="auto"/>
                <w:sz w:val="24"/>
                <w:szCs w:val="24"/>
                <w:highlight w:val="none"/>
              </w:rPr>
            </w:pPr>
          </w:p>
        </w:tc>
      </w:tr>
      <w:tr w14:paraId="42CC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20603B8A">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36A514EB">
            <w:pPr>
              <w:spacing w:line="360" w:lineRule="auto"/>
              <w:jc w:val="center"/>
              <w:rPr>
                <w:rFonts w:ascii="宋体" w:hAnsi="宋体" w:cs="宋体"/>
                <w:color w:val="auto"/>
                <w:sz w:val="24"/>
                <w:szCs w:val="24"/>
                <w:highlight w:val="none"/>
              </w:rPr>
            </w:pPr>
          </w:p>
        </w:tc>
      </w:tr>
      <w:tr w14:paraId="188C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1FFBF360">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53C45A1F">
            <w:pPr>
              <w:spacing w:line="360" w:lineRule="auto"/>
              <w:jc w:val="center"/>
              <w:rPr>
                <w:rFonts w:ascii="宋体" w:hAnsi="宋体" w:cs="宋体"/>
                <w:color w:val="auto"/>
                <w:sz w:val="24"/>
                <w:szCs w:val="24"/>
                <w:highlight w:val="none"/>
              </w:rPr>
            </w:pPr>
          </w:p>
        </w:tc>
      </w:tr>
      <w:tr w14:paraId="07CC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18BD12F6">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0B331D21">
            <w:pPr>
              <w:spacing w:line="360" w:lineRule="auto"/>
              <w:jc w:val="center"/>
              <w:rPr>
                <w:rFonts w:ascii="宋体" w:hAnsi="宋体" w:cs="宋体"/>
                <w:color w:val="auto"/>
                <w:sz w:val="24"/>
                <w:szCs w:val="24"/>
                <w:highlight w:val="none"/>
              </w:rPr>
            </w:pPr>
          </w:p>
        </w:tc>
      </w:tr>
      <w:tr w14:paraId="78BB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14:paraId="249AB482">
            <w:pPr>
              <w:spacing w:line="360" w:lineRule="auto"/>
              <w:jc w:val="center"/>
              <w:rPr>
                <w:rFonts w:ascii="宋体" w:hAnsi="宋体" w:cs="宋体"/>
                <w:color w:val="auto"/>
                <w:sz w:val="24"/>
                <w:szCs w:val="24"/>
                <w:highlight w:val="none"/>
              </w:rPr>
            </w:pPr>
          </w:p>
        </w:tc>
      </w:tr>
      <w:tr w14:paraId="1EF5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15610504">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24173CFB">
            <w:pPr>
              <w:spacing w:line="360" w:lineRule="auto"/>
              <w:jc w:val="center"/>
              <w:rPr>
                <w:rFonts w:ascii="宋体" w:hAnsi="宋体" w:cs="宋体"/>
                <w:color w:val="auto"/>
                <w:sz w:val="24"/>
                <w:szCs w:val="24"/>
                <w:highlight w:val="none"/>
              </w:rPr>
            </w:pPr>
          </w:p>
        </w:tc>
      </w:tr>
      <w:tr w14:paraId="1448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14:paraId="3D5AC479">
            <w:pPr>
              <w:spacing w:line="360" w:lineRule="auto"/>
              <w:jc w:val="center"/>
              <w:rPr>
                <w:rFonts w:ascii="宋体" w:hAnsi="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vAlign w:val="center"/>
          </w:tcPr>
          <w:p w14:paraId="0DC8B81C">
            <w:pPr>
              <w:spacing w:line="360" w:lineRule="auto"/>
              <w:jc w:val="center"/>
              <w:rPr>
                <w:rFonts w:ascii="宋体" w:hAnsi="宋体" w:cs="宋体"/>
                <w:color w:val="auto"/>
                <w:sz w:val="24"/>
                <w:szCs w:val="24"/>
                <w:highlight w:val="none"/>
              </w:rPr>
            </w:pPr>
          </w:p>
        </w:tc>
      </w:tr>
    </w:tbl>
    <w:p w14:paraId="25261169">
      <w:pPr>
        <w:spacing w:line="360" w:lineRule="auto"/>
        <w:rPr>
          <w:rFonts w:ascii="宋体" w:hAnsi="宋体" w:cs="宋体"/>
          <w:b/>
          <w:bCs/>
          <w:color w:val="auto"/>
          <w:sz w:val="28"/>
          <w:szCs w:val="28"/>
          <w:highlight w:val="none"/>
        </w:rPr>
      </w:pPr>
    </w:p>
    <w:p w14:paraId="07B075F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B32ABBB">
      <w:pPr>
        <w:spacing w:line="360" w:lineRule="auto"/>
        <w:jc w:val="center"/>
        <w:rPr>
          <w:rFonts w:ascii="宋体" w:hAnsi="宋体" w:cs="宋体"/>
          <w:b/>
          <w:bCs/>
          <w:color w:val="auto"/>
          <w:kern w:val="0"/>
          <w:szCs w:val="21"/>
          <w:highlight w:val="none"/>
        </w:rPr>
      </w:pPr>
      <w:r>
        <w:rPr>
          <w:rFonts w:hint="eastAsia" w:ascii="宋体" w:hAnsi="宋体" w:cs="宋体"/>
          <w:b/>
          <w:bCs/>
          <w:color w:val="auto"/>
          <w:sz w:val="28"/>
          <w:szCs w:val="28"/>
          <w:highlight w:val="none"/>
        </w:rPr>
        <w:t>响应文件目录</w:t>
      </w:r>
    </w:p>
    <w:p w14:paraId="6BD315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一、资格性和符合性检查响应对照表</w:t>
      </w:r>
    </w:p>
    <w:p w14:paraId="579D3FB8">
      <w:pPr>
        <w:spacing w:line="360" w:lineRule="auto"/>
        <w:ind w:firstLine="422" w:firstLineChars="200"/>
        <w:rPr>
          <w:rFonts w:ascii="宋体" w:hAnsi="宋体" w:cs="宋体"/>
          <w:bCs/>
          <w:color w:val="auto"/>
          <w:sz w:val="24"/>
          <w:szCs w:val="24"/>
          <w:highlight w:val="none"/>
        </w:rPr>
      </w:pPr>
      <w:r>
        <w:rPr>
          <w:rFonts w:hint="eastAsia" w:ascii="宋体" w:hAnsi="宋体" w:cs="宋体"/>
          <w:b/>
          <w:bCs/>
          <w:color w:val="auto"/>
          <w:szCs w:val="21"/>
          <w:highlight w:val="none"/>
        </w:rPr>
        <w:t>二</w:t>
      </w:r>
      <w:r>
        <w:rPr>
          <w:rFonts w:hint="eastAsia" w:ascii="宋体" w:hAnsi="宋体" w:cs="宋体"/>
          <w:color w:val="auto"/>
          <w:szCs w:val="21"/>
          <w:highlight w:val="none"/>
        </w:rPr>
        <w:t>、</w:t>
      </w:r>
      <w:r>
        <w:rPr>
          <w:rFonts w:hint="eastAsia" w:ascii="宋体" w:hAnsi="宋体" w:cs="宋体"/>
          <w:bCs/>
          <w:color w:val="auto"/>
          <w:szCs w:val="21"/>
          <w:highlight w:val="none"/>
        </w:rPr>
        <w:t>资信证明文件</w:t>
      </w:r>
    </w:p>
    <w:p w14:paraId="5FC46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三、磋商响应报价表</w:t>
      </w:r>
    </w:p>
    <w:p w14:paraId="747C01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四、商务条款响应及偏离表</w:t>
      </w:r>
    </w:p>
    <w:p w14:paraId="52BCF9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五、项目实施方案</w:t>
      </w:r>
    </w:p>
    <w:p w14:paraId="45F80C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六、其他</w:t>
      </w:r>
    </w:p>
    <w:p w14:paraId="0D61D87F">
      <w:pPr>
        <w:rPr>
          <w:rFonts w:ascii="宋体" w:hAnsi="宋体" w:cs="宋体"/>
          <w:b/>
          <w:color w:val="auto"/>
          <w:sz w:val="24"/>
          <w:szCs w:val="24"/>
          <w:highlight w:val="none"/>
        </w:rPr>
      </w:pPr>
    </w:p>
    <w:p w14:paraId="2280EFBB">
      <w:pPr>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8CC4F34">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一、资格性和符合性检查响应对照表</w:t>
      </w:r>
    </w:p>
    <w:p w14:paraId="20F8BFDA">
      <w:pPr>
        <w:spacing w:line="360" w:lineRule="auto"/>
        <w:rPr>
          <w:rFonts w:ascii="宋体" w:hAnsi="宋体" w:cs="宋体"/>
          <w:color w:val="auto"/>
          <w:szCs w:val="21"/>
          <w:highlight w:val="none"/>
        </w:rPr>
      </w:pPr>
      <w:r>
        <w:rPr>
          <w:rFonts w:hint="eastAsia" w:ascii="宋体" w:hAnsi="宋体" w:cs="宋体"/>
          <w:color w:val="auto"/>
          <w:szCs w:val="21"/>
          <w:highlight w:val="none"/>
        </w:rPr>
        <w:t>磋商供应商全称（加盖公章）：</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5526"/>
        <w:gridCol w:w="1881"/>
        <w:gridCol w:w="1838"/>
      </w:tblGrid>
      <w:tr w14:paraId="156E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365CB481">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773" w:type="pct"/>
            <w:tcBorders>
              <w:top w:val="single" w:color="auto" w:sz="4" w:space="0"/>
              <w:left w:val="single" w:color="auto" w:sz="4" w:space="0"/>
              <w:bottom w:val="single" w:color="auto" w:sz="4" w:space="0"/>
              <w:right w:val="single" w:color="auto" w:sz="4" w:space="0"/>
            </w:tcBorders>
            <w:vAlign w:val="center"/>
          </w:tcPr>
          <w:p w14:paraId="44D8C9EE">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资格性和符合性检查响应内容</w:t>
            </w:r>
          </w:p>
        </w:tc>
        <w:tc>
          <w:tcPr>
            <w:tcW w:w="944" w:type="pct"/>
            <w:tcBorders>
              <w:top w:val="single" w:color="auto" w:sz="4" w:space="0"/>
              <w:left w:val="single" w:color="auto" w:sz="4" w:space="0"/>
              <w:bottom w:val="single" w:color="auto" w:sz="4" w:space="0"/>
              <w:right w:val="single" w:color="auto" w:sz="4" w:space="0"/>
            </w:tcBorders>
            <w:vAlign w:val="center"/>
          </w:tcPr>
          <w:p w14:paraId="544BB05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是否响应</w:t>
            </w:r>
          </w:p>
          <w:p w14:paraId="632C4E8A">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（填是或者否）</w:t>
            </w:r>
          </w:p>
        </w:tc>
        <w:tc>
          <w:tcPr>
            <w:tcW w:w="922" w:type="pct"/>
            <w:tcBorders>
              <w:top w:val="single" w:color="auto" w:sz="4" w:space="0"/>
              <w:left w:val="single" w:color="auto" w:sz="4" w:space="0"/>
              <w:bottom w:val="single" w:color="auto" w:sz="4" w:space="0"/>
              <w:right w:val="single" w:color="auto" w:sz="4" w:space="0"/>
            </w:tcBorders>
            <w:vAlign w:val="center"/>
          </w:tcPr>
          <w:p w14:paraId="38561DB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响应文件中的</w:t>
            </w:r>
          </w:p>
          <w:p w14:paraId="3A940953">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页码位置</w:t>
            </w:r>
          </w:p>
        </w:tc>
      </w:tr>
      <w:tr w14:paraId="63B9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204544FB">
            <w:pPr>
              <w:adjustRightInd w:val="0"/>
              <w:snapToGrid w:val="0"/>
              <w:spacing w:line="360" w:lineRule="auto"/>
              <w:jc w:val="center"/>
              <w:rPr>
                <w:rFonts w:ascii="宋体" w:hAnsi="宋体" w:cs="宋体"/>
                <w:b/>
                <w:i/>
                <w:color w:val="auto"/>
                <w:szCs w:val="21"/>
                <w:highlight w:val="none"/>
                <w:u w:val="single"/>
              </w:rPr>
            </w:pPr>
            <w:r>
              <w:rPr>
                <w:rFonts w:hint="eastAsia" w:ascii="宋体" w:hAnsi="宋体" w:cs="宋体"/>
                <w:bCs/>
                <w:i/>
                <w:color w:val="auto"/>
                <w:szCs w:val="21"/>
                <w:highlight w:val="none"/>
                <w:u w:val="single"/>
              </w:rPr>
              <w:t>1</w:t>
            </w:r>
          </w:p>
        </w:tc>
        <w:tc>
          <w:tcPr>
            <w:tcW w:w="2773" w:type="pct"/>
            <w:tcBorders>
              <w:top w:val="single" w:color="auto" w:sz="4" w:space="0"/>
              <w:left w:val="single" w:color="auto" w:sz="4" w:space="0"/>
              <w:bottom w:val="single" w:color="auto" w:sz="4" w:space="0"/>
              <w:right w:val="single" w:color="auto" w:sz="4" w:space="0"/>
            </w:tcBorders>
            <w:vAlign w:val="center"/>
          </w:tcPr>
          <w:p w14:paraId="39EDFC3A">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1DDB858D">
            <w:pPr>
              <w:adjustRightInd w:val="0"/>
              <w:snapToGrid w:val="0"/>
              <w:spacing w:line="360" w:lineRule="auto"/>
              <w:jc w:val="center"/>
              <w:rPr>
                <w:rFonts w:ascii="宋体" w:hAnsi="宋体" w:cs="宋体"/>
                <w:b/>
                <w:color w:val="auto"/>
                <w:szCs w:val="21"/>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2DEA4629">
            <w:pPr>
              <w:adjustRightInd w:val="0"/>
              <w:snapToGrid w:val="0"/>
              <w:spacing w:line="360" w:lineRule="auto"/>
              <w:jc w:val="center"/>
              <w:rPr>
                <w:rFonts w:ascii="宋体" w:hAnsi="宋体" w:cs="宋体"/>
                <w:b/>
                <w:color w:val="auto"/>
                <w:szCs w:val="21"/>
                <w:highlight w:val="none"/>
              </w:rPr>
            </w:pPr>
          </w:p>
        </w:tc>
      </w:tr>
      <w:tr w14:paraId="0EAA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323C8CB0">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2</w:t>
            </w:r>
          </w:p>
        </w:tc>
        <w:tc>
          <w:tcPr>
            <w:tcW w:w="2773" w:type="pct"/>
            <w:tcBorders>
              <w:top w:val="single" w:color="auto" w:sz="4" w:space="0"/>
              <w:left w:val="single" w:color="auto" w:sz="4" w:space="0"/>
              <w:bottom w:val="single" w:color="auto" w:sz="4" w:space="0"/>
              <w:right w:val="single" w:color="auto" w:sz="4" w:space="0"/>
            </w:tcBorders>
            <w:vAlign w:val="center"/>
          </w:tcPr>
          <w:p w14:paraId="12AF6FD4">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4237CE3F">
            <w:pPr>
              <w:adjustRightInd w:val="0"/>
              <w:snapToGrid w:val="0"/>
              <w:spacing w:line="360" w:lineRule="auto"/>
              <w:jc w:val="center"/>
              <w:rPr>
                <w:rFonts w:ascii="宋体" w:hAnsi="宋体" w:cs="宋体"/>
                <w:color w:val="auto"/>
                <w:szCs w:val="21"/>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4EF2C1B5">
            <w:pPr>
              <w:adjustRightInd w:val="0"/>
              <w:snapToGrid w:val="0"/>
              <w:spacing w:line="360" w:lineRule="auto"/>
              <w:jc w:val="center"/>
              <w:rPr>
                <w:rFonts w:ascii="宋体" w:hAnsi="宋体" w:cs="宋体"/>
                <w:color w:val="auto"/>
                <w:szCs w:val="21"/>
                <w:highlight w:val="none"/>
              </w:rPr>
            </w:pPr>
          </w:p>
        </w:tc>
      </w:tr>
      <w:tr w14:paraId="58B3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62297ADF">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3</w:t>
            </w:r>
          </w:p>
        </w:tc>
        <w:tc>
          <w:tcPr>
            <w:tcW w:w="2773" w:type="pct"/>
            <w:tcBorders>
              <w:top w:val="single" w:color="auto" w:sz="4" w:space="0"/>
              <w:left w:val="single" w:color="auto" w:sz="4" w:space="0"/>
              <w:bottom w:val="single" w:color="auto" w:sz="4" w:space="0"/>
              <w:right w:val="single" w:color="auto" w:sz="4" w:space="0"/>
            </w:tcBorders>
            <w:vAlign w:val="center"/>
          </w:tcPr>
          <w:p w14:paraId="47A0F0A9">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7660FC5E">
            <w:pPr>
              <w:adjustRightInd w:val="0"/>
              <w:snapToGrid w:val="0"/>
              <w:spacing w:line="360" w:lineRule="auto"/>
              <w:jc w:val="center"/>
              <w:rPr>
                <w:rFonts w:ascii="宋体" w:hAnsi="宋体" w:cs="宋体"/>
                <w:color w:val="auto"/>
                <w:szCs w:val="21"/>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50D48BC4">
            <w:pPr>
              <w:adjustRightInd w:val="0"/>
              <w:snapToGrid w:val="0"/>
              <w:spacing w:line="360" w:lineRule="auto"/>
              <w:jc w:val="center"/>
              <w:rPr>
                <w:rFonts w:ascii="宋体" w:hAnsi="宋体" w:cs="宋体"/>
                <w:color w:val="auto"/>
                <w:szCs w:val="21"/>
                <w:highlight w:val="none"/>
              </w:rPr>
            </w:pPr>
          </w:p>
        </w:tc>
      </w:tr>
      <w:tr w14:paraId="7A5A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097C94C2">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4</w:t>
            </w:r>
          </w:p>
        </w:tc>
        <w:tc>
          <w:tcPr>
            <w:tcW w:w="2773" w:type="pct"/>
            <w:tcBorders>
              <w:top w:val="single" w:color="auto" w:sz="4" w:space="0"/>
              <w:left w:val="single" w:color="auto" w:sz="4" w:space="0"/>
              <w:bottom w:val="single" w:color="auto" w:sz="4" w:space="0"/>
              <w:right w:val="single" w:color="auto" w:sz="4" w:space="0"/>
            </w:tcBorders>
            <w:vAlign w:val="center"/>
          </w:tcPr>
          <w:p w14:paraId="538184B3">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74994688">
            <w:pPr>
              <w:adjustRightInd w:val="0"/>
              <w:snapToGrid w:val="0"/>
              <w:spacing w:line="360" w:lineRule="auto"/>
              <w:jc w:val="center"/>
              <w:rPr>
                <w:rFonts w:ascii="宋体" w:hAnsi="宋体" w:cs="宋体"/>
                <w:color w:val="auto"/>
                <w:szCs w:val="21"/>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008BA511">
            <w:pPr>
              <w:adjustRightInd w:val="0"/>
              <w:snapToGrid w:val="0"/>
              <w:spacing w:line="360" w:lineRule="auto"/>
              <w:jc w:val="center"/>
              <w:rPr>
                <w:rFonts w:ascii="宋体" w:hAnsi="宋体" w:cs="宋体"/>
                <w:color w:val="auto"/>
                <w:szCs w:val="21"/>
                <w:highlight w:val="none"/>
              </w:rPr>
            </w:pPr>
          </w:p>
        </w:tc>
      </w:tr>
      <w:tr w14:paraId="038E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613C7EC4">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5</w:t>
            </w:r>
          </w:p>
        </w:tc>
        <w:tc>
          <w:tcPr>
            <w:tcW w:w="2773" w:type="pct"/>
            <w:tcBorders>
              <w:top w:val="single" w:color="auto" w:sz="4" w:space="0"/>
              <w:left w:val="single" w:color="auto" w:sz="4" w:space="0"/>
              <w:bottom w:val="single" w:color="auto" w:sz="4" w:space="0"/>
              <w:right w:val="single" w:color="auto" w:sz="4" w:space="0"/>
            </w:tcBorders>
            <w:vAlign w:val="center"/>
          </w:tcPr>
          <w:p w14:paraId="2C842F5C">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32B4B62F">
            <w:pPr>
              <w:adjustRightInd w:val="0"/>
              <w:snapToGrid w:val="0"/>
              <w:spacing w:line="360" w:lineRule="auto"/>
              <w:jc w:val="center"/>
              <w:rPr>
                <w:rFonts w:ascii="宋体" w:hAnsi="宋体" w:cs="宋体"/>
                <w:color w:val="auto"/>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64B5A656">
            <w:pPr>
              <w:adjustRightInd w:val="0"/>
              <w:snapToGrid w:val="0"/>
              <w:spacing w:line="360" w:lineRule="auto"/>
              <w:jc w:val="center"/>
              <w:rPr>
                <w:rFonts w:ascii="宋体" w:hAnsi="宋体" w:cs="宋体"/>
                <w:color w:val="auto"/>
                <w:highlight w:val="none"/>
              </w:rPr>
            </w:pPr>
          </w:p>
        </w:tc>
      </w:tr>
      <w:tr w14:paraId="4BC3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79F56D75">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6</w:t>
            </w:r>
          </w:p>
        </w:tc>
        <w:tc>
          <w:tcPr>
            <w:tcW w:w="2773" w:type="pct"/>
            <w:tcBorders>
              <w:top w:val="single" w:color="auto" w:sz="4" w:space="0"/>
              <w:left w:val="single" w:color="auto" w:sz="4" w:space="0"/>
              <w:bottom w:val="single" w:color="auto" w:sz="4" w:space="0"/>
              <w:right w:val="single" w:color="auto" w:sz="4" w:space="0"/>
            </w:tcBorders>
            <w:vAlign w:val="center"/>
          </w:tcPr>
          <w:p w14:paraId="7927295C">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2CA767A0">
            <w:pPr>
              <w:adjustRightInd w:val="0"/>
              <w:snapToGrid w:val="0"/>
              <w:spacing w:line="360" w:lineRule="auto"/>
              <w:jc w:val="center"/>
              <w:rPr>
                <w:rFonts w:ascii="宋体" w:hAnsi="宋体" w:cs="宋体"/>
                <w:color w:val="auto"/>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7180EF48">
            <w:pPr>
              <w:adjustRightInd w:val="0"/>
              <w:snapToGrid w:val="0"/>
              <w:spacing w:line="360" w:lineRule="auto"/>
              <w:jc w:val="center"/>
              <w:rPr>
                <w:rFonts w:ascii="宋体" w:hAnsi="宋体" w:cs="宋体"/>
                <w:color w:val="auto"/>
                <w:highlight w:val="none"/>
              </w:rPr>
            </w:pPr>
          </w:p>
        </w:tc>
      </w:tr>
      <w:tr w14:paraId="0118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63F0A8B9">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7</w:t>
            </w:r>
          </w:p>
        </w:tc>
        <w:tc>
          <w:tcPr>
            <w:tcW w:w="2773" w:type="pct"/>
            <w:tcBorders>
              <w:top w:val="single" w:color="auto" w:sz="4" w:space="0"/>
              <w:left w:val="single" w:color="auto" w:sz="4" w:space="0"/>
              <w:bottom w:val="single" w:color="auto" w:sz="4" w:space="0"/>
              <w:right w:val="single" w:color="auto" w:sz="4" w:space="0"/>
            </w:tcBorders>
            <w:vAlign w:val="center"/>
          </w:tcPr>
          <w:p w14:paraId="634F08D3">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2AACE49F">
            <w:pPr>
              <w:adjustRightInd w:val="0"/>
              <w:snapToGrid w:val="0"/>
              <w:spacing w:line="360" w:lineRule="auto"/>
              <w:jc w:val="center"/>
              <w:rPr>
                <w:rFonts w:ascii="宋体" w:hAnsi="宋体" w:cs="宋体"/>
                <w:color w:val="auto"/>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450D145B">
            <w:pPr>
              <w:adjustRightInd w:val="0"/>
              <w:snapToGrid w:val="0"/>
              <w:spacing w:line="360" w:lineRule="auto"/>
              <w:jc w:val="center"/>
              <w:rPr>
                <w:rFonts w:ascii="宋体" w:hAnsi="宋体" w:cs="宋体"/>
                <w:color w:val="auto"/>
                <w:highlight w:val="none"/>
              </w:rPr>
            </w:pPr>
          </w:p>
        </w:tc>
      </w:tr>
      <w:tr w14:paraId="3087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6B02C4F3">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8</w:t>
            </w:r>
          </w:p>
        </w:tc>
        <w:tc>
          <w:tcPr>
            <w:tcW w:w="2773" w:type="pct"/>
            <w:tcBorders>
              <w:top w:val="single" w:color="auto" w:sz="4" w:space="0"/>
              <w:left w:val="single" w:color="auto" w:sz="4" w:space="0"/>
              <w:bottom w:val="single" w:color="auto" w:sz="4" w:space="0"/>
              <w:right w:val="single" w:color="auto" w:sz="4" w:space="0"/>
            </w:tcBorders>
            <w:vAlign w:val="center"/>
          </w:tcPr>
          <w:p w14:paraId="2C526C40">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6D6A68A8">
            <w:pPr>
              <w:adjustRightInd w:val="0"/>
              <w:snapToGrid w:val="0"/>
              <w:spacing w:line="360" w:lineRule="auto"/>
              <w:jc w:val="center"/>
              <w:rPr>
                <w:rFonts w:ascii="宋体" w:hAnsi="宋体" w:cs="宋体"/>
                <w:color w:val="auto"/>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7DA86025">
            <w:pPr>
              <w:adjustRightInd w:val="0"/>
              <w:snapToGrid w:val="0"/>
              <w:spacing w:line="360" w:lineRule="auto"/>
              <w:jc w:val="center"/>
              <w:rPr>
                <w:rFonts w:ascii="宋体" w:hAnsi="宋体" w:cs="宋体"/>
                <w:color w:val="auto"/>
                <w:highlight w:val="none"/>
              </w:rPr>
            </w:pPr>
          </w:p>
        </w:tc>
      </w:tr>
      <w:tr w14:paraId="1EFD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6F764148">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9</w:t>
            </w:r>
          </w:p>
        </w:tc>
        <w:tc>
          <w:tcPr>
            <w:tcW w:w="2773" w:type="pct"/>
            <w:tcBorders>
              <w:top w:val="single" w:color="auto" w:sz="4" w:space="0"/>
              <w:left w:val="single" w:color="auto" w:sz="4" w:space="0"/>
              <w:bottom w:val="single" w:color="auto" w:sz="4" w:space="0"/>
              <w:right w:val="single" w:color="auto" w:sz="4" w:space="0"/>
            </w:tcBorders>
            <w:vAlign w:val="center"/>
          </w:tcPr>
          <w:p w14:paraId="76C74EEF">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1C0F6F35">
            <w:pPr>
              <w:adjustRightInd w:val="0"/>
              <w:snapToGrid w:val="0"/>
              <w:spacing w:line="360" w:lineRule="auto"/>
              <w:jc w:val="center"/>
              <w:rPr>
                <w:rFonts w:ascii="宋体" w:hAnsi="宋体" w:cs="宋体"/>
                <w:color w:val="auto"/>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3D78165C">
            <w:pPr>
              <w:adjustRightInd w:val="0"/>
              <w:snapToGrid w:val="0"/>
              <w:spacing w:line="360" w:lineRule="auto"/>
              <w:jc w:val="center"/>
              <w:rPr>
                <w:rFonts w:ascii="宋体" w:hAnsi="宋体" w:cs="宋体"/>
                <w:color w:val="auto"/>
                <w:highlight w:val="none"/>
              </w:rPr>
            </w:pPr>
          </w:p>
        </w:tc>
      </w:tr>
      <w:tr w14:paraId="7655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21ACFF09">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10</w:t>
            </w:r>
          </w:p>
        </w:tc>
        <w:tc>
          <w:tcPr>
            <w:tcW w:w="2773" w:type="pct"/>
            <w:tcBorders>
              <w:top w:val="single" w:color="auto" w:sz="4" w:space="0"/>
              <w:left w:val="single" w:color="auto" w:sz="4" w:space="0"/>
              <w:bottom w:val="single" w:color="auto" w:sz="4" w:space="0"/>
              <w:right w:val="single" w:color="auto" w:sz="4" w:space="0"/>
            </w:tcBorders>
            <w:vAlign w:val="center"/>
          </w:tcPr>
          <w:p w14:paraId="0FB01C52">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2EDD8B0C">
            <w:pPr>
              <w:adjustRightInd w:val="0"/>
              <w:snapToGrid w:val="0"/>
              <w:spacing w:line="360" w:lineRule="auto"/>
              <w:jc w:val="center"/>
              <w:rPr>
                <w:rFonts w:ascii="宋体" w:hAnsi="宋体" w:cs="宋体"/>
                <w:color w:val="auto"/>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483A28A3">
            <w:pPr>
              <w:adjustRightInd w:val="0"/>
              <w:snapToGrid w:val="0"/>
              <w:spacing w:line="360" w:lineRule="auto"/>
              <w:jc w:val="center"/>
              <w:rPr>
                <w:rFonts w:ascii="宋体" w:hAnsi="宋体" w:cs="宋体"/>
                <w:color w:val="auto"/>
                <w:highlight w:val="none"/>
              </w:rPr>
            </w:pPr>
          </w:p>
        </w:tc>
      </w:tr>
      <w:tr w14:paraId="3FF5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50FA3BB9">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11</w:t>
            </w:r>
          </w:p>
        </w:tc>
        <w:tc>
          <w:tcPr>
            <w:tcW w:w="2773" w:type="pct"/>
            <w:tcBorders>
              <w:top w:val="single" w:color="auto" w:sz="4" w:space="0"/>
              <w:left w:val="single" w:color="auto" w:sz="4" w:space="0"/>
              <w:bottom w:val="single" w:color="auto" w:sz="4" w:space="0"/>
              <w:right w:val="single" w:color="auto" w:sz="4" w:space="0"/>
            </w:tcBorders>
            <w:vAlign w:val="center"/>
          </w:tcPr>
          <w:p w14:paraId="3BBAE621">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3A3886BF">
            <w:pPr>
              <w:adjustRightInd w:val="0"/>
              <w:snapToGrid w:val="0"/>
              <w:spacing w:line="360" w:lineRule="auto"/>
              <w:jc w:val="center"/>
              <w:rPr>
                <w:rFonts w:ascii="宋体" w:hAnsi="宋体" w:cs="宋体"/>
                <w:color w:val="auto"/>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17F5CDA8">
            <w:pPr>
              <w:adjustRightInd w:val="0"/>
              <w:snapToGrid w:val="0"/>
              <w:spacing w:line="360" w:lineRule="auto"/>
              <w:jc w:val="center"/>
              <w:rPr>
                <w:rFonts w:ascii="宋体" w:hAnsi="宋体" w:cs="宋体"/>
                <w:color w:val="auto"/>
                <w:highlight w:val="none"/>
              </w:rPr>
            </w:pPr>
          </w:p>
        </w:tc>
      </w:tr>
      <w:tr w14:paraId="370D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4FCE0F55">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12</w:t>
            </w:r>
          </w:p>
        </w:tc>
        <w:tc>
          <w:tcPr>
            <w:tcW w:w="2773" w:type="pct"/>
            <w:tcBorders>
              <w:top w:val="single" w:color="auto" w:sz="4" w:space="0"/>
              <w:left w:val="single" w:color="auto" w:sz="4" w:space="0"/>
              <w:bottom w:val="single" w:color="auto" w:sz="4" w:space="0"/>
              <w:right w:val="single" w:color="auto" w:sz="4" w:space="0"/>
            </w:tcBorders>
            <w:vAlign w:val="center"/>
          </w:tcPr>
          <w:p w14:paraId="3E4DACA4">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220ADFB1">
            <w:pPr>
              <w:adjustRightInd w:val="0"/>
              <w:snapToGrid w:val="0"/>
              <w:spacing w:line="360" w:lineRule="auto"/>
              <w:jc w:val="center"/>
              <w:rPr>
                <w:rFonts w:ascii="宋体" w:hAnsi="宋体" w:cs="宋体"/>
                <w:color w:val="auto"/>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0470308D">
            <w:pPr>
              <w:adjustRightInd w:val="0"/>
              <w:snapToGrid w:val="0"/>
              <w:spacing w:line="360" w:lineRule="auto"/>
              <w:jc w:val="center"/>
              <w:rPr>
                <w:rFonts w:ascii="宋体" w:hAnsi="宋体" w:cs="宋体"/>
                <w:color w:val="auto"/>
                <w:highlight w:val="none"/>
              </w:rPr>
            </w:pPr>
          </w:p>
        </w:tc>
      </w:tr>
      <w:tr w14:paraId="691A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6CB6981C">
            <w:pPr>
              <w:adjustRightInd w:val="0"/>
              <w:snapToGrid w:val="0"/>
              <w:spacing w:line="360" w:lineRule="auto"/>
              <w:jc w:val="center"/>
              <w:rPr>
                <w:rFonts w:ascii="宋体" w:hAnsi="宋体" w:cs="宋体"/>
                <w:i/>
                <w:color w:val="auto"/>
                <w:szCs w:val="21"/>
                <w:highlight w:val="none"/>
                <w:u w:val="single"/>
              </w:rPr>
            </w:pPr>
            <w:r>
              <w:rPr>
                <w:rFonts w:hint="eastAsia" w:ascii="宋体" w:hAnsi="宋体" w:cs="宋体"/>
                <w:i/>
                <w:color w:val="auto"/>
                <w:szCs w:val="21"/>
                <w:highlight w:val="none"/>
                <w:u w:val="single"/>
              </w:rPr>
              <w:t>13</w:t>
            </w:r>
          </w:p>
        </w:tc>
        <w:tc>
          <w:tcPr>
            <w:tcW w:w="2773" w:type="pct"/>
            <w:tcBorders>
              <w:top w:val="single" w:color="auto" w:sz="4" w:space="0"/>
              <w:left w:val="single" w:color="auto" w:sz="4" w:space="0"/>
              <w:bottom w:val="single" w:color="auto" w:sz="4" w:space="0"/>
              <w:right w:val="single" w:color="auto" w:sz="4" w:space="0"/>
            </w:tcBorders>
            <w:vAlign w:val="center"/>
          </w:tcPr>
          <w:p w14:paraId="6B941E29">
            <w:pPr>
              <w:adjustRightInd w:val="0"/>
              <w:snapToGrid w:val="0"/>
              <w:spacing w:line="360" w:lineRule="auto"/>
              <w:jc w:val="center"/>
              <w:rPr>
                <w:rFonts w:ascii="宋体" w:hAnsi="宋体" w:cs="宋体"/>
                <w:i/>
                <w:iCs/>
                <w:color w:val="auto"/>
                <w:szCs w:val="21"/>
                <w:highlight w:val="none"/>
                <w:u w:val="single"/>
              </w:rPr>
            </w:pPr>
          </w:p>
        </w:tc>
        <w:tc>
          <w:tcPr>
            <w:tcW w:w="944" w:type="pct"/>
            <w:tcBorders>
              <w:top w:val="single" w:color="auto" w:sz="4" w:space="0"/>
              <w:left w:val="single" w:color="auto" w:sz="4" w:space="0"/>
              <w:bottom w:val="single" w:color="auto" w:sz="4" w:space="0"/>
              <w:right w:val="single" w:color="auto" w:sz="4" w:space="0"/>
            </w:tcBorders>
            <w:vAlign w:val="center"/>
          </w:tcPr>
          <w:p w14:paraId="27CDBA4C">
            <w:pPr>
              <w:adjustRightInd w:val="0"/>
              <w:snapToGrid w:val="0"/>
              <w:spacing w:line="360" w:lineRule="auto"/>
              <w:jc w:val="center"/>
              <w:rPr>
                <w:rFonts w:ascii="宋体" w:hAnsi="宋体" w:cs="宋体"/>
                <w:color w:val="auto"/>
                <w:highlight w:val="none"/>
              </w:rPr>
            </w:pPr>
          </w:p>
        </w:tc>
        <w:tc>
          <w:tcPr>
            <w:tcW w:w="922" w:type="pct"/>
            <w:tcBorders>
              <w:top w:val="single" w:color="auto" w:sz="4" w:space="0"/>
              <w:left w:val="single" w:color="auto" w:sz="4" w:space="0"/>
              <w:bottom w:val="single" w:color="auto" w:sz="4" w:space="0"/>
              <w:right w:val="single" w:color="auto" w:sz="4" w:space="0"/>
            </w:tcBorders>
            <w:vAlign w:val="center"/>
          </w:tcPr>
          <w:p w14:paraId="7B6AA0AF">
            <w:pPr>
              <w:adjustRightInd w:val="0"/>
              <w:snapToGrid w:val="0"/>
              <w:spacing w:line="360" w:lineRule="auto"/>
              <w:jc w:val="center"/>
              <w:rPr>
                <w:rFonts w:ascii="宋体" w:hAnsi="宋体" w:cs="宋体"/>
                <w:color w:val="auto"/>
                <w:highlight w:val="none"/>
              </w:rPr>
            </w:pPr>
          </w:p>
        </w:tc>
      </w:tr>
    </w:tbl>
    <w:p w14:paraId="217A13A5">
      <w:pPr>
        <w:spacing w:line="360" w:lineRule="auto"/>
        <w:rPr>
          <w:rFonts w:ascii="宋体" w:hAnsi="宋体" w:cs="宋体"/>
          <w:color w:val="auto"/>
          <w:szCs w:val="21"/>
          <w:highlight w:val="none"/>
        </w:rPr>
      </w:pPr>
    </w:p>
    <w:p w14:paraId="74F57B16">
      <w:pPr>
        <w:spacing w:line="360" w:lineRule="auto"/>
        <w:rPr>
          <w:rFonts w:ascii="宋体" w:hAnsi="宋体" w:cs="宋体"/>
          <w:color w:val="auto"/>
          <w:szCs w:val="21"/>
          <w:highlight w:val="none"/>
        </w:rPr>
      </w:pPr>
    </w:p>
    <w:p w14:paraId="1A947804">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EEE2983">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二、资信证明文件要求</w:t>
      </w:r>
    </w:p>
    <w:p w14:paraId="46BFEE3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1、符合相关规定的条件，并提供下列材料：</w:t>
      </w:r>
    </w:p>
    <w:p w14:paraId="50868A6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i/>
          <w:color w:val="auto"/>
          <w:szCs w:val="21"/>
          <w:highlight w:val="none"/>
        </w:rPr>
        <w:t>（1）</w:t>
      </w:r>
      <w:r>
        <w:rPr>
          <w:rFonts w:hint="eastAsia" w:ascii="宋体" w:hAnsi="宋体" w:cs="宋体"/>
          <w:i/>
          <w:color w:val="auto"/>
          <w:szCs w:val="21"/>
          <w:highlight w:val="none"/>
          <w:u w:val="single"/>
        </w:rPr>
        <w:t>磋商响应函</w:t>
      </w:r>
      <w:r>
        <w:rPr>
          <w:rFonts w:hint="eastAsia" w:ascii="宋体" w:hAnsi="宋体" w:cs="宋体"/>
          <w:b/>
          <w:i/>
          <w:color w:val="auto"/>
          <w:szCs w:val="21"/>
          <w:highlight w:val="none"/>
          <w:u w:val="single"/>
        </w:rPr>
        <w:t>(原件)；</w:t>
      </w:r>
    </w:p>
    <w:p w14:paraId="659970AF">
      <w:pPr>
        <w:adjustRightInd w:val="0"/>
        <w:snapToGrid w:val="0"/>
        <w:spacing w:line="360" w:lineRule="auto"/>
        <w:ind w:firstLine="420" w:firstLineChars="200"/>
        <w:jc w:val="left"/>
        <w:rPr>
          <w:rFonts w:ascii="宋体" w:hAnsi="宋体" w:cs="宋体"/>
          <w:i/>
          <w:color w:val="auto"/>
          <w:szCs w:val="21"/>
          <w:highlight w:val="none"/>
          <w:u w:val="single"/>
        </w:rPr>
      </w:pPr>
      <w:r>
        <w:rPr>
          <w:rFonts w:hint="eastAsia" w:ascii="宋体" w:hAnsi="宋体" w:cs="宋体"/>
          <w:i/>
          <w:color w:val="auto"/>
          <w:szCs w:val="21"/>
          <w:highlight w:val="none"/>
        </w:rPr>
        <w:t>（2）</w:t>
      </w:r>
      <w:r>
        <w:rPr>
          <w:rFonts w:hint="eastAsia" w:ascii="宋体" w:hAnsi="宋体" w:cs="宋体"/>
          <w:i/>
          <w:color w:val="auto"/>
          <w:szCs w:val="21"/>
          <w:highlight w:val="none"/>
          <w:u w:val="single"/>
        </w:rPr>
        <w:t>资格声明</w:t>
      </w:r>
      <w:r>
        <w:rPr>
          <w:rFonts w:hint="eastAsia" w:ascii="宋体" w:hAnsi="宋体" w:cs="宋体"/>
          <w:b/>
          <w:i/>
          <w:color w:val="auto"/>
          <w:szCs w:val="21"/>
          <w:highlight w:val="none"/>
          <w:u w:val="single"/>
        </w:rPr>
        <w:t>(原件)；</w:t>
      </w:r>
    </w:p>
    <w:p w14:paraId="5BD9399E">
      <w:pPr>
        <w:adjustRightInd w:val="0"/>
        <w:snapToGrid w:val="0"/>
        <w:spacing w:line="360" w:lineRule="auto"/>
        <w:ind w:firstLine="420" w:firstLineChars="200"/>
        <w:jc w:val="left"/>
        <w:rPr>
          <w:rFonts w:ascii="宋体" w:hAnsi="宋体" w:cs="宋体"/>
          <w:bCs/>
          <w:i/>
          <w:color w:val="auto"/>
          <w:szCs w:val="21"/>
          <w:highlight w:val="none"/>
          <w:u w:val="single"/>
        </w:rPr>
      </w:pPr>
      <w:r>
        <w:rPr>
          <w:rFonts w:hint="eastAsia" w:ascii="宋体" w:hAnsi="宋体" w:cs="宋体"/>
          <w:i/>
          <w:color w:val="auto"/>
          <w:szCs w:val="21"/>
          <w:highlight w:val="none"/>
        </w:rPr>
        <w:t>（3）</w:t>
      </w:r>
      <w:r>
        <w:rPr>
          <w:rFonts w:hint="eastAsia" w:ascii="宋体" w:hAnsi="宋体" w:cs="宋体"/>
          <w:i/>
          <w:color w:val="auto"/>
          <w:szCs w:val="21"/>
          <w:highlight w:val="none"/>
          <w:u w:val="single"/>
        </w:rPr>
        <w:t>若法定代表人参加磋商的，须提供本人身份证复印件加盖供应商公章(原件备查)；若授权代表参加的，须提供《法人授权书》原件和授权代表身份证复印件加盖供应商公章（原件备查）；</w:t>
      </w:r>
    </w:p>
    <w:p w14:paraId="7AB51AF4">
      <w:pPr>
        <w:adjustRightInd w:val="0"/>
        <w:snapToGrid w:val="0"/>
        <w:spacing w:line="360" w:lineRule="auto"/>
        <w:ind w:firstLine="420" w:firstLineChars="200"/>
        <w:jc w:val="left"/>
        <w:rPr>
          <w:rFonts w:ascii="宋体" w:hAnsi="宋体" w:cs="宋体"/>
          <w:i/>
          <w:color w:val="auto"/>
          <w:szCs w:val="21"/>
          <w:highlight w:val="none"/>
          <w:u w:val="single"/>
        </w:rPr>
      </w:pPr>
      <w:r>
        <w:rPr>
          <w:rFonts w:hint="eastAsia" w:ascii="宋体" w:hAnsi="宋体" w:cs="宋体"/>
          <w:i/>
          <w:color w:val="auto"/>
          <w:szCs w:val="21"/>
          <w:highlight w:val="none"/>
        </w:rPr>
        <w:t>（4）</w:t>
      </w:r>
      <w:r>
        <w:rPr>
          <w:rFonts w:hint="eastAsia" w:ascii="宋体" w:hAnsi="宋体" w:cs="宋体"/>
          <w:i/>
          <w:color w:val="auto"/>
          <w:szCs w:val="21"/>
          <w:highlight w:val="none"/>
          <w:u w:val="single"/>
        </w:rPr>
        <w:t>营业执照副本</w:t>
      </w:r>
      <w:r>
        <w:rPr>
          <w:rFonts w:hint="eastAsia" w:ascii="宋体" w:hAnsi="宋体" w:cs="宋体"/>
          <w:b/>
          <w:bCs/>
          <w:i/>
          <w:color w:val="auto"/>
          <w:szCs w:val="21"/>
          <w:highlight w:val="none"/>
          <w:u w:val="single"/>
        </w:rPr>
        <w:t>（</w:t>
      </w:r>
      <w:r>
        <w:rPr>
          <w:rFonts w:hint="eastAsia" w:ascii="宋体" w:hAnsi="宋体" w:cs="宋体"/>
          <w:b/>
          <w:i/>
          <w:color w:val="auto"/>
          <w:szCs w:val="21"/>
          <w:highlight w:val="none"/>
          <w:u w:val="single"/>
        </w:rPr>
        <w:t>复印件加盖供应商公章)；</w:t>
      </w:r>
    </w:p>
    <w:p w14:paraId="18E8E593">
      <w:pPr>
        <w:adjustRightInd w:val="0"/>
        <w:snapToGrid w:val="0"/>
        <w:spacing w:line="360" w:lineRule="auto"/>
        <w:ind w:firstLine="420" w:firstLineChars="200"/>
        <w:jc w:val="left"/>
        <w:rPr>
          <w:rFonts w:ascii="宋体" w:hAnsi="宋体" w:cs="宋体"/>
          <w:b/>
          <w:bCs/>
          <w:i/>
          <w:color w:val="auto"/>
          <w:szCs w:val="21"/>
          <w:highlight w:val="none"/>
          <w:u w:val="single"/>
        </w:rPr>
      </w:pPr>
      <w:r>
        <w:rPr>
          <w:rFonts w:hint="eastAsia" w:ascii="宋体" w:hAnsi="宋体" w:cs="宋体"/>
          <w:i/>
          <w:color w:val="auto"/>
          <w:szCs w:val="21"/>
          <w:highlight w:val="none"/>
        </w:rPr>
        <w:t>（5）</w:t>
      </w:r>
      <w:r>
        <w:rPr>
          <w:rFonts w:hint="eastAsia" w:ascii="宋体" w:hAnsi="宋体" w:cs="宋体"/>
          <w:i/>
          <w:color w:val="auto"/>
          <w:szCs w:val="21"/>
          <w:highlight w:val="none"/>
          <w:u w:val="single"/>
        </w:rPr>
        <w:t>依法缴纳职工社会保障资金的证明材料</w:t>
      </w:r>
      <w:r>
        <w:rPr>
          <w:rFonts w:hint="eastAsia" w:ascii="宋体" w:hAnsi="宋体" w:cs="宋体"/>
          <w:b/>
          <w:i/>
          <w:color w:val="auto"/>
          <w:szCs w:val="21"/>
          <w:highlight w:val="none"/>
          <w:u w:val="single"/>
        </w:rPr>
        <w:t>(复印件加盖供应商公章)</w:t>
      </w:r>
      <w:r>
        <w:rPr>
          <w:rFonts w:hint="eastAsia" w:ascii="宋体" w:hAnsi="宋体" w:cs="宋体"/>
          <w:b/>
          <w:bCs/>
          <w:i/>
          <w:color w:val="auto"/>
          <w:szCs w:val="21"/>
          <w:highlight w:val="none"/>
          <w:u w:val="single"/>
        </w:rPr>
        <w:t>(税务、银行或社会保险基金管理部门出具的近三个月内任意一个月</w:t>
      </w:r>
      <w:r>
        <w:rPr>
          <w:rFonts w:hint="eastAsia" w:ascii="宋体" w:hAnsi="宋体" w:cs="宋体"/>
          <w:b/>
          <w:bCs/>
          <w:i/>
          <w:iCs/>
          <w:color w:val="auto"/>
          <w:szCs w:val="21"/>
          <w:highlight w:val="none"/>
          <w:u w:val="single"/>
        </w:rPr>
        <w:t>（2025年5月-2025年7月）</w:t>
      </w:r>
      <w:r>
        <w:rPr>
          <w:rFonts w:hint="eastAsia" w:ascii="宋体" w:hAnsi="宋体" w:cs="宋体"/>
          <w:b/>
          <w:bCs/>
          <w:i/>
          <w:color w:val="auto"/>
          <w:szCs w:val="21"/>
          <w:highlight w:val="none"/>
          <w:u w:val="single"/>
        </w:rPr>
        <w:t>缴纳职工社会保障资金的缴款凭证或缴款证明) ；</w:t>
      </w:r>
    </w:p>
    <w:p w14:paraId="2742151C">
      <w:pPr>
        <w:adjustRightInd w:val="0"/>
        <w:snapToGrid w:val="0"/>
        <w:spacing w:line="360" w:lineRule="auto"/>
        <w:ind w:firstLine="396" w:firstLineChars="200"/>
        <w:jc w:val="left"/>
        <w:rPr>
          <w:rFonts w:ascii="宋体" w:hAnsi="宋体" w:cs="宋体"/>
          <w:b/>
          <w:i/>
          <w:color w:val="auto"/>
          <w:spacing w:val="-6"/>
          <w:szCs w:val="21"/>
          <w:highlight w:val="none"/>
          <w:u w:val="single"/>
        </w:rPr>
      </w:pPr>
      <w:r>
        <w:rPr>
          <w:rFonts w:hint="eastAsia" w:ascii="宋体" w:hAnsi="宋体" w:cs="宋体"/>
          <w:i/>
          <w:color w:val="auto"/>
          <w:spacing w:val="-6"/>
          <w:szCs w:val="21"/>
          <w:highlight w:val="none"/>
        </w:rPr>
        <w:t>（6）</w:t>
      </w:r>
      <w:r>
        <w:rPr>
          <w:rFonts w:hint="eastAsia" w:ascii="宋体" w:hAnsi="宋体" w:cs="宋体"/>
          <w:i/>
          <w:color w:val="auto"/>
          <w:spacing w:val="-6"/>
          <w:szCs w:val="21"/>
          <w:highlight w:val="none"/>
          <w:u w:val="single"/>
        </w:rPr>
        <w:t>供应商近</w:t>
      </w:r>
      <w:r>
        <w:rPr>
          <w:rFonts w:hint="eastAsia" w:ascii="宋体" w:hAnsi="宋体" w:cs="宋体"/>
          <w:b/>
          <w:bCs/>
          <w:i/>
          <w:color w:val="auto"/>
          <w:spacing w:val="-6"/>
          <w:szCs w:val="21"/>
          <w:highlight w:val="none"/>
          <w:u w:val="single"/>
        </w:rPr>
        <w:t>三个月</w:t>
      </w:r>
      <w:r>
        <w:rPr>
          <w:rFonts w:hint="eastAsia" w:ascii="宋体" w:hAnsi="宋体" w:cs="宋体"/>
          <w:b/>
          <w:bCs/>
          <w:i/>
          <w:color w:val="auto"/>
          <w:szCs w:val="21"/>
          <w:highlight w:val="none"/>
          <w:u w:val="single"/>
        </w:rPr>
        <w:t>内任意一个月</w:t>
      </w:r>
      <w:r>
        <w:rPr>
          <w:rFonts w:hint="eastAsia" w:ascii="宋体" w:hAnsi="宋体" w:cs="宋体"/>
          <w:b/>
          <w:bCs/>
          <w:i/>
          <w:iCs/>
          <w:color w:val="auto"/>
          <w:szCs w:val="21"/>
          <w:highlight w:val="none"/>
          <w:u w:val="single"/>
        </w:rPr>
        <w:t>（2025年5月-2025年7月）</w:t>
      </w:r>
      <w:r>
        <w:rPr>
          <w:rFonts w:hint="eastAsia" w:ascii="宋体" w:hAnsi="宋体" w:cs="宋体"/>
          <w:i/>
          <w:color w:val="auto"/>
          <w:spacing w:val="-6"/>
          <w:szCs w:val="21"/>
          <w:highlight w:val="none"/>
          <w:u w:val="single"/>
        </w:rPr>
        <w:t>依法纳税的缴款凭证</w:t>
      </w:r>
      <w:r>
        <w:rPr>
          <w:rFonts w:hint="eastAsia" w:ascii="宋体" w:hAnsi="宋体" w:cs="宋体"/>
          <w:b/>
          <w:i/>
          <w:color w:val="auto"/>
          <w:spacing w:val="-6"/>
          <w:szCs w:val="21"/>
          <w:highlight w:val="none"/>
          <w:u w:val="single"/>
        </w:rPr>
        <w:t>(复印件加盖</w:t>
      </w:r>
      <w:r>
        <w:rPr>
          <w:rFonts w:hint="eastAsia" w:ascii="宋体" w:hAnsi="宋体" w:cs="宋体"/>
          <w:b/>
          <w:i/>
          <w:color w:val="auto"/>
          <w:szCs w:val="21"/>
          <w:highlight w:val="none"/>
          <w:u w:val="single"/>
        </w:rPr>
        <w:t>供应商</w:t>
      </w:r>
      <w:r>
        <w:rPr>
          <w:rFonts w:hint="eastAsia" w:ascii="宋体" w:hAnsi="宋体" w:cs="宋体"/>
          <w:b/>
          <w:i/>
          <w:color w:val="auto"/>
          <w:spacing w:val="-6"/>
          <w:szCs w:val="21"/>
          <w:highlight w:val="none"/>
          <w:u w:val="single"/>
        </w:rPr>
        <w:t>公章)；</w:t>
      </w:r>
    </w:p>
    <w:p w14:paraId="6557F816">
      <w:pPr>
        <w:snapToGrid w:val="0"/>
        <w:spacing w:line="360" w:lineRule="auto"/>
        <w:ind w:firstLine="420" w:firstLineChars="200"/>
        <w:jc w:val="left"/>
        <w:rPr>
          <w:rFonts w:ascii="宋体" w:hAnsi="宋体" w:cs="宋体"/>
          <w:i/>
          <w:color w:val="auto"/>
          <w:kern w:val="0"/>
          <w:szCs w:val="21"/>
          <w:highlight w:val="none"/>
          <w:u w:val="single"/>
        </w:rPr>
      </w:pPr>
      <w:r>
        <w:rPr>
          <w:rFonts w:hint="eastAsia" w:ascii="宋体" w:hAnsi="宋体" w:cs="宋体"/>
          <w:i/>
          <w:color w:val="auto"/>
          <w:kern w:val="0"/>
          <w:szCs w:val="21"/>
          <w:highlight w:val="none"/>
        </w:rPr>
        <w:t>（7）</w:t>
      </w:r>
      <w:r>
        <w:rPr>
          <w:rFonts w:hint="eastAsia" w:ascii="宋体" w:hAnsi="宋体" w:cs="宋体"/>
          <w:i/>
          <w:color w:val="auto"/>
          <w:kern w:val="0"/>
          <w:szCs w:val="21"/>
          <w:highlight w:val="none"/>
          <w:u w:val="single"/>
        </w:rPr>
        <w:t>上一年度财务状况报告（成立不满一年不需提供）</w:t>
      </w:r>
      <w:r>
        <w:rPr>
          <w:rFonts w:hint="eastAsia" w:ascii="宋体" w:hAnsi="宋体" w:cs="宋体"/>
          <w:b/>
          <w:bCs/>
          <w:i/>
          <w:color w:val="auto"/>
          <w:kern w:val="0"/>
          <w:szCs w:val="21"/>
          <w:highlight w:val="none"/>
          <w:u w:val="single"/>
        </w:rPr>
        <w:t>(复印件加盖供应商公章)；</w:t>
      </w:r>
    </w:p>
    <w:p w14:paraId="79F72D88">
      <w:pPr>
        <w:adjustRightInd w:val="0"/>
        <w:snapToGrid w:val="0"/>
        <w:spacing w:line="360" w:lineRule="auto"/>
        <w:ind w:firstLine="396" w:firstLineChars="200"/>
        <w:jc w:val="left"/>
        <w:rPr>
          <w:rFonts w:ascii="宋体" w:hAnsi="宋体" w:cs="宋体"/>
          <w:b/>
          <w:bCs/>
          <w:i/>
          <w:color w:val="auto"/>
          <w:spacing w:val="-6"/>
          <w:szCs w:val="21"/>
          <w:highlight w:val="none"/>
          <w:u w:val="single"/>
        </w:rPr>
      </w:pPr>
      <w:r>
        <w:rPr>
          <w:rFonts w:hint="eastAsia" w:ascii="宋体" w:hAnsi="宋体" w:cs="宋体"/>
          <w:i/>
          <w:color w:val="auto"/>
          <w:spacing w:val="-6"/>
          <w:szCs w:val="21"/>
          <w:highlight w:val="none"/>
        </w:rPr>
        <w:t>（8）</w:t>
      </w:r>
      <w:r>
        <w:rPr>
          <w:rFonts w:hint="eastAsia" w:ascii="宋体" w:hAnsi="宋体" w:cs="宋体"/>
          <w:i/>
          <w:color w:val="auto"/>
          <w:spacing w:val="-6"/>
          <w:szCs w:val="21"/>
          <w:highlight w:val="none"/>
          <w:u w:val="single"/>
        </w:rPr>
        <w:t>供应商参加本次采购活动前3年内在经营活动中没有重大违法记录的书面声明</w:t>
      </w:r>
      <w:r>
        <w:rPr>
          <w:rFonts w:hint="eastAsia" w:ascii="宋体" w:hAnsi="宋体" w:cs="宋体"/>
          <w:b/>
          <w:bCs/>
          <w:i/>
          <w:color w:val="auto"/>
          <w:spacing w:val="-6"/>
          <w:szCs w:val="21"/>
          <w:highlight w:val="none"/>
          <w:u w:val="single"/>
        </w:rPr>
        <w:t>（原件）；</w:t>
      </w:r>
    </w:p>
    <w:p w14:paraId="72C681F4">
      <w:pPr>
        <w:adjustRightInd w:val="0"/>
        <w:snapToGrid w:val="0"/>
        <w:spacing w:line="360" w:lineRule="auto"/>
        <w:ind w:firstLine="420" w:firstLineChars="200"/>
        <w:rPr>
          <w:rFonts w:ascii="宋体" w:hAnsi="宋体" w:cs="宋体"/>
          <w:b/>
          <w:bCs/>
          <w:i/>
          <w:color w:val="auto"/>
          <w:spacing w:val="-6"/>
          <w:szCs w:val="21"/>
          <w:highlight w:val="none"/>
          <w:u w:val="single"/>
        </w:rPr>
      </w:pPr>
      <w:r>
        <w:rPr>
          <w:rFonts w:hint="eastAsia" w:ascii="宋体" w:hAnsi="宋体" w:cs="宋体"/>
          <w:i/>
          <w:color w:val="auto"/>
          <w:kern w:val="0"/>
          <w:szCs w:val="21"/>
          <w:highlight w:val="none"/>
          <w:u w:val="single"/>
        </w:rPr>
        <w:t>（9）</w:t>
      </w:r>
      <w:r>
        <w:rPr>
          <w:rFonts w:ascii="宋体" w:hAnsi="宋体" w:cs="宋体"/>
          <w:i/>
          <w:color w:val="auto"/>
          <w:kern w:val="0"/>
          <w:szCs w:val="21"/>
          <w:highlight w:val="none"/>
          <w:u w:val="single"/>
        </w:rPr>
        <w:t>未被“信用中国”网站（www.creditchina.gov.cn）、“中国政府采购网"(www.ccgp.gov.cn)列入失信被执行人、重大税收违法案件当事人名单、政府采购严重违法失信行为记录名单</w:t>
      </w:r>
      <w:r>
        <w:rPr>
          <w:rFonts w:hint="eastAsia" w:ascii="宋体" w:hAnsi="宋体" w:cs="宋体"/>
          <w:b/>
          <w:bCs/>
          <w:i/>
          <w:iCs/>
          <w:color w:val="auto"/>
          <w:kern w:val="0"/>
          <w:szCs w:val="21"/>
          <w:highlight w:val="none"/>
          <w:u w:val="single"/>
        </w:rPr>
        <w:t>（提供网页查询截图并加盖供应商公章，查询时间为自公告发布至开标截止时间前任意时间）；</w:t>
      </w:r>
    </w:p>
    <w:p w14:paraId="3BB0F458">
      <w:pPr>
        <w:pStyle w:val="29"/>
        <w:spacing w:line="360" w:lineRule="auto"/>
        <w:ind w:firstLine="420"/>
        <w:rPr>
          <w:rFonts w:ascii="宋体" w:hAnsi="宋体" w:cs="宋体"/>
          <w:b/>
          <w:bCs/>
          <w:i/>
          <w:color w:val="auto"/>
          <w:szCs w:val="21"/>
          <w:highlight w:val="none"/>
          <w:u w:val="single"/>
        </w:rPr>
      </w:pPr>
      <w:r>
        <w:rPr>
          <w:rFonts w:hint="eastAsia" w:ascii="宋体" w:hAnsi="宋体" w:cs="宋体"/>
          <w:i/>
          <w:color w:val="auto"/>
          <w:szCs w:val="21"/>
          <w:highlight w:val="none"/>
        </w:rPr>
        <w:t>（10）</w:t>
      </w:r>
      <w:r>
        <w:rPr>
          <w:rFonts w:hint="eastAsia" w:ascii="宋体" w:hAnsi="宋体" w:cs="宋体"/>
          <w:i/>
          <w:color w:val="auto"/>
          <w:szCs w:val="21"/>
          <w:highlight w:val="none"/>
          <w:u w:val="single"/>
        </w:rPr>
        <w:t>供应商信用承诺书</w:t>
      </w:r>
      <w:r>
        <w:rPr>
          <w:rFonts w:hint="eastAsia" w:ascii="宋体" w:hAnsi="宋体" w:cs="宋体"/>
          <w:b/>
          <w:bCs/>
          <w:i/>
          <w:color w:val="auto"/>
          <w:szCs w:val="21"/>
          <w:highlight w:val="none"/>
          <w:u w:val="single"/>
        </w:rPr>
        <w:t>（原件）。</w:t>
      </w:r>
    </w:p>
    <w:p w14:paraId="41C7D7FD">
      <w:pPr>
        <w:pStyle w:val="29"/>
        <w:spacing w:line="360" w:lineRule="auto"/>
        <w:ind w:firstLine="420"/>
        <w:rPr>
          <w:rFonts w:ascii="宋体" w:hAnsi="宋体" w:cs="宋体"/>
          <w:color w:val="auto"/>
          <w:highlight w:val="none"/>
        </w:rPr>
      </w:pPr>
      <w:r>
        <w:rPr>
          <w:rFonts w:hint="eastAsia" w:ascii="宋体" w:hAnsi="宋体" w:cs="宋体"/>
          <w:color w:val="auto"/>
          <w:highlight w:val="none"/>
        </w:rPr>
        <w:t>注一：如参加本项目的供应商为新成立公司（成立时间距开标时间不到1年）、个体工商户、自然人或事业单位等非企业法人，请提供相应情况说明，本文件中所需法定代表人相关材料、盖章及签字等可用供应商相关负责人的相应材料代替。</w:t>
      </w:r>
    </w:p>
    <w:p w14:paraId="78D9B4F1">
      <w:pPr>
        <w:pStyle w:val="29"/>
        <w:spacing w:line="360" w:lineRule="auto"/>
        <w:ind w:firstLine="420"/>
        <w:rPr>
          <w:rFonts w:ascii="宋体" w:hAnsi="宋体" w:cs="宋体"/>
          <w:b/>
          <w:bCs/>
          <w:i/>
          <w:color w:val="auto"/>
          <w:szCs w:val="21"/>
          <w:highlight w:val="none"/>
          <w:u w:val="single"/>
        </w:rPr>
      </w:pPr>
      <w:r>
        <w:rPr>
          <w:rFonts w:hint="eastAsia" w:ascii="宋体" w:hAnsi="宋体" w:cs="宋体"/>
          <w:color w:val="auto"/>
          <w:highlight w:val="none"/>
        </w:rPr>
        <w:t>注二：供应商如有相关政策支持，延期缴纳或暂不缴纳职工社会保障资金、税收的，须提供相关证明材料。</w:t>
      </w:r>
    </w:p>
    <w:p w14:paraId="29E166C4">
      <w:pPr>
        <w:adjustRightInd w:val="0"/>
        <w:snapToGrid w:val="0"/>
        <w:spacing w:line="360" w:lineRule="auto"/>
        <w:ind w:firstLine="422" w:firstLineChars="200"/>
        <w:rPr>
          <w:rFonts w:ascii="宋体" w:hAnsi="宋体" w:cs="宋体"/>
          <w:i/>
          <w:color w:val="auto"/>
          <w:szCs w:val="21"/>
          <w:highlight w:val="none"/>
          <w:u w:val="single"/>
        </w:rPr>
      </w:pPr>
      <w:r>
        <w:rPr>
          <w:rFonts w:hint="eastAsia" w:ascii="宋体" w:hAnsi="宋体" w:cs="宋体"/>
          <w:b/>
          <w:bCs/>
          <w:color w:val="auto"/>
          <w:szCs w:val="21"/>
          <w:highlight w:val="none"/>
        </w:rPr>
        <w:t>2、本项目的特定资格要求：</w:t>
      </w:r>
      <w:r>
        <w:rPr>
          <w:rFonts w:hint="eastAsia" w:ascii="宋体" w:hAnsi="宋体" w:cs="宋体"/>
          <w:i/>
          <w:iCs/>
          <w:color w:val="auto"/>
          <w:szCs w:val="21"/>
          <w:highlight w:val="none"/>
          <w:u w:val="single"/>
        </w:rPr>
        <w:t>2.1</w:t>
      </w:r>
      <w:r>
        <w:rPr>
          <w:rFonts w:hint="eastAsia" w:ascii="宋体" w:hAnsi="宋体" w:cs="宋体"/>
          <w:i/>
          <w:color w:val="auto"/>
          <w:szCs w:val="21"/>
          <w:highlight w:val="none"/>
          <w:u w:val="single"/>
        </w:rPr>
        <w:t>拟派</w:t>
      </w:r>
      <w:r>
        <w:rPr>
          <w:rFonts w:hint="eastAsia" w:ascii="宋体" w:hAnsi="宋体" w:cs="宋体"/>
          <w:i/>
          <w:iCs/>
          <w:color w:val="auto"/>
          <w:szCs w:val="21"/>
          <w:highlight w:val="none"/>
          <w:u w:val="single"/>
        </w:rPr>
        <w:t>项目负责人</w:t>
      </w:r>
      <w:r>
        <w:rPr>
          <w:rFonts w:hint="eastAsia" w:ascii="宋体" w:hAnsi="宋体" w:cs="宋体"/>
          <w:i/>
          <w:color w:val="auto"/>
          <w:szCs w:val="21"/>
          <w:highlight w:val="none"/>
          <w:u w:val="single"/>
        </w:rPr>
        <w:t>具备环保类高级及以上职称</w:t>
      </w:r>
      <w:r>
        <w:rPr>
          <w:rFonts w:hint="eastAsia" w:ascii="宋体" w:hAnsi="宋体" w:cs="宋体"/>
          <w:i/>
          <w:iCs/>
          <w:color w:val="auto"/>
          <w:szCs w:val="21"/>
          <w:highlight w:val="none"/>
          <w:u w:val="single"/>
        </w:rPr>
        <w:t>（提供职称证书加盖供应商公章）</w:t>
      </w:r>
      <w:r>
        <w:rPr>
          <w:rFonts w:hint="eastAsia" w:ascii="宋体" w:hAnsi="宋体" w:cs="宋体"/>
          <w:b/>
          <w:bCs/>
          <w:i/>
          <w:iCs/>
          <w:color w:val="auto"/>
          <w:szCs w:val="21"/>
          <w:highlight w:val="none"/>
          <w:u w:val="single"/>
        </w:rPr>
        <w:t>；</w:t>
      </w:r>
    </w:p>
    <w:p w14:paraId="1DEDA044">
      <w:pPr>
        <w:adjustRightInd w:val="0"/>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i/>
          <w:iCs/>
          <w:color w:val="auto"/>
          <w:szCs w:val="21"/>
          <w:highlight w:val="none"/>
          <w:u w:val="single"/>
        </w:rPr>
        <w:t>2.2供应商为拟派项目负责人和授权委托人缴纳的2025年5月至2025年7月任意一个月的社保证明(复印件加盖供应商公章)。</w:t>
      </w:r>
    </w:p>
    <w:p w14:paraId="45C1DD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备注：响应文件的正本和副本中均须提供上述资格证明文件。资格证明文件须清晰可辨，若有缺失或不清晰，将导致磋商被拒绝且不允许在开标后补正。</w:t>
      </w:r>
    </w:p>
    <w:p w14:paraId="0A8B9DA7">
      <w:pPr>
        <w:pStyle w:val="34"/>
        <w:ind w:left="0"/>
        <w:rPr>
          <w:rFonts w:ascii="宋体" w:hAnsi="宋体" w:cs="宋体"/>
          <w:color w:val="auto"/>
          <w:highlight w:val="none"/>
        </w:rPr>
      </w:pPr>
    </w:p>
    <w:p w14:paraId="466E8E89">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43825A5A">
      <w:pPr>
        <w:spacing w:line="360" w:lineRule="auto"/>
        <w:ind w:firstLine="482" w:firstLineChars="20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磋商响应函格式</w:t>
      </w:r>
    </w:p>
    <w:p w14:paraId="6D3FD6A3">
      <w:pPr>
        <w:pStyle w:val="41"/>
        <w:spacing w:before="0" w:after="0"/>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致：江苏时代投资咨询有限公司</w:t>
      </w:r>
    </w:p>
    <w:p w14:paraId="0BDFE5AD">
      <w:pPr>
        <w:pStyle w:val="41"/>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根据贵方的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号</w:t>
      </w:r>
      <w:r>
        <w:rPr>
          <w:rFonts w:hint="eastAsia" w:ascii="宋体" w:hAnsi="宋体" w:cs="宋体"/>
          <w:color w:val="auto"/>
          <w:kern w:val="2"/>
          <w:sz w:val="21"/>
          <w:szCs w:val="21"/>
          <w:highlight w:val="none"/>
        </w:rPr>
        <w:t>竞争性磋商文件，正式授权下述签字人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(姓名)代表我方</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（投标人的名称），全权处理本次项目磋商采购的有关事宜。</w:t>
      </w:r>
    </w:p>
    <w:p w14:paraId="500C1CA7">
      <w:pPr>
        <w:pStyle w:val="41"/>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据此函，</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签字人兹宣布同意如下：</w:t>
      </w:r>
    </w:p>
    <w:p w14:paraId="7EA54093">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1.按磋商文件规定的各项要求，向买方提供所需服务。</w:t>
      </w:r>
    </w:p>
    <w:p w14:paraId="5AEA4E46">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2.我们已详细审核全部磋商文件及其有效补充文件，我们知道必须放弃提出含糊不清或误解问题的权利。</w:t>
      </w:r>
    </w:p>
    <w:p w14:paraId="131302A6">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3.我们同意从规定的响应文件接收截止时间起遵循本响应文件，并在规定的磋商有效期期满之前均具有约束力。</w:t>
      </w:r>
    </w:p>
    <w:p w14:paraId="126AD7EE">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4.同意向贵方提供贵方可能另外要求的与磋商采购有关的任何证据或资料，并保证我方已提供和将要提供的文件是真实的、准确的。</w:t>
      </w:r>
    </w:p>
    <w:p w14:paraId="25E9CC0C">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5.一旦我方成交，我方将根据磋商文件的规定，严格履行合同的责任和义务，并保证在磋商文件规定的时间完成项目，交付买方验收、使用。</w:t>
      </w:r>
    </w:p>
    <w:p w14:paraId="67C103E5">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6.遵守磋商文件中要求的收费项目和标准。</w:t>
      </w:r>
    </w:p>
    <w:p w14:paraId="11CE68F5">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7.与本磋商采购有关的正式通讯地址为：</w:t>
      </w:r>
    </w:p>
    <w:p w14:paraId="23ACBD89">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w:t>
      </w:r>
    </w:p>
    <w:p w14:paraId="18F7EFC3">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邮 编：</w:t>
      </w:r>
    </w:p>
    <w:p w14:paraId="488FE4A3">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电 话： </w:t>
      </w:r>
    </w:p>
    <w:p w14:paraId="4E4E1728">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传 真： </w:t>
      </w:r>
    </w:p>
    <w:p w14:paraId="5D7646FF">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供应商开户行：</w:t>
      </w:r>
    </w:p>
    <w:p w14:paraId="1A34739C">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账 户： </w:t>
      </w:r>
    </w:p>
    <w:p w14:paraId="20E8765B">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行 号：</w:t>
      </w:r>
    </w:p>
    <w:p w14:paraId="227DD23B">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法定代表人或授权代表（签字）： </w:t>
      </w:r>
    </w:p>
    <w:p w14:paraId="0B3F87A6">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供应商名称（公章）： </w:t>
      </w:r>
    </w:p>
    <w:p w14:paraId="1C01DC70">
      <w:pPr>
        <w:pStyle w:val="41"/>
        <w:spacing w:before="0" w:after="0"/>
        <w:ind w:firstLine="478" w:firstLineChars="228"/>
        <w:rPr>
          <w:rFonts w:ascii="宋体" w:hAnsi="宋体" w:cs="宋体"/>
          <w:color w:val="auto"/>
          <w:kern w:val="2"/>
          <w:sz w:val="21"/>
          <w:szCs w:val="21"/>
          <w:highlight w:val="none"/>
        </w:rPr>
      </w:pPr>
      <w:r>
        <w:rPr>
          <w:rFonts w:hint="eastAsia" w:ascii="宋体" w:hAnsi="宋体" w:cs="宋体"/>
          <w:color w:val="auto"/>
          <w:kern w:val="2"/>
          <w:sz w:val="21"/>
          <w:szCs w:val="21"/>
          <w:highlight w:val="none"/>
        </w:rPr>
        <w:t>日 期：________年____月____日</w:t>
      </w:r>
    </w:p>
    <w:p w14:paraId="6BDE3FAF">
      <w:pPr>
        <w:pStyle w:val="41"/>
        <w:spacing w:before="0" w:after="0"/>
        <w:ind w:firstLine="478" w:firstLineChars="228"/>
        <w:rPr>
          <w:rFonts w:ascii="宋体" w:hAnsi="宋体" w:cs="宋体"/>
          <w:color w:val="auto"/>
          <w:kern w:val="2"/>
          <w:sz w:val="21"/>
          <w:szCs w:val="21"/>
          <w:highlight w:val="none"/>
        </w:rPr>
      </w:pPr>
    </w:p>
    <w:p w14:paraId="3A039AB8">
      <w:pPr>
        <w:pStyle w:val="41"/>
        <w:spacing w:before="0" w:after="0"/>
        <w:ind w:firstLine="0"/>
        <w:rPr>
          <w:rFonts w:ascii="宋体" w:hAnsi="宋体" w:cs="宋体"/>
          <w:color w:val="auto"/>
          <w:kern w:val="2"/>
          <w:sz w:val="21"/>
          <w:szCs w:val="21"/>
          <w:highlight w:val="none"/>
        </w:rPr>
      </w:pPr>
    </w:p>
    <w:p w14:paraId="2206992C">
      <w:pPr>
        <w:pStyle w:val="41"/>
        <w:spacing w:before="0" w:after="0"/>
        <w:ind w:firstLine="0"/>
        <w:rPr>
          <w:rFonts w:ascii="宋体" w:hAnsi="宋体" w:cs="宋体"/>
          <w:color w:val="auto"/>
          <w:kern w:val="2"/>
          <w:sz w:val="21"/>
          <w:szCs w:val="21"/>
          <w:highlight w:val="none"/>
        </w:rPr>
      </w:pPr>
    </w:p>
    <w:p w14:paraId="35E44B98">
      <w:pPr>
        <w:spacing w:line="360" w:lineRule="auto"/>
        <w:ind w:firstLine="482" w:firstLineChars="200"/>
        <w:jc w:val="center"/>
        <w:rPr>
          <w:rFonts w:ascii="宋体" w:hAnsi="宋体" w:cs="宋体"/>
          <w:b/>
          <w:bCs/>
          <w:color w:val="auto"/>
          <w:kern w:val="0"/>
          <w:szCs w:val="21"/>
          <w:highlight w:val="none"/>
        </w:rPr>
      </w:pPr>
      <w:r>
        <w:rPr>
          <w:rFonts w:hint="eastAsia" w:ascii="宋体" w:hAnsi="宋体" w:cs="宋体"/>
          <w:b/>
          <w:bCs/>
          <w:color w:val="auto"/>
          <w:sz w:val="24"/>
          <w:szCs w:val="24"/>
          <w:highlight w:val="none"/>
        </w:rPr>
        <w:t>资 格 声 明</w:t>
      </w:r>
    </w:p>
    <w:p w14:paraId="7B8478B1">
      <w:pPr>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1、名称及其它情况：</w:t>
      </w:r>
    </w:p>
    <w:p w14:paraId="64EFA06F">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（1）供应商名称：</w:t>
      </w:r>
      <w:r>
        <w:rPr>
          <w:rFonts w:hint="eastAsia" w:ascii="宋体" w:hAnsi="宋体" w:cs="宋体"/>
          <w:color w:val="auto"/>
          <w:szCs w:val="21"/>
          <w:highlight w:val="none"/>
          <w:u w:val="single"/>
        </w:rPr>
        <w:t xml:space="preserve">                            </w:t>
      </w:r>
    </w:p>
    <w:p w14:paraId="628140E9">
      <w:pPr>
        <w:tabs>
          <w:tab w:val="left" w:pos="4530"/>
        </w:tabs>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3ECC629">
      <w:pPr>
        <w:tabs>
          <w:tab w:val="left" w:pos="600"/>
          <w:tab w:val="left" w:pos="43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02DE9ABF">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（3）成立和/或注册日期：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A9D7FF0">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（4）法定代表人：</w:t>
      </w:r>
      <w:r>
        <w:rPr>
          <w:rFonts w:hint="eastAsia" w:ascii="宋体" w:hAnsi="宋体" w:cs="宋体"/>
          <w:color w:val="auto"/>
          <w:szCs w:val="21"/>
          <w:highlight w:val="none"/>
          <w:u w:val="single"/>
        </w:rPr>
        <w:t xml:space="preserve">                    </w:t>
      </w:r>
    </w:p>
    <w:p w14:paraId="18AD7D99">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（5）实收资本：</w:t>
      </w:r>
      <w:r>
        <w:rPr>
          <w:rFonts w:hint="eastAsia" w:ascii="宋体" w:hAnsi="宋体" w:cs="宋体"/>
          <w:color w:val="auto"/>
          <w:szCs w:val="21"/>
          <w:highlight w:val="none"/>
          <w:u w:val="single"/>
        </w:rPr>
        <w:t xml:space="preserve">                                 </w:t>
      </w:r>
    </w:p>
    <w:p w14:paraId="6FF993E5">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（6）近期资产负债表：（到</w:t>
      </w:r>
      <w:r>
        <w:rPr>
          <w:rFonts w:hint="eastAsia" w:ascii="宋体" w:hAnsi="宋体" w:cs="宋体"/>
          <w:color w:val="auto"/>
          <w:szCs w:val="21"/>
          <w:highlight w:val="none"/>
          <w:u w:val="single"/>
        </w:rPr>
        <w:t>20  年12月31日</w:t>
      </w:r>
      <w:r>
        <w:rPr>
          <w:rFonts w:hint="eastAsia" w:ascii="宋体" w:hAnsi="宋体" w:cs="宋体"/>
          <w:color w:val="auto"/>
          <w:szCs w:val="21"/>
          <w:highlight w:val="none"/>
        </w:rPr>
        <w:t>）</w:t>
      </w:r>
    </w:p>
    <w:p w14:paraId="24F3CC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&lt;1&gt; 固定资产：</w:t>
      </w:r>
      <w:r>
        <w:rPr>
          <w:rFonts w:hint="eastAsia" w:ascii="宋体" w:hAnsi="宋体" w:cs="宋体"/>
          <w:color w:val="auto"/>
          <w:highlight w:val="none"/>
          <w:u w:val="single"/>
        </w:rPr>
        <w:t xml:space="preserve">                          </w:t>
      </w:r>
    </w:p>
    <w:p w14:paraId="1BFE95D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&lt;2&gt; 流动资金：</w:t>
      </w:r>
      <w:r>
        <w:rPr>
          <w:rFonts w:hint="eastAsia" w:ascii="宋体" w:hAnsi="宋体" w:cs="宋体"/>
          <w:color w:val="auto"/>
          <w:highlight w:val="none"/>
          <w:u w:val="single"/>
        </w:rPr>
        <w:t xml:space="preserve">                          </w:t>
      </w:r>
    </w:p>
    <w:p w14:paraId="132E50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&lt;3&gt; 长期负债：</w:t>
      </w:r>
      <w:r>
        <w:rPr>
          <w:rFonts w:hint="eastAsia" w:ascii="宋体" w:hAnsi="宋体" w:cs="宋体"/>
          <w:color w:val="auto"/>
          <w:highlight w:val="none"/>
          <w:u w:val="single"/>
        </w:rPr>
        <w:t xml:space="preserve">                          </w:t>
      </w:r>
    </w:p>
    <w:p w14:paraId="7A5DB0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&lt;4&gt; 短期负债：</w:t>
      </w:r>
      <w:r>
        <w:rPr>
          <w:rFonts w:hint="eastAsia" w:ascii="宋体" w:hAnsi="宋体" w:cs="宋体"/>
          <w:color w:val="auto"/>
          <w:highlight w:val="none"/>
          <w:u w:val="single"/>
        </w:rPr>
        <w:t xml:space="preserve">                          </w:t>
      </w:r>
    </w:p>
    <w:p w14:paraId="016B12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2、近三年同类投标货物和服务的主要销售业绩（无有效联系人、联系方式和合同复印件的视为未填报本项目）：</w:t>
      </w:r>
    </w:p>
    <w:tbl>
      <w:tblPr>
        <w:tblStyle w:val="22"/>
        <w:tblW w:w="0" w:type="auto"/>
        <w:jc w:val="center"/>
        <w:tblLayout w:type="fixed"/>
        <w:tblCellMar>
          <w:top w:w="0" w:type="dxa"/>
          <w:left w:w="108" w:type="dxa"/>
          <w:bottom w:w="0" w:type="dxa"/>
          <w:right w:w="108" w:type="dxa"/>
        </w:tblCellMar>
      </w:tblPr>
      <w:tblGrid>
        <w:gridCol w:w="3979"/>
        <w:gridCol w:w="4251"/>
      </w:tblGrid>
      <w:tr w14:paraId="20A1E836">
        <w:tblPrEx>
          <w:tblCellMar>
            <w:top w:w="0" w:type="dxa"/>
            <w:left w:w="108" w:type="dxa"/>
            <w:bottom w:w="0" w:type="dxa"/>
            <w:right w:w="108" w:type="dxa"/>
          </w:tblCellMar>
        </w:tblPrEx>
        <w:trPr>
          <w:trHeight w:val="567" w:hRule="exact"/>
          <w:jc w:val="center"/>
        </w:trPr>
        <w:tc>
          <w:tcPr>
            <w:tcW w:w="3979" w:type="dxa"/>
            <w:vAlign w:val="center"/>
          </w:tcPr>
          <w:p w14:paraId="02AD195B">
            <w:pPr>
              <w:spacing w:line="360" w:lineRule="auto"/>
              <w:jc w:val="center"/>
              <w:rPr>
                <w:rFonts w:ascii="宋体" w:hAnsi="宋体" w:cs="宋体"/>
                <w:color w:val="auto"/>
                <w:highlight w:val="none"/>
                <w:u w:val="single"/>
              </w:rPr>
            </w:pPr>
            <w:r>
              <w:rPr>
                <w:rFonts w:hint="eastAsia" w:ascii="宋体" w:hAnsi="宋体" w:cs="宋体"/>
                <w:color w:val="auto"/>
                <w:highlight w:val="none"/>
              </w:rPr>
              <w:t>甲方名称、联系人、联系方式</w:t>
            </w:r>
          </w:p>
        </w:tc>
        <w:tc>
          <w:tcPr>
            <w:tcW w:w="4251" w:type="dxa"/>
            <w:vAlign w:val="center"/>
          </w:tcPr>
          <w:p w14:paraId="639D32FB">
            <w:pPr>
              <w:spacing w:line="360" w:lineRule="auto"/>
              <w:jc w:val="center"/>
              <w:rPr>
                <w:rFonts w:ascii="宋体" w:hAnsi="宋体" w:cs="宋体"/>
                <w:color w:val="auto"/>
                <w:highlight w:val="none"/>
                <w:u w:val="single"/>
              </w:rPr>
            </w:pPr>
            <w:r>
              <w:rPr>
                <w:rFonts w:hint="eastAsia" w:ascii="宋体" w:hAnsi="宋体" w:cs="宋体"/>
                <w:color w:val="auto"/>
                <w:highlight w:val="none"/>
              </w:rPr>
              <w:t>项   目   名   称</w:t>
            </w:r>
          </w:p>
        </w:tc>
      </w:tr>
      <w:tr w14:paraId="5F4F2E47">
        <w:tblPrEx>
          <w:tblCellMar>
            <w:top w:w="0" w:type="dxa"/>
            <w:left w:w="108" w:type="dxa"/>
            <w:bottom w:w="0" w:type="dxa"/>
            <w:right w:w="108" w:type="dxa"/>
          </w:tblCellMar>
        </w:tblPrEx>
        <w:trPr>
          <w:trHeight w:val="531" w:hRule="exact"/>
          <w:jc w:val="center"/>
        </w:trPr>
        <w:tc>
          <w:tcPr>
            <w:tcW w:w="3979" w:type="dxa"/>
            <w:vAlign w:val="center"/>
          </w:tcPr>
          <w:p w14:paraId="62DD5740">
            <w:pPr>
              <w:adjustRightInd w:val="0"/>
              <w:snapToGrid w:val="0"/>
              <w:spacing w:line="360" w:lineRule="auto"/>
              <w:jc w:val="center"/>
              <w:rPr>
                <w:rFonts w:ascii="宋体" w:hAnsi="宋体" w:cs="宋体"/>
                <w:color w:val="auto"/>
                <w:highlight w:val="none"/>
              </w:rPr>
            </w:pPr>
          </w:p>
        </w:tc>
        <w:tc>
          <w:tcPr>
            <w:tcW w:w="4251" w:type="dxa"/>
            <w:vAlign w:val="center"/>
          </w:tcPr>
          <w:p w14:paraId="69F6B6A0">
            <w:pPr>
              <w:adjustRightInd w:val="0"/>
              <w:snapToGrid w:val="0"/>
              <w:spacing w:line="360" w:lineRule="auto"/>
              <w:jc w:val="center"/>
              <w:rPr>
                <w:rFonts w:ascii="宋体" w:hAnsi="宋体" w:cs="宋体"/>
                <w:color w:val="auto"/>
                <w:highlight w:val="none"/>
              </w:rPr>
            </w:pPr>
          </w:p>
        </w:tc>
      </w:tr>
      <w:tr w14:paraId="3D00D6FE">
        <w:tblPrEx>
          <w:tblCellMar>
            <w:top w:w="0" w:type="dxa"/>
            <w:left w:w="108" w:type="dxa"/>
            <w:bottom w:w="0" w:type="dxa"/>
            <w:right w:w="108" w:type="dxa"/>
          </w:tblCellMar>
        </w:tblPrEx>
        <w:trPr>
          <w:trHeight w:val="567" w:hRule="exact"/>
          <w:jc w:val="center"/>
        </w:trPr>
        <w:tc>
          <w:tcPr>
            <w:tcW w:w="3979" w:type="dxa"/>
            <w:vAlign w:val="center"/>
          </w:tcPr>
          <w:p w14:paraId="51C81FFA">
            <w:pPr>
              <w:adjustRightInd w:val="0"/>
              <w:snapToGrid w:val="0"/>
              <w:spacing w:line="360" w:lineRule="auto"/>
              <w:jc w:val="center"/>
              <w:rPr>
                <w:rFonts w:ascii="宋体" w:hAnsi="宋体" w:cs="宋体"/>
                <w:color w:val="auto"/>
                <w:highlight w:val="none"/>
              </w:rPr>
            </w:pPr>
          </w:p>
        </w:tc>
        <w:tc>
          <w:tcPr>
            <w:tcW w:w="4251" w:type="dxa"/>
            <w:vAlign w:val="center"/>
          </w:tcPr>
          <w:p w14:paraId="434F43C3">
            <w:pPr>
              <w:adjustRightInd w:val="0"/>
              <w:snapToGrid w:val="0"/>
              <w:spacing w:line="360" w:lineRule="auto"/>
              <w:jc w:val="center"/>
              <w:rPr>
                <w:rFonts w:ascii="宋体" w:hAnsi="宋体" w:cs="宋体"/>
                <w:color w:val="auto"/>
                <w:highlight w:val="none"/>
              </w:rPr>
            </w:pPr>
          </w:p>
        </w:tc>
      </w:tr>
    </w:tbl>
    <w:p w14:paraId="6C492BC0">
      <w:pPr>
        <w:spacing w:line="360" w:lineRule="auto"/>
        <w:ind w:firstLine="315" w:firstLineChars="150"/>
        <w:rPr>
          <w:rFonts w:ascii="宋体" w:hAnsi="宋体" w:cs="宋体"/>
          <w:color w:val="auto"/>
          <w:kern w:val="0"/>
          <w:sz w:val="22"/>
          <w:highlight w:val="none"/>
        </w:rPr>
      </w:pPr>
      <w:r>
        <w:rPr>
          <w:rFonts w:hint="eastAsia" w:ascii="宋体" w:hAnsi="宋体" w:cs="宋体"/>
          <w:color w:val="auto"/>
          <w:highlight w:val="none"/>
        </w:rPr>
        <w:t>3、本次招标要求的其他资格文件以及供应商认为需要声明的其他情况：</w:t>
      </w:r>
      <w:r>
        <w:rPr>
          <w:rFonts w:hint="eastAsia" w:ascii="宋体" w:hAnsi="宋体" w:cs="宋体"/>
          <w:color w:val="auto"/>
          <w:highlight w:val="none"/>
          <w:u w:val="single"/>
        </w:rPr>
        <w:t xml:space="preserve">                         </w:t>
      </w:r>
    </w:p>
    <w:p w14:paraId="413EB6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兹证明上述声明是真实的、正确的，并提供了全部能提供的资料和数据，我们同意遵照贵方要求出示有关证明文件，如有虚假，自愿丧失中标资格，一年内退出扬州政府采购市场。</w:t>
      </w:r>
    </w:p>
    <w:p w14:paraId="31901ACC">
      <w:pPr>
        <w:spacing w:line="360" w:lineRule="auto"/>
        <w:rPr>
          <w:rFonts w:ascii="宋体" w:hAnsi="宋体" w:cs="宋体"/>
          <w:color w:val="auto"/>
          <w:highlight w:val="none"/>
        </w:rPr>
      </w:pPr>
      <w:r>
        <w:rPr>
          <w:rFonts w:hint="eastAsia" w:ascii="宋体" w:hAnsi="宋体" w:cs="宋体"/>
          <w:color w:val="auto"/>
          <w:highlight w:val="none"/>
        </w:rPr>
        <w:t>供应商公章：</w:t>
      </w:r>
      <w:r>
        <w:rPr>
          <w:rFonts w:hint="eastAsia" w:ascii="宋体" w:hAnsi="宋体" w:cs="宋体"/>
          <w:color w:val="auto"/>
          <w:highlight w:val="none"/>
          <w:u w:val="single"/>
        </w:rPr>
        <w:t xml:space="preserve">                         </w:t>
      </w:r>
    </w:p>
    <w:p w14:paraId="42E243A2">
      <w:pPr>
        <w:spacing w:line="360" w:lineRule="auto"/>
        <w:rPr>
          <w:rFonts w:ascii="宋体" w:hAnsi="宋体" w:cs="宋体"/>
          <w:color w:val="auto"/>
          <w:highlight w:val="none"/>
        </w:rPr>
      </w:pPr>
      <w:r>
        <w:rPr>
          <w:rFonts w:hint="eastAsia" w:ascii="宋体" w:hAnsi="宋体" w:cs="宋体"/>
          <w:color w:val="auto"/>
          <w:highlight w:val="none"/>
        </w:rPr>
        <w:t>法定代表人或授权代表签字：</w:t>
      </w:r>
      <w:r>
        <w:rPr>
          <w:rFonts w:hint="eastAsia" w:ascii="宋体" w:hAnsi="宋体" w:cs="宋体"/>
          <w:color w:val="auto"/>
          <w:highlight w:val="none"/>
          <w:u w:val="single"/>
        </w:rPr>
        <w:t xml:space="preserve">                          </w:t>
      </w:r>
    </w:p>
    <w:p w14:paraId="16351549">
      <w:pPr>
        <w:spacing w:line="360" w:lineRule="auto"/>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p>
    <w:p w14:paraId="6B3DBDF6">
      <w:pPr>
        <w:spacing w:line="360" w:lineRule="auto"/>
        <w:rPr>
          <w:rFonts w:ascii="宋体" w:hAnsi="宋体" w:cs="宋体"/>
          <w:b/>
          <w:bCs/>
          <w:color w:val="auto"/>
          <w:highlight w:val="none"/>
        </w:rPr>
      </w:pPr>
      <w:r>
        <w:rPr>
          <w:rFonts w:hint="eastAsia" w:ascii="宋体" w:hAnsi="宋体" w:cs="宋体"/>
          <w:b/>
          <w:bCs/>
          <w:color w:val="auto"/>
          <w:highlight w:val="none"/>
        </w:rPr>
        <w:t>（注：资格声明为格式文件,请勿修改，否则将导致响应文件无效。）</w:t>
      </w:r>
    </w:p>
    <w:p w14:paraId="79AE7D1D">
      <w:pPr>
        <w:spacing w:line="360" w:lineRule="auto"/>
        <w:rPr>
          <w:rFonts w:ascii="宋体" w:hAnsi="宋体" w:cs="宋体"/>
          <w:bCs/>
          <w:color w:val="auto"/>
          <w:sz w:val="24"/>
          <w:highlight w:val="none"/>
        </w:rPr>
      </w:pPr>
    </w:p>
    <w:p w14:paraId="15F579A1">
      <w:pPr>
        <w:pStyle w:val="43"/>
        <w:spacing w:line="360" w:lineRule="auto"/>
        <w:ind w:firstLine="0" w:firstLineChars="0"/>
        <w:rPr>
          <w:rFonts w:ascii="宋体" w:hAnsi="宋体" w:cs="宋体"/>
          <w:b/>
          <w:color w:val="auto"/>
          <w:sz w:val="24"/>
          <w:szCs w:val="24"/>
          <w:highlight w:val="none"/>
        </w:rPr>
      </w:pPr>
    </w:p>
    <w:p w14:paraId="56C4AFA0">
      <w:pPr>
        <w:pStyle w:val="43"/>
        <w:spacing w:line="360" w:lineRule="auto"/>
        <w:ind w:firstLine="0" w:firstLineChars="0"/>
        <w:rPr>
          <w:rFonts w:ascii="宋体" w:hAnsi="宋体" w:cs="宋体"/>
          <w:b/>
          <w:color w:val="auto"/>
          <w:sz w:val="24"/>
          <w:szCs w:val="24"/>
          <w:highlight w:val="none"/>
        </w:rPr>
      </w:pPr>
    </w:p>
    <w:p w14:paraId="09763E8E">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1B811502">
      <w:pPr>
        <w:pStyle w:val="43"/>
        <w:spacing w:line="360" w:lineRule="auto"/>
        <w:ind w:firstLine="0" w:firstLineChars="0"/>
        <w:jc w:val="center"/>
        <w:rPr>
          <w:rFonts w:ascii="宋体" w:hAnsi="宋体" w:cs="宋体"/>
          <w:b/>
          <w:color w:val="auto"/>
          <w:sz w:val="21"/>
          <w:szCs w:val="21"/>
          <w:highlight w:val="none"/>
        </w:rPr>
      </w:pPr>
      <w:r>
        <w:rPr>
          <w:rFonts w:hint="eastAsia" w:ascii="宋体" w:hAnsi="宋体" w:cs="宋体"/>
          <w:b/>
          <w:color w:val="auto"/>
          <w:sz w:val="24"/>
          <w:szCs w:val="24"/>
          <w:highlight w:val="none"/>
        </w:rPr>
        <w:t>法人授权书</w:t>
      </w:r>
    </w:p>
    <w:p w14:paraId="7ACE923F">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本授权书声明：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（投标人名称）授权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（被授权人的姓名）为我方就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项目采购活动的合法代理人，以本公司名义全权处理一切与该项目采购有关的事务。</w:t>
      </w:r>
    </w:p>
    <w:p w14:paraId="70D86F36">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日起生效，特此声明。</w:t>
      </w:r>
    </w:p>
    <w:p w14:paraId="75CEBBAE">
      <w:pPr>
        <w:pStyle w:val="43"/>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5218E4BC">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被授权人签字：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79241091">
      <w:pPr>
        <w:pStyle w:val="43"/>
        <w:spacing w:line="360" w:lineRule="auto"/>
        <w:ind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联系电话（手机）：</w:t>
      </w:r>
      <w:r>
        <w:rPr>
          <w:rFonts w:hint="eastAsia" w:ascii="宋体" w:hAnsi="宋体" w:cs="宋体"/>
          <w:color w:val="auto"/>
          <w:sz w:val="21"/>
          <w:szCs w:val="21"/>
          <w:highlight w:val="none"/>
          <w:u w:val="single"/>
        </w:rPr>
        <w:t xml:space="preserve">                            </w:t>
      </w:r>
    </w:p>
    <w:p w14:paraId="2E50CA15">
      <w:pPr>
        <w:pStyle w:val="43"/>
        <w:spacing w:line="360" w:lineRule="auto"/>
        <w:ind w:firstLine="0" w:firstLineChars="0"/>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单位名称：</w:t>
      </w:r>
      <w:r>
        <w:rPr>
          <w:rFonts w:hint="eastAsia" w:ascii="宋体" w:hAnsi="宋体" w:cs="宋体"/>
          <w:color w:val="auto"/>
          <w:sz w:val="21"/>
          <w:szCs w:val="21"/>
          <w:highlight w:val="none"/>
          <w:u w:val="single"/>
        </w:rPr>
        <w:t xml:space="preserve">                                    </w:t>
      </w:r>
    </w:p>
    <w:p w14:paraId="412EA56D">
      <w:pPr>
        <w:pStyle w:val="43"/>
        <w:spacing w:line="360" w:lineRule="auto"/>
        <w:ind w:firstLine="0" w:firstLineChars="0"/>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授权单位盖章：</w:t>
      </w:r>
      <w:r>
        <w:rPr>
          <w:rFonts w:hint="eastAsia" w:ascii="宋体" w:hAnsi="宋体" w:cs="宋体"/>
          <w:color w:val="auto"/>
          <w:sz w:val="21"/>
          <w:szCs w:val="21"/>
          <w:highlight w:val="none"/>
          <w:u w:val="single"/>
        </w:rPr>
        <w:t xml:space="preserve">                                </w:t>
      </w:r>
    </w:p>
    <w:p w14:paraId="67D14655">
      <w:pPr>
        <w:pStyle w:val="43"/>
        <w:spacing w:line="360" w:lineRule="auto"/>
        <w:ind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 xml:space="preserve">                                        </w:t>
      </w:r>
    </w:p>
    <w:p w14:paraId="207B80D5">
      <w:pPr>
        <w:pStyle w:val="43"/>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14:paraId="327C5CB3">
      <w:pPr>
        <w:spacing w:line="360" w:lineRule="auto"/>
        <w:rPr>
          <w:rFonts w:ascii="宋体" w:hAnsi="宋体" w:cs="宋体"/>
          <w:bCs/>
          <w:color w:val="auto"/>
          <w:sz w:val="24"/>
          <w:highlight w:val="none"/>
        </w:rPr>
      </w:pPr>
    </w:p>
    <w:p w14:paraId="62F7E95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被授权人身份证复印件：</w:t>
      </w:r>
    </w:p>
    <w:p w14:paraId="1AD725DD">
      <w:pPr>
        <w:spacing w:line="360" w:lineRule="auto"/>
        <w:ind w:firstLine="480" w:firstLineChars="200"/>
        <w:rPr>
          <w:rFonts w:ascii="宋体" w:hAnsi="宋体" w:cs="宋体"/>
          <w:bCs/>
          <w:color w:val="auto"/>
          <w:sz w:val="24"/>
          <w:highlight w:val="none"/>
        </w:rPr>
      </w:pPr>
    </w:p>
    <w:p w14:paraId="0A0F6F95">
      <w:pPr>
        <w:spacing w:line="360" w:lineRule="auto"/>
        <w:ind w:firstLine="480" w:firstLineChars="200"/>
        <w:rPr>
          <w:rFonts w:ascii="宋体" w:hAnsi="宋体" w:cs="宋体"/>
          <w:bCs/>
          <w:color w:val="auto"/>
          <w:sz w:val="24"/>
          <w:highlight w:val="none"/>
        </w:rPr>
      </w:pPr>
    </w:p>
    <w:p w14:paraId="39241F94">
      <w:pPr>
        <w:spacing w:line="360" w:lineRule="auto"/>
        <w:ind w:firstLine="480" w:firstLineChars="200"/>
        <w:rPr>
          <w:rFonts w:ascii="宋体" w:hAnsi="宋体" w:cs="宋体"/>
          <w:bCs/>
          <w:color w:val="auto"/>
          <w:sz w:val="24"/>
          <w:highlight w:val="none"/>
        </w:rPr>
      </w:pPr>
    </w:p>
    <w:p w14:paraId="514F728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法人身份证复印件：</w:t>
      </w:r>
    </w:p>
    <w:p w14:paraId="74B1D381">
      <w:pPr>
        <w:spacing w:line="360" w:lineRule="auto"/>
        <w:ind w:firstLine="480" w:firstLineChars="200"/>
        <w:rPr>
          <w:rFonts w:ascii="宋体" w:hAnsi="宋体" w:cs="宋体"/>
          <w:bCs/>
          <w:color w:val="auto"/>
          <w:sz w:val="24"/>
          <w:highlight w:val="none"/>
        </w:rPr>
      </w:pPr>
    </w:p>
    <w:p w14:paraId="4FDBC55E">
      <w:pPr>
        <w:spacing w:line="360" w:lineRule="auto"/>
        <w:rPr>
          <w:rFonts w:ascii="宋体" w:hAnsi="宋体" w:cs="宋体"/>
          <w:bCs/>
          <w:color w:val="auto"/>
          <w:sz w:val="24"/>
          <w:highlight w:val="none"/>
        </w:rPr>
      </w:pPr>
    </w:p>
    <w:p w14:paraId="3E1BB381">
      <w:pPr>
        <w:spacing w:line="360" w:lineRule="auto"/>
        <w:rPr>
          <w:rFonts w:ascii="宋体" w:hAnsi="宋体" w:cs="宋体"/>
          <w:bCs/>
          <w:color w:val="auto"/>
          <w:sz w:val="24"/>
          <w:highlight w:val="none"/>
        </w:rPr>
      </w:pPr>
    </w:p>
    <w:p w14:paraId="7EB27FD6">
      <w:pPr>
        <w:spacing w:line="360" w:lineRule="auto"/>
        <w:ind w:firstLine="600" w:firstLineChars="250"/>
        <w:rPr>
          <w:rFonts w:ascii="宋体" w:hAnsi="宋体" w:cs="宋体"/>
          <w:bCs/>
          <w:color w:val="auto"/>
          <w:sz w:val="24"/>
          <w:highlight w:val="none"/>
        </w:rPr>
      </w:pPr>
    </w:p>
    <w:p w14:paraId="1CBEACB4">
      <w:pPr>
        <w:pStyle w:val="8"/>
        <w:spacing w:line="360" w:lineRule="auto"/>
        <w:rPr>
          <w:rFonts w:ascii="宋体" w:hAnsi="宋体" w:eastAsia="宋体" w:cs="宋体"/>
          <w:color w:val="auto"/>
          <w:highlight w:val="none"/>
        </w:rPr>
      </w:pPr>
    </w:p>
    <w:p w14:paraId="49179B06">
      <w:pPr>
        <w:spacing w:line="360" w:lineRule="auto"/>
        <w:rPr>
          <w:rFonts w:ascii="宋体" w:hAnsi="宋体" w:cs="宋体"/>
          <w:bCs/>
          <w:color w:val="auto"/>
          <w:sz w:val="24"/>
          <w:highlight w:val="none"/>
        </w:rPr>
      </w:pPr>
    </w:p>
    <w:p w14:paraId="48ABCC96">
      <w:pPr>
        <w:spacing w:line="360" w:lineRule="auto"/>
        <w:rPr>
          <w:rFonts w:ascii="宋体" w:hAnsi="宋体" w:cs="宋体"/>
          <w:bCs/>
          <w:color w:val="auto"/>
          <w:sz w:val="24"/>
          <w:highlight w:val="none"/>
        </w:rPr>
      </w:pPr>
    </w:p>
    <w:p w14:paraId="347F9408">
      <w:pPr>
        <w:spacing w:line="360" w:lineRule="auto"/>
        <w:rPr>
          <w:rFonts w:ascii="宋体" w:hAnsi="宋体" w:cs="宋体"/>
          <w:bCs/>
          <w:color w:val="auto"/>
          <w:sz w:val="24"/>
          <w:highlight w:val="none"/>
        </w:rPr>
      </w:pPr>
    </w:p>
    <w:p w14:paraId="289D170A">
      <w:pPr>
        <w:spacing w:line="360" w:lineRule="auto"/>
        <w:rPr>
          <w:rFonts w:ascii="宋体" w:hAnsi="宋体" w:cs="宋体"/>
          <w:bCs/>
          <w:color w:val="auto"/>
          <w:sz w:val="24"/>
          <w:highlight w:val="none"/>
        </w:rPr>
      </w:pPr>
    </w:p>
    <w:p w14:paraId="6A7FCE2A">
      <w:pPr>
        <w:pStyle w:val="21"/>
        <w:spacing w:after="0" w:line="360" w:lineRule="auto"/>
        <w:ind w:left="0" w:leftChars="0"/>
        <w:rPr>
          <w:color w:val="auto"/>
          <w:highlight w:val="none"/>
        </w:rPr>
      </w:pPr>
    </w:p>
    <w:p w14:paraId="3754E248">
      <w:pPr>
        <w:spacing w:line="360" w:lineRule="auto"/>
        <w:rPr>
          <w:rFonts w:ascii="宋体" w:hAnsi="宋体" w:cs="宋体"/>
          <w:b/>
          <w:color w:val="auto"/>
          <w:szCs w:val="21"/>
          <w:highlight w:val="none"/>
        </w:rPr>
      </w:pPr>
    </w:p>
    <w:p w14:paraId="0E2FC7C1">
      <w:pPr>
        <w:spacing w:line="360" w:lineRule="auto"/>
        <w:jc w:val="center"/>
        <w:rPr>
          <w:rFonts w:ascii="宋体" w:hAnsi="宋体" w:cs="宋体"/>
          <w:b/>
          <w:color w:val="auto"/>
          <w:szCs w:val="21"/>
          <w:highlight w:val="none"/>
        </w:rPr>
      </w:pPr>
    </w:p>
    <w:p w14:paraId="1CDE6BB8">
      <w:pPr>
        <w:spacing w:line="360" w:lineRule="auto"/>
        <w:jc w:val="center"/>
        <w:rPr>
          <w:rFonts w:ascii="宋体" w:hAnsi="宋体" w:cs="宋体"/>
          <w:b/>
          <w:bCs/>
          <w:color w:val="auto"/>
          <w:szCs w:val="21"/>
          <w:highlight w:val="none"/>
        </w:rPr>
      </w:pPr>
      <w:r>
        <w:rPr>
          <w:rFonts w:hint="eastAsia" w:ascii="宋体" w:hAnsi="宋体" w:cs="宋体"/>
          <w:b/>
          <w:color w:val="auto"/>
          <w:szCs w:val="21"/>
          <w:highlight w:val="none"/>
        </w:rPr>
        <w:t>参加本次采购活动前 3 年内在经营活动中没有重大违法记</w:t>
      </w:r>
      <w:r>
        <w:rPr>
          <w:rFonts w:hint="eastAsia" w:ascii="宋体" w:hAnsi="宋体" w:cs="宋体"/>
          <w:b/>
          <w:bCs/>
          <w:color w:val="auto"/>
          <w:szCs w:val="21"/>
          <w:highlight w:val="none"/>
        </w:rPr>
        <w:t>录的书面声明</w:t>
      </w:r>
    </w:p>
    <w:p w14:paraId="77C6EE3C">
      <w:pPr>
        <w:spacing w:line="360" w:lineRule="auto"/>
        <w:rPr>
          <w:rFonts w:ascii="宋体" w:hAnsi="宋体" w:cs="宋体"/>
          <w:color w:val="auto"/>
          <w:szCs w:val="21"/>
          <w:highlight w:val="none"/>
        </w:rPr>
      </w:pPr>
    </w:p>
    <w:p w14:paraId="49FFDC8B">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声  明</w:t>
      </w:r>
    </w:p>
    <w:p w14:paraId="7F79331B">
      <w:pPr>
        <w:spacing w:line="360" w:lineRule="auto"/>
        <w:rPr>
          <w:rFonts w:ascii="宋体" w:hAnsi="宋体" w:cs="宋体"/>
          <w:bCs/>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bCs/>
          <w:color w:val="auto"/>
          <w:szCs w:val="21"/>
          <w:highlight w:val="none"/>
        </w:rPr>
        <w:t>我公司郑重声明：参加本次采购活动前 3 年内，我公司在经营活动中没有因违法经营受到刑事处罚或者责令停产停业、吊销许可证或者执照、较大数额罚款等行政处罚。</w:t>
      </w:r>
    </w:p>
    <w:p w14:paraId="63DABBB2">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w:t>
      </w:r>
    </w:p>
    <w:p w14:paraId="39C7C50C">
      <w:pPr>
        <w:spacing w:line="360" w:lineRule="auto"/>
        <w:ind w:firstLine="3360" w:firstLineChars="1600"/>
        <w:rPr>
          <w:rFonts w:ascii="宋体" w:hAnsi="宋体" w:cs="宋体"/>
          <w:bCs/>
          <w:color w:val="auto"/>
          <w:szCs w:val="21"/>
          <w:highlight w:val="none"/>
          <w:u w:val="single"/>
        </w:rPr>
      </w:pPr>
      <w:r>
        <w:rPr>
          <w:rFonts w:hint="eastAsia" w:ascii="宋体" w:hAnsi="宋体" w:cs="宋体"/>
          <w:bCs/>
          <w:color w:val="auto"/>
          <w:szCs w:val="21"/>
          <w:highlight w:val="none"/>
        </w:rPr>
        <w:t>供应商名称（公章）：</w:t>
      </w:r>
      <w:r>
        <w:rPr>
          <w:rFonts w:hint="eastAsia" w:ascii="宋体" w:hAnsi="宋体" w:cs="宋体"/>
          <w:bCs/>
          <w:color w:val="auto"/>
          <w:szCs w:val="21"/>
          <w:highlight w:val="none"/>
          <w:u w:val="single"/>
        </w:rPr>
        <w:t xml:space="preserve">                            </w:t>
      </w:r>
    </w:p>
    <w:p w14:paraId="19AB9663">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 xml:space="preserve">                               法定代表人或授权代表签字：</w:t>
      </w:r>
      <w:r>
        <w:rPr>
          <w:rFonts w:hint="eastAsia" w:ascii="宋体" w:hAnsi="宋体" w:cs="宋体"/>
          <w:bCs/>
          <w:color w:val="auto"/>
          <w:szCs w:val="21"/>
          <w:highlight w:val="none"/>
          <w:u w:val="single"/>
        </w:rPr>
        <w:t xml:space="preserve">                       </w:t>
      </w:r>
    </w:p>
    <w:p w14:paraId="6F59FE6D">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日期：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0B0C9FD6">
      <w:pPr>
        <w:spacing w:line="360" w:lineRule="auto"/>
        <w:rPr>
          <w:rFonts w:ascii="宋体" w:hAnsi="宋体" w:cs="宋体"/>
          <w:bCs/>
          <w:color w:val="auto"/>
          <w:sz w:val="24"/>
          <w:highlight w:val="none"/>
        </w:rPr>
      </w:pPr>
    </w:p>
    <w:p w14:paraId="206CBB0A">
      <w:pPr>
        <w:spacing w:line="360" w:lineRule="auto"/>
        <w:rPr>
          <w:rFonts w:ascii="宋体" w:hAnsi="宋体" w:cs="宋体"/>
          <w:bCs/>
          <w:color w:val="auto"/>
          <w:sz w:val="24"/>
          <w:highlight w:val="none"/>
        </w:rPr>
      </w:pPr>
    </w:p>
    <w:p w14:paraId="58E281BC">
      <w:pPr>
        <w:spacing w:line="360" w:lineRule="auto"/>
        <w:rPr>
          <w:rFonts w:ascii="宋体" w:hAnsi="宋体" w:cs="宋体"/>
          <w:bCs/>
          <w:color w:val="auto"/>
          <w:sz w:val="24"/>
          <w:highlight w:val="none"/>
        </w:rPr>
      </w:pPr>
    </w:p>
    <w:p w14:paraId="6F0FC1B9">
      <w:pPr>
        <w:spacing w:line="360" w:lineRule="auto"/>
        <w:rPr>
          <w:rFonts w:ascii="宋体" w:hAnsi="宋体" w:cs="宋体"/>
          <w:bCs/>
          <w:color w:val="auto"/>
          <w:sz w:val="24"/>
          <w:highlight w:val="none"/>
        </w:rPr>
      </w:pPr>
    </w:p>
    <w:p w14:paraId="023EBD1D">
      <w:pPr>
        <w:spacing w:line="360" w:lineRule="auto"/>
        <w:rPr>
          <w:rFonts w:ascii="宋体" w:hAnsi="宋体" w:cs="宋体"/>
          <w:bCs/>
          <w:color w:val="auto"/>
          <w:sz w:val="24"/>
          <w:highlight w:val="none"/>
        </w:rPr>
      </w:pPr>
    </w:p>
    <w:p w14:paraId="5FF826B1">
      <w:pPr>
        <w:spacing w:line="360" w:lineRule="auto"/>
        <w:rPr>
          <w:rFonts w:ascii="宋体" w:hAnsi="宋体" w:cs="宋体"/>
          <w:bCs/>
          <w:color w:val="auto"/>
          <w:sz w:val="24"/>
          <w:highlight w:val="none"/>
        </w:rPr>
      </w:pPr>
    </w:p>
    <w:p w14:paraId="34F86D34">
      <w:pPr>
        <w:spacing w:line="360" w:lineRule="auto"/>
        <w:rPr>
          <w:rFonts w:ascii="宋体" w:hAnsi="宋体" w:cs="宋体"/>
          <w:bCs/>
          <w:color w:val="auto"/>
          <w:sz w:val="24"/>
          <w:highlight w:val="none"/>
        </w:rPr>
      </w:pPr>
    </w:p>
    <w:p w14:paraId="437515FD">
      <w:pPr>
        <w:spacing w:line="360" w:lineRule="auto"/>
        <w:rPr>
          <w:rFonts w:ascii="宋体" w:hAnsi="宋体" w:cs="宋体"/>
          <w:bCs/>
          <w:color w:val="auto"/>
          <w:sz w:val="24"/>
          <w:highlight w:val="none"/>
        </w:rPr>
      </w:pPr>
    </w:p>
    <w:p w14:paraId="1068A2E1">
      <w:pPr>
        <w:pStyle w:val="21"/>
        <w:spacing w:after="0" w:line="360" w:lineRule="auto"/>
        <w:ind w:left="0" w:leftChars="0"/>
        <w:rPr>
          <w:color w:val="auto"/>
          <w:highlight w:val="none"/>
        </w:rPr>
      </w:pPr>
    </w:p>
    <w:p w14:paraId="728C5C81">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6DF06844">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供应商信用承诺书</w:t>
      </w:r>
    </w:p>
    <w:p w14:paraId="5CB7FE83">
      <w:pPr>
        <w:spacing w:line="360" w:lineRule="auto"/>
        <w:rPr>
          <w:rFonts w:ascii="宋体" w:hAnsi="宋体" w:cs="宋体"/>
          <w:color w:val="auto"/>
          <w:sz w:val="24"/>
          <w:szCs w:val="24"/>
          <w:highlight w:val="none"/>
        </w:rPr>
      </w:pPr>
    </w:p>
    <w:p w14:paraId="43DAEFFB">
      <w:pPr>
        <w:spacing w:line="360" w:lineRule="auto"/>
        <w:rPr>
          <w:rFonts w:ascii="宋体" w:hAnsi="宋体" w:cs="宋体"/>
          <w:color w:val="auto"/>
          <w:szCs w:val="21"/>
          <w:highlight w:val="none"/>
        </w:rPr>
      </w:pPr>
      <w:r>
        <w:rPr>
          <w:rFonts w:hint="eastAsia" w:ascii="宋体" w:hAnsi="宋体" w:cs="宋体"/>
          <w:color w:val="auto"/>
          <w:szCs w:val="21"/>
          <w:highlight w:val="none"/>
        </w:rPr>
        <w:t>承诺主体名称：</w:t>
      </w:r>
    </w:p>
    <w:p w14:paraId="4AEC8D76">
      <w:pPr>
        <w:spacing w:line="360" w:lineRule="auto"/>
        <w:rPr>
          <w:rFonts w:ascii="宋体" w:hAnsi="宋体" w:cs="宋体"/>
          <w:color w:val="auto"/>
          <w:szCs w:val="21"/>
          <w:highlight w:val="none"/>
        </w:rPr>
      </w:pPr>
      <w:r>
        <w:rPr>
          <w:rFonts w:hint="eastAsia" w:ascii="宋体" w:hAnsi="宋体" w:cs="宋体"/>
          <w:color w:val="auto"/>
          <w:szCs w:val="21"/>
          <w:highlight w:val="none"/>
        </w:rPr>
        <w:t>统一社会信用代码：</w:t>
      </w:r>
    </w:p>
    <w:p w14:paraId="5D1CA685">
      <w:pPr>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为维护公平竞争、规范有序的市场秩序，营造诚实守信的信用环境，共同推进社会信用体系建设完善，树立企业诚信守法形象，本企业对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采购活动郑重承诺如下：</w:t>
      </w:r>
    </w:p>
    <w:p w14:paraId="3725D1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一、对提供给注册登记部门、行业管理部门、司法部门、行业组织以及在采购活动中提交的所有资料的合法性、真实性、准确性和有效性负责；</w:t>
      </w:r>
    </w:p>
    <w:p w14:paraId="5BE88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二、严格按照国家法律、法规和规章开展采购活动，全面履行应尽的责任和义务，全面做到履约守信，具备《中华人民共和国政府采购法》第二十二条第一款规定的条件;</w:t>
      </w:r>
    </w:p>
    <w:p w14:paraId="608FB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三、严格依法开展生产经营活动，主动接受行业监管，自愿接受依法开展的日常检查；违法失信经营后将自愿接受约束和惩戒，并依法承担相应责任；</w:t>
      </w:r>
    </w:p>
    <w:p w14:paraId="233BD6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四、自觉接受行政管理部门、行业组织、社会公众、新闻舆论的监督；</w:t>
      </w:r>
    </w:p>
    <w:p w14:paraId="5115F1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五、自觉做到自我约束、自我管理，不制假售假、商标侵权、虚假宣传、违约毁约、恶意逃债、偷税漏税、垄断和不正当竞争，维护经营者、消费者的合法权益；</w:t>
      </w:r>
    </w:p>
    <w:p w14:paraId="5B35D8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六、提出采购质疑和投诉坚持依法依规、诚实信用原则，在全国范围12个月内没有三次以上查无实据的采购投诉；</w:t>
      </w:r>
    </w:p>
    <w:p w14:paraId="52062F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七、严格遵守信用信息公示相关规定，向社会公示信用信息；</w:t>
      </w:r>
    </w:p>
    <w:p w14:paraId="3CE4B5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八、在“信用中国”和“中国政府采购网”网站中无违法违规、较重或严重失信记录；</w:t>
      </w:r>
    </w:p>
    <w:p w14:paraId="5D313D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14:paraId="3C37CD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十、本承诺书自签订之日起生效。</w:t>
      </w:r>
    </w:p>
    <w:p w14:paraId="1C5986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（注：法定代表人或负责人、主体名称发生变更的应当重新做出承诺。）</w:t>
      </w:r>
    </w:p>
    <w:p w14:paraId="1824F39E">
      <w:pPr>
        <w:pStyle w:val="29"/>
        <w:spacing w:line="360" w:lineRule="auto"/>
        <w:ind w:firstLine="420"/>
        <w:rPr>
          <w:rFonts w:ascii="宋体" w:hAnsi="宋体" w:cs="宋体"/>
          <w:color w:val="auto"/>
          <w:szCs w:val="21"/>
          <w:highlight w:val="none"/>
        </w:rPr>
      </w:pPr>
    </w:p>
    <w:p w14:paraId="13A231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承诺单位（盖章）：           </w:t>
      </w:r>
    </w:p>
    <w:p w14:paraId="6D06AE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法定代表人（负责人）（签字或盖章）：</w:t>
      </w:r>
    </w:p>
    <w:p w14:paraId="044DAEEF">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年    月    日</w:t>
      </w:r>
    </w:p>
    <w:p w14:paraId="31B75BC5">
      <w:pPr>
        <w:spacing w:line="360" w:lineRule="auto"/>
        <w:rPr>
          <w:rFonts w:ascii="宋体" w:hAnsi="宋体" w:cs="宋体"/>
          <w:color w:val="auto"/>
          <w:szCs w:val="21"/>
          <w:highlight w:val="none"/>
        </w:rPr>
      </w:pPr>
    </w:p>
    <w:p w14:paraId="0E45BE8F">
      <w:pPr>
        <w:rPr>
          <w:rFonts w:ascii="宋体" w:hAnsi="宋体" w:cs="宋体"/>
          <w:b/>
          <w:color w:val="auto"/>
          <w:szCs w:val="21"/>
          <w:highlight w:val="none"/>
        </w:rPr>
      </w:pPr>
      <w:r>
        <w:rPr>
          <w:rFonts w:ascii="宋体" w:hAnsi="宋体" w:cs="宋体"/>
          <w:b/>
          <w:color w:val="auto"/>
          <w:szCs w:val="21"/>
          <w:highlight w:val="none"/>
        </w:rPr>
        <w:br w:type="page"/>
      </w:r>
    </w:p>
    <w:p w14:paraId="55F30311">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中小企业声明函（工程、服务）</w:t>
      </w:r>
    </w:p>
    <w:p w14:paraId="574C5676">
      <w:pPr>
        <w:spacing w:line="360" w:lineRule="auto"/>
        <w:ind w:firstLine="315" w:firstLineChars="150"/>
        <w:rPr>
          <w:rFonts w:ascii="宋体" w:hAnsi="宋体" w:cs="宋体"/>
          <w:color w:val="auto"/>
          <w:szCs w:val="21"/>
          <w:highlight w:val="none"/>
        </w:rPr>
      </w:pPr>
      <w:bookmarkStart w:id="162" w:name="_Toc109304977"/>
      <w:r>
        <w:rPr>
          <w:rFonts w:hint="eastAsia" w:ascii="宋体" w:hAnsi="宋体" w:cs="宋体"/>
          <w:color w:val="auto"/>
          <w:szCs w:val="21"/>
          <w:highlight w:val="none"/>
        </w:rPr>
        <w:t>本公司（联合体）郑重声明，根据《政府采购促进中小企业发展暂行办法》(财库[2020]46号)的规定，本公司（联合体）参加</w:t>
      </w:r>
      <w:r>
        <w:rPr>
          <w:rFonts w:hint="eastAsia" w:ascii="宋体" w:hAnsi="宋体" w:cs="宋体"/>
          <w:color w:val="auto"/>
          <w:szCs w:val="21"/>
          <w:highlight w:val="none"/>
          <w:u w:val="single"/>
        </w:rPr>
        <w:t>（单位名称）的（项目名称）</w:t>
      </w:r>
      <w:r>
        <w:rPr>
          <w:rFonts w:hint="eastAsia" w:ascii="宋体" w:hAnsi="宋体" w:cs="宋体"/>
          <w:color w:val="auto"/>
          <w:szCs w:val="21"/>
          <w:highlight w:val="none"/>
        </w:rPr>
        <w:t>采购活动，提供的货物全部由符合政策要求的中小企业制造（或者：服务全部由符合政策要求的中小企业承接）。相关企业（含联合体中的中小企业、签订分包意向协议的中小企业）的具体情况如下：</w:t>
      </w:r>
    </w:p>
    <w:p w14:paraId="737C66B5">
      <w:pPr>
        <w:pStyle w:val="42"/>
        <w:numPr>
          <w:ilvl w:val="0"/>
          <w:numId w:val="6"/>
        </w:numPr>
        <w:spacing w:line="360" w:lineRule="auto"/>
        <w:ind w:firstLine="420"/>
        <w:rPr>
          <w:rFonts w:hAnsi="宋体" w:eastAsia="宋体" w:cs="宋体"/>
          <w:color w:val="auto"/>
          <w:szCs w:val="21"/>
          <w:highlight w:val="none"/>
        </w:rPr>
      </w:pPr>
      <w:r>
        <w:rPr>
          <w:rFonts w:hint="eastAsia" w:hAnsi="宋体" w:eastAsia="宋体" w:cs="宋体"/>
          <w:color w:val="auto"/>
          <w:szCs w:val="21"/>
          <w:highlight w:val="none"/>
          <w:u w:val="single"/>
        </w:rPr>
        <w:t>（标的名称）</w:t>
      </w:r>
      <w:r>
        <w:rPr>
          <w:rFonts w:hint="eastAsia" w:hAnsi="宋体" w:eastAsia="宋体" w:cs="宋体"/>
          <w:color w:val="auto"/>
          <w:szCs w:val="21"/>
          <w:highlight w:val="none"/>
        </w:rPr>
        <w:t>，属于</w:t>
      </w:r>
      <w:r>
        <w:rPr>
          <w:rFonts w:hint="eastAsia" w:hAnsi="宋体" w:eastAsia="宋体" w:cs="宋体"/>
          <w:color w:val="auto"/>
          <w:szCs w:val="21"/>
          <w:highlight w:val="none"/>
          <w:u w:val="single"/>
        </w:rPr>
        <w:t>（其他未列明行业）</w:t>
      </w:r>
      <w:r>
        <w:rPr>
          <w:rFonts w:hint="eastAsia" w:hAnsi="宋体" w:eastAsia="宋体" w:cs="宋体"/>
          <w:color w:val="auto"/>
          <w:szCs w:val="21"/>
          <w:highlight w:val="none"/>
        </w:rPr>
        <w:t>；制造商为</w:t>
      </w:r>
      <w:r>
        <w:rPr>
          <w:rFonts w:hint="eastAsia" w:hAnsi="宋体" w:eastAsia="宋体" w:cs="宋体"/>
          <w:color w:val="auto"/>
          <w:szCs w:val="21"/>
          <w:highlight w:val="none"/>
          <w:u w:val="single"/>
        </w:rPr>
        <w:t>（企业名称）</w:t>
      </w:r>
      <w:r>
        <w:rPr>
          <w:rFonts w:hint="eastAsia" w:hAnsi="宋体" w:eastAsia="宋体" w:cs="宋体"/>
          <w:color w:val="auto"/>
          <w:szCs w:val="21"/>
          <w:highlight w:val="none"/>
        </w:rPr>
        <w:t>，从业人员</w:t>
      </w:r>
      <w:r>
        <w:rPr>
          <w:rFonts w:hint="eastAsia" w:hAnsi="宋体" w:eastAsia="宋体" w:cs="宋体"/>
          <w:color w:val="auto"/>
          <w:szCs w:val="21"/>
          <w:highlight w:val="none"/>
          <w:u w:val="single"/>
        </w:rPr>
        <w:t xml:space="preserve">    </w:t>
      </w:r>
      <w:r>
        <w:rPr>
          <w:rFonts w:hint="eastAsia" w:hAnsi="宋体" w:eastAsia="宋体" w:cs="宋体"/>
          <w:color w:val="auto"/>
          <w:szCs w:val="21"/>
          <w:highlight w:val="none"/>
        </w:rPr>
        <w:t>人，营业收入为</w:t>
      </w:r>
      <w:r>
        <w:rPr>
          <w:rFonts w:hint="eastAsia" w:hAnsi="宋体" w:eastAsia="宋体" w:cs="宋体"/>
          <w:color w:val="auto"/>
          <w:szCs w:val="21"/>
          <w:highlight w:val="none"/>
          <w:u w:val="single"/>
        </w:rPr>
        <w:t xml:space="preserve">    </w:t>
      </w:r>
      <w:r>
        <w:rPr>
          <w:rFonts w:hint="eastAsia" w:hAnsi="宋体" w:eastAsia="宋体" w:cs="宋体"/>
          <w:color w:val="auto"/>
          <w:szCs w:val="21"/>
          <w:highlight w:val="none"/>
        </w:rPr>
        <w:t>万元，资产总额为</w:t>
      </w:r>
      <w:r>
        <w:rPr>
          <w:rFonts w:hint="eastAsia" w:hAnsi="宋体" w:eastAsia="宋体" w:cs="宋体"/>
          <w:color w:val="auto"/>
          <w:szCs w:val="21"/>
          <w:highlight w:val="none"/>
          <w:u w:val="single"/>
        </w:rPr>
        <w:t xml:space="preserve">    </w:t>
      </w:r>
      <w:r>
        <w:rPr>
          <w:rFonts w:hint="eastAsia" w:hAnsi="宋体" w:eastAsia="宋体" w:cs="宋体"/>
          <w:color w:val="auto"/>
          <w:szCs w:val="21"/>
          <w:highlight w:val="none"/>
        </w:rPr>
        <w:t>万元，属于</w:t>
      </w:r>
      <w:r>
        <w:rPr>
          <w:rFonts w:hint="eastAsia" w:hAnsi="宋体" w:eastAsia="宋体" w:cs="宋体"/>
          <w:color w:val="auto"/>
          <w:szCs w:val="21"/>
          <w:highlight w:val="none"/>
          <w:u w:val="single"/>
        </w:rPr>
        <w:t>（中型企业、小型企业、微型企业）</w:t>
      </w:r>
      <w:r>
        <w:rPr>
          <w:rFonts w:hint="eastAsia" w:hAnsi="宋体" w:eastAsia="宋体" w:cs="宋体"/>
          <w:color w:val="auto"/>
          <w:szCs w:val="21"/>
          <w:highlight w:val="none"/>
        </w:rPr>
        <w:t>；</w:t>
      </w:r>
    </w:p>
    <w:p w14:paraId="08751AD7">
      <w:pPr>
        <w:numPr>
          <w:ilvl w:val="0"/>
          <w:numId w:val="6"/>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322981F0">
      <w:pPr>
        <w:pStyle w:val="42"/>
        <w:spacing w:line="360" w:lineRule="auto"/>
        <w:ind w:firstLine="420" w:firstLineChars="0"/>
        <w:rPr>
          <w:rFonts w:hAnsi="宋体" w:eastAsia="宋体" w:cs="宋体"/>
          <w:color w:val="auto"/>
          <w:szCs w:val="21"/>
          <w:highlight w:val="none"/>
        </w:rPr>
      </w:pPr>
      <w:r>
        <w:rPr>
          <w:rFonts w:hint="eastAsia" w:hAnsi="宋体" w:eastAsia="宋体" w:cs="宋体"/>
          <w:color w:val="auto"/>
          <w:szCs w:val="21"/>
          <w:highlight w:val="none"/>
        </w:rPr>
        <w:t>.......</w:t>
      </w:r>
    </w:p>
    <w:p w14:paraId="2126338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以上企业，不属于大企业的分支机构，不存在控股股东为大企业的情形，在不存在与大企业的负责人为同一人的情形。</w:t>
      </w:r>
    </w:p>
    <w:p w14:paraId="33D4089B">
      <w:pPr>
        <w:pStyle w:val="42"/>
        <w:spacing w:line="360" w:lineRule="auto"/>
        <w:ind w:firstLine="420"/>
        <w:rPr>
          <w:rFonts w:hAnsi="宋体" w:eastAsia="宋体" w:cs="宋体"/>
          <w:color w:val="auto"/>
          <w:szCs w:val="21"/>
          <w:highlight w:val="none"/>
        </w:rPr>
      </w:pPr>
      <w:r>
        <w:rPr>
          <w:rFonts w:hint="eastAsia" w:hAnsi="宋体" w:eastAsia="宋体" w:cs="宋体"/>
          <w:color w:val="auto"/>
          <w:szCs w:val="21"/>
          <w:highlight w:val="none"/>
        </w:rPr>
        <w:t>本企业对上述声明内容的真实性负责。如有虚假，将依法承担相应责任。</w:t>
      </w:r>
    </w:p>
    <w:p w14:paraId="7F714584">
      <w:pPr>
        <w:spacing w:line="360" w:lineRule="auto"/>
        <w:rPr>
          <w:rFonts w:ascii="宋体" w:hAnsi="宋体" w:cs="宋体"/>
          <w:color w:val="auto"/>
          <w:szCs w:val="21"/>
          <w:highlight w:val="none"/>
        </w:rPr>
      </w:pPr>
    </w:p>
    <w:p w14:paraId="103E4A95">
      <w:pPr>
        <w:pStyle w:val="42"/>
        <w:spacing w:line="360" w:lineRule="auto"/>
        <w:ind w:firstLine="420"/>
        <w:rPr>
          <w:rFonts w:hAnsi="宋体" w:eastAsia="宋体" w:cs="宋体"/>
          <w:color w:val="auto"/>
          <w:szCs w:val="21"/>
          <w:highlight w:val="none"/>
        </w:rPr>
      </w:pPr>
    </w:p>
    <w:p w14:paraId="7E1560F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企业名称（盖章）：</w:t>
      </w:r>
    </w:p>
    <w:p w14:paraId="64308B06">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 xml:space="preserve">                                 日期：</w:t>
      </w:r>
    </w:p>
    <w:p w14:paraId="30E34FDC">
      <w:pPr>
        <w:spacing w:line="360" w:lineRule="auto"/>
        <w:rPr>
          <w:rFonts w:ascii="宋体" w:hAnsi="宋体" w:cs="宋体"/>
          <w:color w:val="auto"/>
          <w:szCs w:val="21"/>
          <w:highlight w:val="none"/>
        </w:rPr>
      </w:pPr>
    </w:p>
    <w:p w14:paraId="143731E2">
      <w:pPr>
        <w:pStyle w:val="29"/>
        <w:spacing w:line="360" w:lineRule="auto"/>
        <w:ind w:firstLine="420"/>
        <w:jc w:val="left"/>
        <w:rPr>
          <w:rFonts w:cs="宋体"/>
          <w:color w:val="auto"/>
          <w:szCs w:val="21"/>
          <w:highlight w:val="none"/>
        </w:rPr>
      </w:pPr>
      <w:r>
        <w:rPr>
          <w:rStyle w:val="53"/>
          <w:rFonts w:hint="default" w:cs="宋体"/>
          <w:color w:val="auto"/>
          <w:sz w:val="21"/>
          <w:szCs w:val="21"/>
          <w:highlight w:val="none"/>
        </w:rPr>
        <w:t>1、从业人员、营业收入、资产总额填报上一年度数据，无上一年度数据的新成立企业可不填报。</w:t>
      </w:r>
    </w:p>
    <w:p w14:paraId="2B683C16">
      <w:pPr>
        <w:pStyle w:val="29"/>
        <w:spacing w:line="360" w:lineRule="auto"/>
        <w:ind w:firstLine="420"/>
        <w:jc w:val="left"/>
        <w:rPr>
          <w:rFonts w:cs="宋体"/>
          <w:color w:val="auto"/>
          <w:szCs w:val="21"/>
          <w:highlight w:val="none"/>
        </w:rPr>
      </w:pPr>
      <w:r>
        <w:rPr>
          <w:rStyle w:val="53"/>
          <w:rFonts w:hint="default" w:cs="宋体"/>
          <w:color w:val="auto"/>
          <w:sz w:val="21"/>
          <w:szCs w:val="21"/>
          <w:highlight w:val="none"/>
        </w:rPr>
        <w:t>2、本项目采购标的按中小企业划分标准所属行业区分为【其他未列明行业】。（中小微企业划型标准网址http://www.gov.cn/zwgk/2011-07/04/content_1898747.htm）</w:t>
      </w:r>
    </w:p>
    <w:p w14:paraId="10198737">
      <w:pPr>
        <w:pStyle w:val="29"/>
        <w:spacing w:line="360" w:lineRule="auto"/>
        <w:ind w:firstLine="420"/>
        <w:jc w:val="left"/>
        <w:rPr>
          <w:rFonts w:cs="宋体"/>
          <w:color w:val="auto"/>
          <w:szCs w:val="21"/>
          <w:highlight w:val="none"/>
        </w:rPr>
      </w:pPr>
      <w:r>
        <w:rPr>
          <w:rStyle w:val="53"/>
          <w:rFonts w:hint="default" w:cs="宋体"/>
          <w:color w:val="auto"/>
          <w:sz w:val="21"/>
          <w:szCs w:val="21"/>
          <w:highlight w:val="none"/>
        </w:rPr>
        <w:t>3、供应商投标（响应）文件中须提供《中小企业申明函》，《中小企业申明函》不符合要求或未提供的，作如下处理：①如本项目专门面向中小企业采购，则投标（响应）文件无效；②如本项目不专门面向中小企业采购，则价格将不做相应扣除。</w:t>
      </w:r>
    </w:p>
    <w:p w14:paraId="4D3A8161">
      <w:pPr>
        <w:pStyle w:val="29"/>
        <w:spacing w:line="360" w:lineRule="auto"/>
        <w:ind w:firstLine="420"/>
        <w:jc w:val="left"/>
        <w:rPr>
          <w:rFonts w:cs="宋体"/>
          <w:color w:val="auto"/>
          <w:szCs w:val="21"/>
          <w:highlight w:val="none"/>
        </w:rPr>
      </w:pPr>
      <w:r>
        <w:rPr>
          <w:rStyle w:val="53"/>
          <w:rFonts w:hint="default" w:cs="宋体"/>
          <w:color w:val="auto"/>
          <w:sz w:val="21"/>
          <w:szCs w:val="21"/>
          <w:highlight w:val="none"/>
        </w:rPr>
        <w:t>4、中小企业声明函请完整填写，成交（中标）后将公示。</w:t>
      </w:r>
    </w:p>
    <w:p w14:paraId="4344D5E9">
      <w:pPr>
        <w:spacing w:line="360" w:lineRule="auto"/>
        <w:ind w:firstLine="420" w:firstLineChars="200"/>
        <w:jc w:val="left"/>
        <w:rPr>
          <w:rStyle w:val="53"/>
          <w:rFonts w:hint="default" w:cs="宋体"/>
          <w:color w:val="auto"/>
          <w:sz w:val="21"/>
          <w:szCs w:val="21"/>
          <w:highlight w:val="none"/>
        </w:rPr>
      </w:pPr>
      <w:r>
        <w:rPr>
          <w:rStyle w:val="53"/>
          <w:rFonts w:hint="default" w:cs="宋体"/>
          <w:color w:val="auto"/>
          <w:sz w:val="21"/>
          <w:szCs w:val="21"/>
          <w:highlight w:val="none"/>
        </w:rPr>
        <w:t>5、供应商应当对其出具的《中小企业声明函》真实性负责，供应商出具的《中小企业声明函》 内容不实的，属于提供虚假材料谋取成交。对相关信息了解不充分，或者不能确定相关信息真实、准确的，不建议出具《中小企业声明函》。</w:t>
      </w:r>
    </w:p>
    <w:bookmarkEnd w:id="162"/>
    <w:p w14:paraId="281E60B3">
      <w:pPr>
        <w:pStyle w:val="19"/>
        <w:widowControl/>
        <w:spacing w:before="0" w:beforeAutospacing="0" w:after="0" w:afterAutospacing="0" w:line="360" w:lineRule="auto"/>
        <w:rPr>
          <w:rFonts w:ascii="宋体" w:hAnsi="宋体" w:cs="宋体"/>
          <w:color w:val="auto"/>
          <w:highlight w:val="none"/>
        </w:rPr>
      </w:pPr>
    </w:p>
    <w:p w14:paraId="3172B82C">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残疾人福利性单位声明函</w:t>
      </w:r>
    </w:p>
    <w:p w14:paraId="0553AC4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项目采购活动提供本单位制造的产品或服务（由本单位承担工程/提供服务），或者提供其他残疾人福利性单位制造的产品或服务（不包括使用非残疾人福利性单位注册商标的产品或服务）。</w:t>
      </w:r>
    </w:p>
    <w:p w14:paraId="1A0D1BA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本单位在本次政府采购活动中提供的残疾人福利单位产品报价合计为人民币（大写）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     ）。</w:t>
      </w:r>
    </w:p>
    <w:p w14:paraId="383737C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791EB5B2">
      <w:pPr>
        <w:spacing w:line="360" w:lineRule="auto"/>
        <w:ind w:firstLine="420"/>
        <w:rPr>
          <w:rFonts w:ascii="宋体" w:hAnsi="宋体" w:cs="宋体"/>
          <w:color w:val="auto"/>
          <w:szCs w:val="21"/>
          <w:highlight w:val="none"/>
        </w:rPr>
      </w:pPr>
    </w:p>
    <w:p w14:paraId="47D7345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（备注：1、供应商如不提供此声明函，价格将不做相应扣除。2、成交供应商为残疾人福利单位的，此声明函将随成交结果同时公告，接受社会监督）</w:t>
      </w:r>
    </w:p>
    <w:p w14:paraId="2CEEC4C2">
      <w:pPr>
        <w:spacing w:line="360" w:lineRule="auto"/>
        <w:ind w:firstLine="444"/>
        <w:rPr>
          <w:rFonts w:ascii="宋体" w:hAnsi="宋体" w:cs="宋体"/>
          <w:color w:val="auto"/>
          <w:spacing w:val="6"/>
          <w:szCs w:val="21"/>
          <w:highlight w:val="none"/>
        </w:rPr>
      </w:pPr>
    </w:p>
    <w:p w14:paraId="630E20E2">
      <w:pPr>
        <w:tabs>
          <w:tab w:val="left" w:pos="4860"/>
        </w:tabs>
        <w:spacing w:line="360" w:lineRule="auto"/>
        <w:ind w:firstLine="444"/>
        <w:jc w:val="center"/>
        <w:rPr>
          <w:rFonts w:ascii="宋体" w:hAnsi="宋体" w:cs="宋体"/>
          <w:color w:val="auto"/>
          <w:szCs w:val="21"/>
          <w:highlight w:val="none"/>
        </w:rPr>
      </w:pPr>
      <w:r>
        <w:rPr>
          <w:rFonts w:hint="eastAsia" w:ascii="宋体" w:hAnsi="宋体" w:cs="宋体"/>
          <w:color w:val="auto"/>
          <w:spacing w:val="6"/>
          <w:szCs w:val="21"/>
          <w:highlight w:val="none"/>
        </w:rPr>
        <w:t xml:space="preserve">             </w:t>
      </w:r>
      <w:r>
        <w:rPr>
          <w:rFonts w:hint="eastAsia" w:ascii="宋体" w:hAnsi="宋体" w:cs="宋体"/>
          <w:color w:val="auto"/>
          <w:szCs w:val="21"/>
          <w:highlight w:val="none"/>
        </w:rPr>
        <w:t xml:space="preserve">               供应商全称（盖章）：</w:t>
      </w:r>
    </w:p>
    <w:p w14:paraId="1995F80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  期：</w:t>
      </w:r>
    </w:p>
    <w:p w14:paraId="2185115A">
      <w:pPr>
        <w:spacing w:line="360" w:lineRule="auto"/>
        <w:rPr>
          <w:rFonts w:ascii="宋体" w:hAnsi="宋体" w:cs="宋体"/>
          <w:color w:val="auto"/>
          <w:highlight w:val="none"/>
        </w:rPr>
      </w:pPr>
    </w:p>
    <w:p w14:paraId="2BA6CE34">
      <w:pPr>
        <w:spacing w:line="360" w:lineRule="auto"/>
        <w:rPr>
          <w:rFonts w:ascii="宋体" w:hAnsi="宋体" w:cs="宋体"/>
          <w:b/>
          <w:color w:val="auto"/>
          <w:szCs w:val="21"/>
          <w:highlight w:val="none"/>
        </w:rPr>
      </w:pPr>
      <w:r>
        <w:rPr>
          <w:rFonts w:ascii="宋体" w:hAnsi="宋体" w:cs="宋体"/>
          <w:b/>
          <w:color w:val="auto"/>
          <w:szCs w:val="21"/>
          <w:highlight w:val="none"/>
        </w:rPr>
        <w:br w:type="page"/>
      </w:r>
    </w:p>
    <w:p w14:paraId="73B02A4F">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三、磋商响应报价表</w:t>
      </w:r>
    </w:p>
    <w:p w14:paraId="19363DE4">
      <w:pPr>
        <w:spacing w:line="360" w:lineRule="auto"/>
        <w:jc w:val="center"/>
        <w:rPr>
          <w:rFonts w:ascii="宋体" w:hAnsi="宋体" w:cs="宋体"/>
          <w:b/>
          <w:color w:val="auto"/>
          <w:szCs w:val="21"/>
          <w:highlight w:val="none"/>
        </w:rPr>
      </w:pPr>
    </w:p>
    <w:p w14:paraId="6C6880BF">
      <w:pPr>
        <w:spacing w:line="360" w:lineRule="auto"/>
        <w:rPr>
          <w:rFonts w:ascii="宋体" w:hAnsi="宋体" w:cs="宋体"/>
          <w:color w:val="auto"/>
          <w:highlight w:val="none"/>
        </w:rPr>
      </w:pPr>
      <w:r>
        <w:rPr>
          <w:rFonts w:hint="eastAsia" w:ascii="宋体" w:hAnsi="宋体" w:cs="宋体"/>
          <w:color w:val="auto"/>
          <w:highlight w:val="none"/>
        </w:rPr>
        <w:t xml:space="preserve">项目名称：               </w:t>
      </w:r>
    </w:p>
    <w:p w14:paraId="2A0B77E9">
      <w:pPr>
        <w:spacing w:line="360" w:lineRule="auto"/>
        <w:rPr>
          <w:rFonts w:ascii="宋体" w:hAnsi="宋体" w:cs="宋体"/>
          <w:color w:val="auto"/>
          <w:highlight w:val="none"/>
        </w:rPr>
      </w:pPr>
      <w:r>
        <w:rPr>
          <w:rFonts w:hint="eastAsia" w:ascii="宋体" w:hAnsi="宋体" w:cs="宋体"/>
          <w:color w:val="auto"/>
          <w:highlight w:val="none"/>
        </w:rPr>
        <w:t xml:space="preserve">项目编号： </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5577"/>
        <w:gridCol w:w="2475"/>
      </w:tblGrid>
      <w:tr w14:paraId="0C09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4" w:type="pct"/>
            <w:vAlign w:val="center"/>
          </w:tcPr>
          <w:p w14:paraId="480E683C">
            <w:pPr>
              <w:spacing w:line="360" w:lineRule="auto"/>
              <w:jc w:val="center"/>
              <w:rPr>
                <w:rFonts w:ascii="宋体" w:hAnsi="宋体" w:cs="宋体"/>
                <w:color w:val="auto"/>
                <w:highlight w:val="none"/>
              </w:rPr>
            </w:pPr>
            <w:r>
              <w:rPr>
                <w:rFonts w:hint="eastAsia" w:ascii="宋体" w:hAnsi="宋体" w:cs="宋体"/>
                <w:color w:val="auto"/>
                <w:highlight w:val="none"/>
              </w:rPr>
              <w:t>名  称</w:t>
            </w:r>
          </w:p>
        </w:tc>
        <w:tc>
          <w:tcPr>
            <w:tcW w:w="2801" w:type="pct"/>
            <w:vAlign w:val="center"/>
          </w:tcPr>
          <w:p w14:paraId="374FEAD9">
            <w:pPr>
              <w:spacing w:line="360" w:lineRule="auto"/>
              <w:jc w:val="center"/>
              <w:rPr>
                <w:rFonts w:ascii="宋体" w:hAnsi="宋体" w:cs="宋体"/>
                <w:color w:val="auto"/>
                <w:highlight w:val="none"/>
              </w:rPr>
            </w:pPr>
            <w:r>
              <w:rPr>
                <w:rFonts w:hint="eastAsia" w:ascii="宋体" w:hAnsi="宋体" w:cs="宋体"/>
                <w:color w:val="auto"/>
                <w:highlight w:val="none"/>
              </w:rPr>
              <w:t>第一轮报价（元）</w:t>
            </w:r>
          </w:p>
        </w:tc>
        <w:tc>
          <w:tcPr>
            <w:tcW w:w="1243" w:type="pct"/>
            <w:vAlign w:val="center"/>
          </w:tcPr>
          <w:p w14:paraId="6A766ED2">
            <w:pPr>
              <w:spacing w:line="360" w:lineRule="auto"/>
              <w:jc w:val="center"/>
              <w:rPr>
                <w:rFonts w:ascii="宋体" w:hAnsi="宋体" w:cs="宋体"/>
                <w:color w:val="auto"/>
                <w:highlight w:val="none"/>
              </w:rPr>
            </w:pPr>
            <w:r>
              <w:rPr>
                <w:rFonts w:hint="eastAsia" w:ascii="宋体" w:hAnsi="宋体" w:cs="宋体"/>
                <w:color w:val="auto"/>
                <w:szCs w:val="21"/>
                <w:highlight w:val="none"/>
              </w:rPr>
              <w:t>是否中/小/微企业</w:t>
            </w:r>
          </w:p>
        </w:tc>
      </w:tr>
      <w:tr w14:paraId="70A9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exact"/>
          <w:jc w:val="center"/>
        </w:trPr>
        <w:tc>
          <w:tcPr>
            <w:tcW w:w="954" w:type="pct"/>
            <w:vAlign w:val="center"/>
          </w:tcPr>
          <w:p w14:paraId="0C1FBD02">
            <w:pPr>
              <w:spacing w:line="360" w:lineRule="auto"/>
              <w:jc w:val="center"/>
              <w:rPr>
                <w:rFonts w:ascii="宋体" w:hAnsi="宋体" w:cs="宋体"/>
                <w:color w:val="auto"/>
                <w:highlight w:val="none"/>
              </w:rPr>
            </w:pPr>
            <w:r>
              <w:rPr>
                <w:rFonts w:hint="eastAsia" w:ascii="宋体" w:hAnsi="宋体" w:cs="宋体"/>
                <w:color w:val="auto"/>
                <w:szCs w:val="21"/>
                <w:highlight w:val="none"/>
              </w:rPr>
              <w:t>西湖皮革厂土壤修复项目效果评估</w:t>
            </w:r>
          </w:p>
        </w:tc>
        <w:tc>
          <w:tcPr>
            <w:tcW w:w="2801" w:type="pct"/>
            <w:vAlign w:val="center"/>
          </w:tcPr>
          <w:p w14:paraId="1CFDF5B3">
            <w:pPr>
              <w:jc w:val="center"/>
              <w:rPr>
                <w:rFonts w:ascii="宋体" w:hAnsi="宋体" w:cs="宋体"/>
                <w:color w:val="auto"/>
                <w:highlight w:val="none"/>
              </w:rPr>
            </w:pPr>
          </w:p>
          <w:p w14:paraId="28CDA6C4">
            <w:pPr>
              <w:rPr>
                <w:rFonts w:ascii="宋体" w:hAnsi="宋体" w:cs="宋体"/>
                <w:color w:val="auto"/>
                <w:highlight w:val="none"/>
                <w:u w:val="single"/>
              </w:rPr>
            </w:pPr>
            <w:r>
              <w:rPr>
                <w:rFonts w:hint="eastAsia" w:ascii="宋体" w:hAnsi="宋体" w:cs="宋体"/>
                <w:color w:val="auto"/>
                <w:highlight w:val="none"/>
              </w:rPr>
              <w:t>大写：</w:t>
            </w:r>
            <w:r>
              <w:rPr>
                <w:rFonts w:hint="eastAsia" w:ascii="宋体" w:hAnsi="宋体" w:cs="宋体"/>
                <w:color w:val="auto"/>
                <w:highlight w:val="none"/>
                <w:u w:val="single"/>
              </w:rPr>
              <w:t xml:space="preserve">                </w:t>
            </w:r>
          </w:p>
          <w:p w14:paraId="3D46234D">
            <w:pPr>
              <w:jc w:val="center"/>
              <w:rPr>
                <w:rFonts w:ascii="宋体" w:hAnsi="宋体" w:cs="宋体"/>
                <w:color w:val="auto"/>
                <w:highlight w:val="none"/>
              </w:rPr>
            </w:pPr>
          </w:p>
          <w:p w14:paraId="06AC8995">
            <w:pPr>
              <w:rPr>
                <w:rFonts w:ascii="宋体" w:hAnsi="宋体" w:cs="宋体"/>
                <w:color w:val="auto"/>
                <w:highlight w:val="none"/>
              </w:rPr>
            </w:pPr>
            <w:r>
              <w:rPr>
                <w:rFonts w:hint="eastAsia" w:ascii="宋体" w:hAnsi="宋体" w:cs="宋体"/>
                <w:color w:val="auto"/>
                <w:highlight w:val="none"/>
              </w:rPr>
              <w:t>小写：</w:t>
            </w:r>
            <w:r>
              <w:rPr>
                <w:rFonts w:hint="eastAsia" w:ascii="宋体" w:hAnsi="宋体" w:cs="宋体"/>
                <w:color w:val="auto"/>
                <w:highlight w:val="none"/>
                <w:u w:val="single"/>
              </w:rPr>
              <w:t xml:space="preserve">                </w:t>
            </w:r>
            <w:r>
              <w:rPr>
                <w:rFonts w:hint="eastAsia" w:ascii="宋体" w:hAnsi="宋体" w:cs="宋体"/>
                <w:color w:val="auto"/>
                <w:highlight w:val="none"/>
              </w:rPr>
              <w:t>元（人民币）</w:t>
            </w:r>
          </w:p>
        </w:tc>
        <w:tc>
          <w:tcPr>
            <w:tcW w:w="1243" w:type="pct"/>
            <w:vMerge w:val="restart"/>
            <w:vAlign w:val="center"/>
          </w:tcPr>
          <w:p w14:paraId="34E487EE">
            <w:pPr>
              <w:rPr>
                <w:rFonts w:ascii="宋体" w:hAnsi="宋体" w:cs="宋体"/>
                <w:color w:val="auto"/>
                <w:szCs w:val="21"/>
                <w:highlight w:val="none"/>
              </w:rPr>
            </w:pPr>
            <w:r>
              <w:rPr>
                <w:rFonts w:hint="eastAsia" w:ascii="宋体" w:hAnsi="宋体" w:cs="宋体"/>
                <w:color w:val="auto"/>
                <w:szCs w:val="21"/>
                <w:highlight w:val="none"/>
              </w:rPr>
              <w:t>□中型企业</w:t>
            </w:r>
          </w:p>
          <w:p w14:paraId="0FDAFA1B">
            <w:pPr>
              <w:rPr>
                <w:rFonts w:ascii="宋体" w:hAnsi="宋体" w:cs="宋体"/>
                <w:color w:val="auto"/>
                <w:szCs w:val="21"/>
                <w:highlight w:val="none"/>
              </w:rPr>
            </w:pPr>
            <w:r>
              <w:rPr>
                <w:rFonts w:hint="eastAsia" w:ascii="宋体" w:hAnsi="宋体" w:cs="宋体"/>
                <w:color w:val="auto"/>
                <w:szCs w:val="21"/>
                <w:highlight w:val="none"/>
              </w:rPr>
              <w:t>□小型企业</w:t>
            </w:r>
          </w:p>
          <w:p w14:paraId="1DD906F2">
            <w:pPr>
              <w:rPr>
                <w:rFonts w:ascii="宋体" w:hAnsi="宋体" w:cs="宋体"/>
                <w:color w:val="auto"/>
                <w:highlight w:val="none"/>
              </w:rPr>
            </w:pPr>
            <w:r>
              <w:rPr>
                <w:rFonts w:hint="eastAsia" w:ascii="宋体" w:hAnsi="宋体" w:cs="宋体"/>
                <w:color w:val="auto"/>
                <w:szCs w:val="21"/>
                <w:highlight w:val="none"/>
              </w:rPr>
              <w:t>□微型企业</w:t>
            </w:r>
          </w:p>
        </w:tc>
      </w:tr>
      <w:tr w14:paraId="2F24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4" w:type="pct"/>
            <w:vAlign w:val="center"/>
          </w:tcPr>
          <w:p w14:paraId="7E67EF44">
            <w:pPr>
              <w:spacing w:line="360" w:lineRule="auto"/>
              <w:jc w:val="center"/>
              <w:rPr>
                <w:rFonts w:ascii="宋体" w:hAnsi="宋体" w:cs="宋体"/>
                <w:color w:val="auto"/>
                <w:highlight w:val="none"/>
              </w:rPr>
            </w:pPr>
            <w:r>
              <w:rPr>
                <w:rFonts w:hint="eastAsia" w:ascii="宋体" w:hAnsi="宋体" w:cs="宋体"/>
                <w:color w:val="auto"/>
                <w:szCs w:val="21"/>
                <w:highlight w:val="none"/>
              </w:rPr>
              <w:t>合同工期</w:t>
            </w:r>
          </w:p>
        </w:tc>
        <w:tc>
          <w:tcPr>
            <w:tcW w:w="2801" w:type="pct"/>
            <w:vAlign w:val="center"/>
          </w:tcPr>
          <w:p w14:paraId="34810CC1">
            <w:pPr>
              <w:spacing w:line="360" w:lineRule="auto"/>
              <w:rPr>
                <w:rFonts w:ascii="宋体" w:hAnsi="宋体" w:cs="宋体"/>
                <w:color w:val="auto"/>
                <w:highlight w:val="none"/>
              </w:rPr>
            </w:pPr>
          </w:p>
        </w:tc>
        <w:tc>
          <w:tcPr>
            <w:tcW w:w="1243" w:type="pct"/>
            <w:vMerge w:val="continue"/>
            <w:vAlign w:val="center"/>
          </w:tcPr>
          <w:p w14:paraId="23BEE095">
            <w:pPr>
              <w:spacing w:line="360" w:lineRule="auto"/>
              <w:rPr>
                <w:rFonts w:ascii="宋体" w:hAnsi="宋体"/>
                <w:color w:val="auto"/>
                <w:szCs w:val="21"/>
                <w:highlight w:val="none"/>
              </w:rPr>
            </w:pPr>
          </w:p>
        </w:tc>
      </w:tr>
      <w:tr w14:paraId="7C8E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4" w:type="pct"/>
            <w:vAlign w:val="center"/>
          </w:tcPr>
          <w:p w14:paraId="3B86F62D">
            <w:pPr>
              <w:spacing w:line="360" w:lineRule="auto"/>
              <w:jc w:val="center"/>
              <w:rPr>
                <w:rFonts w:ascii="宋体" w:hAnsi="宋体" w:cs="宋体"/>
                <w:color w:val="auto"/>
                <w:highlight w:val="none"/>
              </w:rPr>
            </w:pPr>
            <w:r>
              <w:rPr>
                <w:rFonts w:hint="eastAsia" w:ascii="宋体" w:hAnsi="宋体" w:cs="宋体"/>
                <w:color w:val="auto"/>
                <w:highlight w:val="none"/>
              </w:rPr>
              <w:t>备 注</w:t>
            </w:r>
          </w:p>
        </w:tc>
        <w:tc>
          <w:tcPr>
            <w:tcW w:w="2801" w:type="pct"/>
            <w:vAlign w:val="center"/>
          </w:tcPr>
          <w:p w14:paraId="22B41DE6">
            <w:pPr>
              <w:spacing w:line="360" w:lineRule="auto"/>
              <w:rPr>
                <w:rFonts w:ascii="宋体" w:hAnsi="宋体"/>
                <w:color w:val="auto"/>
                <w:szCs w:val="21"/>
                <w:highlight w:val="none"/>
              </w:rPr>
            </w:pPr>
          </w:p>
        </w:tc>
        <w:tc>
          <w:tcPr>
            <w:tcW w:w="1243" w:type="pct"/>
            <w:vMerge w:val="continue"/>
            <w:vAlign w:val="center"/>
          </w:tcPr>
          <w:p w14:paraId="37198D0E">
            <w:pPr>
              <w:spacing w:line="360" w:lineRule="auto"/>
              <w:rPr>
                <w:rFonts w:ascii="宋体" w:hAnsi="宋体"/>
                <w:color w:val="auto"/>
                <w:szCs w:val="21"/>
                <w:highlight w:val="none"/>
              </w:rPr>
            </w:pPr>
          </w:p>
        </w:tc>
      </w:tr>
    </w:tbl>
    <w:p w14:paraId="5600E409">
      <w:pPr>
        <w:spacing w:line="360" w:lineRule="auto"/>
        <w:rPr>
          <w:rFonts w:ascii="宋体" w:hAnsi="宋体" w:cs="宋体"/>
          <w:color w:val="auto"/>
          <w:highlight w:val="none"/>
        </w:rPr>
      </w:pPr>
      <w:r>
        <w:rPr>
          <w:rFonts w:hint="eastAsia" w:ascii="宋体" w:hAnsi="宋体" w:cs="宋体"/>
          <w:color w:val="auto"/>
          <w:highlight w:val="none"/>
        </w:rPr>
        <w:t xml:space="preserve">                                   </w:t>
      </w:r>
    </w:p>
    <w:p w14:paraId="47553069">
      <w:pPr>
        <w:spacing w:line="360" w:lineRule="auto"/>
        <w:rPr>
          <w:rFonts w:ascii="宋体" w:hAnsi="宋体" w:cs="宋体"/>
          <w:bCs/>
          <w:color w:val="auto"/>
          <w:szCs w:val="21"/>
          <w:highlight w:val="none"/>
        </w:rPr>
      </w:pPr>
      <w:r>
        <w:rPr>
          <w:rFonts w:hint="eastAsia" w:ascii="宋体" w:hAnsi="宋体" w:cs="宋体"/>
          <w:bCs/>
          <w:color w:val="auto"/>
          <w:szCs w:val="21"/>
          <w:highlight w:val="none"/>
        </w:rPr>
        <w:t>磋商供应商全称（盖章）：</w:t>
      </w:r>
    </w:p>
    <w:p w14:paraId="171FA584">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法定代表人或授权代表（签字或盖章）：  </w:t>
      </w:r>
    </w:p>
    <w:p w14:paraId="78D34963">
      <w:pPr>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日   期：  年   月  日</w:t>
      </w:r>
    </w:p>
    <w:p w14:paraId="1B901F3F">
      <w:pPr>
        <w:spacing w:line="360" w:lineRule="auto"/>
        <w:rPr>
          <w:rFonts w:ascii="宋体" w:hAnsi="宋体" w:cs="宋体"/>
          <w:color w:val="auto"/>
          <w:highlight w:val="none"/>
        </w:rPr>
      </w:pPr>
    </w:p>
    <w:p w14:paraId="3125C7A3">
      <w:pPr>
        <w:spacing w:line="360" w:lineRule="auto"/>
        <w:rPr>
          <w:rFonts w:ascii="宋体" w:hAnsi="宋体" w:cs="宋体"/>
          <w:b/>
          <w:color w:val="auto"/>
          <w:szCs w:val="21"/>
          <w:highlight w:val="none"/>
        </w:rPr>
      </w:pPr>
      <w:r>
        <w:rPr>
          <w:rFonts w:hint="eastAsia" w:ascii="宋体" w:hAnsi="宋体" w:cs="宋体"/>
          <w:b/>
          <w:color w:val="auto"/>
          <w:szCs w:val="21"/>
          <w:highlight w:val="none"/>
        </w:rPr>
        <w:t>价格构成或报价要求：</w:t>
      </w:r>
    </w:p>
    <w:p w14:paraId="285BEEB8">
      <w:pPr>
        <w:spacing w:line="360" w:lineRule="auto"/>
        <w:ind w:firstLine="420" w:firstLineChars="200"/>
        <w:jc w:val="left"/>
        <w:rPr>
          <w:rFonts w:ascii="宋体" w:hAnsi="宋体" w:cs="宋体"/>
          <w:i/>
          <w:color w:val="auto"/>
          <w:szCs w:val="21"/>
          <w:highlight w:val="none"/>
        </w:rPr>
      </w:pPr>
      <w:r>
        <w:rPr>
          <w:rFonts w:hint="eastAsia" w:ascii="宋体" w:hAnsi="宋体" w:cs="宋体"/>
          <w:i/>
          <w:color w:val="auto"/>
          <w:szCs w:val="21"/>
          <w:highlight w:val="none"/>
        </w:rPr>
        <w:t>1、</w:t>
      </w:r>
      <w:r>
        <w:rPr>
          <w:rFonts w:hint="eastAsia" w:ascii="宋体" w:hAnsi="宋体" w:cs="宋体"/>
          <w:bCs/>
          <w:i/>
          <w:iCs/>
          <w:color w:val="auto"/>
          <w:szCs w:val="21"/>
          <w:highlight w:val="none"/>
          <w:u w:val="single"/>
        </w:rPr>
        <w:t>磋商响应报价表必须加盖供应商公章（复印件无效）</w:t>
      </w:r>
      <w:r>
        <w:rPr>
          <w:rFonts w:hint="eastAsia" w:ascii="宋体" w:hAnsi="宋体" w:cs="宋体"/>
          <w:i/>
          <w:color w:val="auto"/>
          <w:szCs w:val="21"/>
          <w:highlight w:val="none"/>
        </w:rPr>
        <w:t>。</w:t>
      </w:r>
    </w:p>
    <w:p w14:paraId="2776D5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2、此表可以根据需要自行增减行数，且该表报价非本次磋商中的最后报价。</w:t>
      </w:r>
    </w:p>
    <w:p w14:paraId="1FCC2EBF">
      <w:pPr>
        <w:pStyle w:val="7"/>
        <w:rPr>
          <w:rFonts w:ascii="宋体" w:hAnsi="宋体" w:eastAsia="宋体" w:cs="宋体"/>
          <w:color w:val="auto"/>
          <w:highlight w:val="none"/>
        </w:rPr>
      </w:pPr>
    </w:p>
    <w:p w14:paraId="14E1BDFA">
      <w:pPr>
        <w:spacing w:line="360" w:lineRule="auto"/>
        <w:ind w:firstLine="420"/>
        <w:rPr>
          <w:rFonts w:ascii="宋体" w:hAnsi="宋体" w:cs="宋体"/>
          <w:color w:val="auto"/>
          <w:szCs w:val="21"/>
          <w:highlight w:val="none"/>
        </w:rPr>
      </w:pPr>
    </w:p>
    <w:p w14:paraId="593F125D">
      <w:pPr>
        <w:spacing w:line="360" w:lineRule="auto"/>
        <w:ind w:firstLine="420"/>
        <w:rPr>
          <w:rFonts w:ascii="宋体" w:hAnsi="宋体" w:cs="宋体"/>
          <w:color w:val="auto"/>
          <w:szCs w:val="21"/>
          <w:highlight w:val="none"/>
        </w:rPr>
      </w:pPr>
    </w:p>
    <w:p w14:paraId="12CB5924">
      <w:pPr>
        <w:pStyle w:val="8"/>
        <w:spacing w:line="360" w:lineRule="auto"/>
        <w:rPr>
          <w:rFonts w:ascii="宋体" w:hAnsi="宋体" w:cs="宋体"/>
          <w:color w:val="auto"/>
          <w:szCs w:val="21"/>
          <w:highlight w:val="none"/>
        </w:rPr>
      </w:pPr>
    </w:p>
    <w:p w14:paraId="4BA959B0">
      <w:pPr>
        <w:spacing w:line="360" w:lineRule="auto"/>
        <w:rPr>
          <w:rFonts w:ascii="宋体" w:hAnsi="宋体" w:cs="宋体"/>
          <w:color w:val="auto"/>
          <w:szCs w:val="21"/>
          <w:highlight w:val="none"/>
        </w:rPr>
      </w:pPr>
    </w:p>
    <w:p w14:paraId="26D58DB4">
      <w:pPr>
        <w:pStyle w:val="8"/>
        <w:spacing w:line="360" w:lineRule="auto"/>
        <w:rPr>
          <w:rFonts w:ascii="宋体" w:hAnsi="宋体" w:cs="宋体"/>
          <w:color w:val="auto"/>
          <w:szCs w:val="21"/>
          <w:highlight w:val="none"/>
        </w:rPr>
      </w:pPr>
    </w:p>
    <w:p w14:paraId="3E03C237">
      <w:pPr>
        <w:widowControl/>
        <w:jc w:val="left"/>
        <w:rPr>
          <w:rFonts w:ascii="宋体" w:hAnsi="宋体" w:cs="宋体"/>
          <w:color w:val="auto"/>
          <w:szCs w:val="21"/>
          <w:highlight w:val="none"/>
        </w:rPr>
      </w:pPr>
      <w:r>
        <w:rPr>
          <w:rFonts w:ascii="宋体" w:hAnsi="宋体" w:cs="宋体"/>
          <w:color w:val="auto"/>
          <w:szCs w:val="21"/>
          <w:highlight w:val="none"/>
        </w:rPr>
        <w:br w:type="page"/>
      </w:r>
    </w:p>
    <w:p w14:paraId="0EE5D429">
      <w:pPr>
        <w:pStyle w:val="18"/>
        <w:spacing w:after="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四、商务条款响应及偏离表</w:t>
      </w:r>
    </w:p>
    <w:p w14:paraId="00915C5A">
      <w:pPr>
        <w:spacing w:line="360" w:lineRule="auto"/>
        <w:rPr>
          <w:rFonts w:ascii="宋体" w:hAnsi="宋体" w:cs="宋体"/>
          <w:color w:val="auto"/>
          <w:szCs w:val="21"/>
          <w:highlight w:val="none"/>
        </w:rPr>
      </w:pPr>
      <w:r>
        <w:rPr>
          <w:rFonts w:hint="eastAsia" w:ascii="宋体" w:hAnsi="宋体" w:cs="宋体"/>
          <w:color w:val="auto"/>
          <w:szCs w:val="21"/>
          <w:highlight w:val="none"/>
        </w:rPr>
        <w:t>供应商全称（加盖公章）：</w:t>
      </w:r>
    </w:p>
    <w:tbl>
      <w:tblPr>
        <w:tblStyle w:val="2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8"/>
        <w:gridCol w:w="2098"/>
        <w:gridCol w:w="2418"/>
        <w:gridCol w:w="1874"/>
        <w:gridCol w:w="2538"/>
      </w:tblGrid>
      <w:tr w14:paraId="60817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5F494B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53" w:type="pct"/>
            <w:tcBorders>
              <w:top w:val="single" w:color="auto" w:sz="4" w:space="0"/>
              <w:left w:val="single" w:color="auto" w:sz="4" w:space="0"/>
              <w:bottom w:val="single" w:color="auto" w:sz="4" w:space="0"/>
              <w:right w:val="single" w:color="auto" w:sz="4" w:space="0"/>
            </w:tcBorders>
            <w:vAlign w:val="center"/>
          </w:tcPr>
          <w:p w14:paraId="202FD1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214" w:type="pct"/>
            <w:tcBorders>
              <w:top w:val="single" w:color="auto" w:sz="4" w:space="0"/>
              <w:left w:val="single" w:color="auto" w:sz="4" w:space="0"/>
              <w:bottom w:val="single" w:color="auto" w:sz="4" w:space="0"/>
              <w:right w:val="single" w:color="auto" w:sz="4" w:space="0"/>
            </w:tcBorders>
            <w:vAlign w:val="center"/>
          </w:tcPr>
          <w:p w14:paraId="51F8FE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磋商文件要求</w:t>
            </w:r>
          </w:p>
        </w:tc>
        <w:tc>
          <w:tcPr>
            <w:tcW w:w="941" w:type="pct"/>
            <w:tcBorders>
              <w:top w:val="single" w:color="auto" w:sz="4" w:space="0"/>
              <w:left w:val="single" w:color="auto" w:sz="4" w:space="0"/>
              <w:bottom w:val="single" w:color="auto" w:sz="4" w:space="0"/>
              <w:right w:val="single" w:color="auto" w:sz="4" w:space="0"/>
            </w:tcBorders>
            <w:vAlign w:val="center"/>
          </w:tcPr>
          <w:p w14:paraId="7DECC6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274" w:type="pct"/>
            <w:tcBorders>
              <w:top w:val="single" w:color="auto" w:sz="4" w:space="0"/>
              <w:left w:val="single" w:color="auto" w:sz="4" w:space="0"/>
              <w:bottom w:val="single" w:color="auto" w:sz="4" w:space="0"/>
              <w:right w:val="single" w:color="auto" w:sz="4" w:space="0"/>
            </w:tcBorders>
            <w:vAlign w:val="center"/>
          </w:tcPr>
          <w:p w14:paraId="24672BA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供应商的承诺或说明</w:t>
            </w:r>
          </w:p>
        </w:tc>
      </w:tr>
      <w:tr w14:paraId="260C1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0963F0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53" w:type="pct"/>
            <w:tcBorders>
              <w:top w:val="single" w:color="auto" w:sz="4" w:space="0"/>
              <w:left w:val="single" w:color="auto" w:sz="4" w:space="0"/>
              <w:bottom w:val="single" w:color="auto" w:sz="4" w:space="0"/>
              <w:right w:val="single" w:color="auto" w:sz="4" w:space="0"/>
            </w:tcBorders>
            <w:vAlign w:val="center"/>
          </w:tcPr>
          <w:p w14:paraId="4CE79AD8">
            <w:pPr>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1214" w:type="pct"/>
            <w:tcBorders>
              <w:top w:val="single" w:color="auto" w:sz="4" w:space="0"/>
              <w:left w:val="single" w:color="auto" w:sz="4" w:space="0"/>
              <w:bottom w:val="single" w:color="auto" w:sz="4" w:space="0"/>
              <w:right w:val="single" w:color="auto" w:sz="4" w:space="0"/>
            </w:tcBorders>
            <w:vAlign w:val="center"/>
          </w:tcPr>
          <w:p w14:paraId="41F37AD9">
            <w:pPr>
              <w:spacing w:line="360" w:lineRule="auto"/>
              <w:jc w:val="center"/>
              <w:rPr>
                <w:rFonts w:ascii="宋体" w:hAnsi="宋体" w:cs="宋体"/>
                <w:color w:val="auto"/>
                <w:szCs w:val="21"/>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14:paraId="67BC06AE">
            <w:pPr>
              <w:spacing w:line="360" w:lineRule="auto"/>
              <w:jc w:val="center"/>
              <w:rPr>
                <w:rFonts w:ascii="宋体" w:hAnsi="宋体" w:cs="宋体"/>
                <w:color w:val="auto"/>
                <w:szCs w:val="21"/>
                <w:highlight w:val="none"/>
              </w:rPr>
            </w:pPr>
          </w:p>
        </w:tc>
        <w:tc>
          <w:tcPr>
            <w:tcW w:w="1274" w:type="pct"/>
            <w:tcBorders>
              <w:top w:val="single" w:color="auto" w:sz="4" w:space="0"/>
              <w:left w:val="single" w:color="auto" w:sz="4" w:space="0"/>
              <w:bottom w:val="single" w:color="auto" w:sz="4" w:space="0"/>
              <w:right w:val="single" w:color="auto" w:sz="4" w:space="0"/>
            </w:tcBorders>
            <w:vAlign w:val="center"/>
          </w:tcPr>
          <w:p w14:paraId="00A4F901">
            <w:pPr>
              <w:spacing w:line="360" w:lineRule="auto"/>
              <w:jc w:val="center"/>
              <w:rPr>
                <w:rFonts w:ascii="宋体" w:hAnsi="宋体" w:cs="宋体"/>
                <w:color w:val="auto"/>
                <w:szCs w:val="21"/>
                <w:highlight w:val="none"/>
              </w:rPr>
            </w:pPr>
          </w:p>
        </w:tc>
      </w:tr>
      <w:tr w14:paraId="0E631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5AA245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066C0A0C">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1214" w:type="pct"/>
            <w:tcBorders>
              <w:top w:val="single" w:color="auto" w:sz="4" w:space="0"/>
              <w:left w:val="single" w:color="auto" w:sz="4" w:space="0"/>
              <w:bottom w:val="single" w:color="auto" w:sz="4" w:space="0"/>
              <w:right w:val="single" w:color="auto" w:sz="4" w:space="0"/>
            </w:tcBorders>
            <w:vAlign w:val="center"/>
          </w:tcPr>
          <w:p w14:paraId="03D7CF70">
            <w:pPr>
              <w:spacing w:line="360" w:lineRule="auto"/>
              <w:jc w:val="center"/>
              <w:rPr>
                <w:rFonts w:ascii="宋体" w:hAnsi="宋体" w:cs="宋体"/>
                <w:color w:val="auto"/>
                <w:szCs w:val="21"/>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14:paraId="52071159">
            <w:pPr>
              <w:spacing w:line="360" w:lineRule="auto"/>
              <w:jc w:val="center"/>
              <w:rPr>
                <w:rFonts w:ascii="宋体" w:hAnsi="宋体" w:cs="宋体"/>
                <w:color w:val="auto"/>
                <w:szCs w:val="21"/>
                <w:highlight w:val="none"/>
              </w:rPr>
            </w:pPr>
          </w:p>
        </w:tc>
        <w:tc>
          <w:tcPr>
            <w:tcW w:w="1274" w:type="pct"/>
            <w:tcBorders>
              <w:top w:val="single" w:color="auto" w:sz="4" w:space="0"/>
              <w:left w:val="single" w:color="auto" w:sz="4" w:space="0"/>
              <w:bottom w:val="single" w:color="auto" w:sz="4" w:space="0"/>
              <w:right w:val="single" w:color="auto" w:sz="4" w:space="0"/>
            </w:tcBorders>
            <w:vAlign w:val="center"/>
          </w:tcPr>
          <w:p w14:paraId="7EE74A74">
            <w:pPr>
              <w:spacing w:line="360" w:lineRule="auto"/>
              <w:jc w:val="center"/>
              <w:rPr>
                <w:rFonts w:ascii="宋体" w:hAnsi="宋体" w:cs="宋体"/>
                <w:color w:val="auto"/>
                <w:szCs w:val="21"/>
                <w:highlight w:val="none"/>
              </w:rPr>
            </w:pPr>
          </w:p>
        </w:tc>
      </w:tr>
      <w:tr w14:paraId="78270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7079B6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1B292F91">
            <w:pPr>
              <w:jc w:val="center"/>
              <w:rPr>
                <w:rFonts w:ascii="宋体" w:hAnsi="宋体" w:cs="宋体"/>
                <w:color w:val="auto"/>
                <w:szCs w:val="21"/>
                <w:highlight w:val="none"/>
              </w:rPr>
            </w:pPr>
            <w:r>
              <w:rPr>
                <w:rFonts w:hint="eastAsia" w:ascii="宋体" w:hAnsi="宋体" w:cs="宋体"/>
                <w:color w:val="auto"/>
                <w:szCs w:val="21"/>
                <w:highlight w:val="none"/>
              </w:rPr>
              <w:t>响应货币</w:t>
            </w:r>
          </w:p>
        </w:tc>
        <w:tc>
          <w:tcPr>
            <w:tcW w:w="1214" w:type="pct"/>
            <w:tcBorders>
              <w:top w:val="single" w:color="auto" w:sz="4" w:space="0"/>
              <w:left w:val="single" w:color="auto" w:sz="4" w:space="0"/>
              <w:bottom w:val="single" w:color="auto" w:sz="4" w:space="0"/>
              <w:right w:val="single" w:color="auto" w:sz="4" w:space="0"/>
            </w:tcBorders>
            <w:vAlign w:val="center"/>
          </w:tcPr>
          <w:p w14:paraId="13A4AC84">
            <w:pPr>
              <w:spacing w:line="360" w:lineRule="auto"/>
              <w:jc w:val="center"/>
              <w:rPr>
                <w:rFonts w:ascii="宋体" w:hAnsi="宋体" w:cs="宋体"/>
                <w:color w:val="auto"/>
                <w:szCs w:val="21"/>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14:paraId="59891A4E">
            <w:pPr>
              <w:spacing w:line="360" w:lineRule="auto"/>
              <w:jc w:val="center"/>
              <w:rPr>
                <w:rFonts w:ascii="宋体" w:hAnsi="宋体" w:cs="宋体"/>
                <w:color w:val="auto"/>
                <w:szCs w:val="21"/>
                <w:highlight w:val="none"/>
              </w:rPr>
            </w:pPr>
          </w:p>
        </w:tc>
        <w:tc>
          <w:tcPr>
            <w:tcW w:w="1274" w:type="pct"/>
            <w:tcBorders>
              <w:top w:val="single" w:color="auto" w:sz="4" w:space="0"/>
              <w:left w:val="single" w:color="auto" w:sz="4" w:space="0"/>
              <w:bottom w:val="single" w:color="auto" w:sz="4" w:space="0"/>
              <w:right w:val="single" w:color="auto" w:sz="4" w:space="0"/>
            </w:tcBorders>
            <w:vAlign w:val="center"/>
          </w:tcPr>
          <w:p w14:paraId="67ABE7D7">
            <w:pPr>
              <w:spacing w:line="360" w:lineRule="auto"/>
              <w:jc w:val="center"/>
              <w:rPr>
                <w:rFonts w:ascii="宋体" w:hAnsi="宋体" w:cs="宋体"/>
                <w:color w:val="auto"/>
                <w:szCs w:val="21"/>
                <w:highlight w:val="none"/>
              </w:rPr>
            </w:pPr>
          </w:p>
        </w:tc>
      </w:tr>
      <w:tr w14:paraId="05465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33E314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62B8F30C">
            <w:pPr>
              <w:jc w:val="center"/>
              <w:rPr>
                <w:rFonts w:ascii="宋体" w:hAnsi="宋体" w:cs="宋体"/>
                <w:color w:val="auto"/>
                <w:szCs w:val="21"/>
                <w:highlight w:val="none"/>
              </w:rPr>
            </w:pPr>
          </w:p>
        </w:tc>
        <w:tc>
          <w:tcPr>
            <w:tcW w:w="1214" w:type="pct"/>
            <w:tcBorders>
              <w:top w:val="single" w:color="auto" w:sz="4" w:space="0"/>
              <w:left w:val="single" w:color="auto" w:sz="4" w:space="0"/>
              <w:bottom w:val="single" w:color="auto" w:sz="4" w:space="0"/>
              <w:right w:val="single" w:color="auto" w:sz="4" w:space="0"/>
            </w:tcBorders>
            <w:vAlign w:val="center"/>
          </w:tcPr>
          <w:p w14:paraId="2F029152">
            <w:pPr>
              <w:spacing w:line="360" w:lineRule="auto"/>
              <w:jc w:val="center"/>
              <w:rPr>
                <w:rFonts w:ascii="宋体" w:hAnsi="宋体" w:cs="宋体"/>
                <w:color w:val="auto"/>
                <w:szCs w:val="21"/>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14:paraId="39113365">
            <w:pPr>
              <w:spacing w:line="360" w:lineRule="auto"/>
              <w:jc w:val="center"/>
              <w:rPr>
                <w:rFonts w:ascii="宋体" w:hAnsi="宋体" w:cs="宋体"/>
                <w:color w:val="auto"/>
                <w:szCs w:val="21"/>
                <w:highlight w:val="none"/>
              </w:rPr>
            </w:pPr>
          </w:p>
        </w:tc>
        <w:tc>
          <w:tcPr>
            <w:tcW w:w="1274" w:type="pct"/>
            <w:tcBorders>
              <w:top w:val="single" w:color="auto" w:sz="4" w:space="0"/>
              <w:left w:val="single" w:color="auto" w:sz="4" w:space="0"/>
              <w:bottom w:val="single" w:color="auto" w:sz="4" w:space="0"/>
              <w:right w:val="single" w:color="auto" w:sz="4" w:space="0"/>
            </w:tcBorders>
            <w:vAlign w:val="center"/>
          </w:tcPr>
          <w:p w14:paraId="08EF6319">
            <w:pPr>
              <w:spacing w:line="360" w:lineRule="auto"/>
              <w:jc w:val="center"/>
              <w:rPr>
                <w:rFonts w:ascii="宋体" w:hAnsi="宋体" w:cs="宋体"/>
                <w:color w:val="auto"/>
                <w:szCs w:val="21"/>
                <w:highlight w:val="none"/>
              </w:rPr>
            </w:pPr>
          </w:p>
        </w:tc>
      </w:tr>
      <w:tr w14:paraId="67F10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458F02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053" w:type="pct"/>
            <w:tcBorders>
              <w:top w:val="single" w:color="auto" w:sz="4" w:space="0"/>
              <w:left w:val="single" w:color="auto" w:sz="4" w:space="0"/>
              <w:bottom w:val="single" w:color="auto" w:sz="4" w:space="0"/>
              <w:right w:val="single" w:color="auto" w:sz="4" w:space="0"/>
            </w:tcBorders>
            <w:vAlign w:val="center"/>
          </w:tcPr>
          <w:p w14:paraId="435B1CC4">
            <w:pPr>
              <w:jc w:val="center"/>
              <w:rPr>
                <w:rFonts w:ascii="宋体" w:hAnsi="宋体" w:cs="宋体"/>
                <w:color w:val="auto"/>
                <w:szCs w:val="21"/>
                <w:highlight w:val="none"/>
              </w:rPr>
            </w:pPr>
          </w:p>
        </w:tc>
        <w:tc>
          <w:tcPr>
            <w:tcW w:w="1214" w:type="pct"/>
            <w:tcBorders>
              <w:top w:val="single" w:color="auto" w:sz="4" w:space="0"/>
              <w:left w:val="single" w:color="auto" w:sz="4" w:space="0"/>
              <w:bottom w:val="single" w:color="auto" w:sz="4" w:space="0"/>
              <w:right w:val="single" w:color="auto" w:sz="4" w:space="0"/>
            </w:tcBorders>
            <w:vAlign w:val="center"/>
          </w:tcPr>
          <w:p w14:paraId="7A43E9A3">
            <w:pPr>
              <w:spacing w:line="360" w:lineRule="auto"/>
              <w:jc w:val="center"/>
              <w:rPr>
                <w:rFonts w:ascii="宋体" w:hAnsi="宋体" w:cs="宋体"/>
                <w:color w:val="auto"/>
                <w:szCs w:val="21"/>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14:paraId="172DF5F3">
            <w:pPr>
              <w:spacing w:line="360" w:lineRule="auto"/>
              <w:jc w:val="center"/>
              <w:rPr>
                <w:rFonts w:ascii="宋体" w:hAnsi="宋体" w:cs="宋体"/>
                <w:color w:val="auto"/>
                <w:szCs w:val="21"/>
                <w:highlight w:val="none"/>
              </w:rPr>
            </w:pPr>
          </w:p>
        </w:tc>
        <w:tc>
          <w:tcPr>
            <w:tcW w:w="1274" w:type="pct"/>
            <w:tcBorders>
              <w:top w:val="single" w:color="auto" w:sz="4" w:space="0"/>
              <w:left w:val="single" w:color="auto" w:sz="4" w:space="0"/>
              <w:bottom w:val="single" w:color="auto" w:sz="4" w:space="0"/>
              <w:right w:val="single" w:color="auto" w:sz="4" w:space="0"/>
            </w:tcBorders>
            <w:vAlign w:val="center"/>
          </w:tcPr>
          <w:p w14:paraId="2E8B159D">
            <w:pPr>
              <w:spacing w:line="360" w:lineRule="auto"/>
              <w:jc w:val="center"/>
              <w:rPr>
                <w:rFonts w:ascii="宋体" w:hAnsi="宋体" w:cs="宋体"/>
                <w:color w:val="auto"/>
                <w:szCs w:val="21"/>
                <w:highlight w:val="none"/>
              </w:rPr>
            </w:pPr>
          </w:p>
        </w:tc>
      </w:tr>
      <w:tr w14:paraId="699F9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3D060F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053" w:type="pct"/>
            <w:tcBorders>
              <w:top w:val="single" w:color="auto" w:sz="4" w:space="0"/>
              <w:left w:val="single" w:color="auto" w:sz="4" w:space="0"/>
              <w:bottom w:val="single" w:color="auto" w:sz="4" w:space="0"/>
              <w:right w:val="single" w:color="auto" w:sz="4" w:space="0"/>
            </w:tcBorders>
            <w:vAlign w:val="center"/>
          </w:tcPr>
          <w:p w14:paraId="47003F4E">
            <w:pPr>
              <w:jc w:val="center"/>
              <w:rPr>
                <w:rFonts w:ascii="宋体" w:hAnsi="宋体" w:cs="宋体"/>
                <w:color w:val="auto"/>
                <w:szCs w:val="21"/>
                <w:highlight w:val="none"/>
              </w:rPr>
            </w:pPr>
          </w:p>
        </w:tc>
        <w:tc>
          <w:tcPr>
            <w:tcW w:w="1214" w:type="pct"/>
            <w:tcBorders>
              <w:top w:val="single" w:color="auto" w:sz="4" w:space="0"/>
              <w:left w:val="single" w:color="auto" w:sz="4" w:space="0"/>
              <w:bottom w:val="single" w:color="auto" w:sz="4" w:space="0"/>
              <w:right w:val="single" w:color="auto" w:sz="4" w:space="0"/>
            </w:tcBorders>
            <w:vAlign w:val="center"/>
          </w:tcPr>
          <w:p w14:paraId="2B2493FD">
            <w:pPr>
              <w:spacing w:line="360" w:lineRule="auto"/>
              <w:jc w:val="center"/>
              <w:rPr>
                <w:rFonts w:ascii="宋体" w:hAnsi="宋体" w:cs="宋体"/>
                <w:color w:val="auto"/>
                <w:szCs w:val="21"/>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14:paraId="2AFA19C9">
            <w:pPr>
              <w:spacing w:line="360" w:lineRule="auto"/>
              <w:jc w:val="center"/>
              <w:rPr>
                <w:rFonts w:ascii="宋体" w:hAnsi="宋体" w:cs="宋体"/>
                <w:color w:val="auto"/>
                <w:szCs w:val="21"/>
                <w:highlight w:val="none"/>
              </w:rPr>
            </w:pPr>
          </w:p>
        </w:tc>
        <w:tc>
          <w:tcPr>
            <w:tcW w:w="1274" w:type="pct"/>
            <w:tcBorders>
              <w:top w:val="single" w:color="auto" w:sz="4" w:space="0"/>
              <w:left w:val="single" w:color="auto" w:sz="4" w:space="0"/>
              <w:bottom w:val="single" w:color="auto" w:sz="4" w:space="0"/>
              <w:right w:val="single" w:color="auto" w:sz="4" w:space="0"/>
            </w:tcBorders>
            <w:vAlign w:val="center"/>
          </w:tcPr>
          <w:p w14:paraId="40BA0378">
            <w:pPr>
              <w:spacing w:line="360" w:lineRule="auto"/>
              <w:jc w:val="center"/>
              <w:rPr>
                <w:rFonts w:ascii="宋体" w:hAnsi="宋体" w:cs="宋体"/>
                <w:color w:val="auto"/>
                <w:szCs w:val="21"/>
                <w:highlight w:val="none"/>
              </w:rPr>
            </w:pPr>
          </w:p>
        </w:tc>
      </w:tr>
      <w:tr w14:paraId="23E6C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34B21D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053" w:type="pct"/>
            <w:tcBorders>
              <w:top w:val="single" w:color="auto" w:sz="4" w:space="0"/>
              <w:left w:val="single" w:color="auto" w:sz="4" w:space="0"/>
              <w:bottom w:val="single" w:color="auto" w:sz="4" w:space="0"/>
              <w:right w:val="single" w:color="auto" w:sz="4" w:space="0"/>
            </w:tcBorders>
            <w:vAlign w:val="center"/>
          </w:tcPr>
          <w:p w14:paraId="2BEEC4E6">
            <w:pPr>
              <w:jc w:val="center"/>
              <w:rPr>
                <w:rFonts w:ascii="宋体" w:hAnsi="宋体" w:cs="宋体"/>
                <w:color w:val="auto"/>
                <w:szCs w:val="21"/>
                <w:highlight w:val="none"/>
              </w:rPr>
            </w:pPr>
          </w:p>
        </w:tc>
        <w:tc>
          <w:tcPr>
            <w:tcW w:w="1214" w:type="pct"/>
            <w:tcBorders>
              <w:top w:val="single" w:color="auto" w:sz="4" w:space="0"/>
              <w:left w:val="single" w:color="auto" w:sz="4" w:space="0"/>
              <w:bottom w:val="single" w:color="auto" w:sz="4" w:space="0"/>
              <w:right w:val="single" w:color="auto" w:sz="4" w:space="0"/>
            </w:tcBorders>
            <w:vAlign w:val="center"/>
          </w:tcPr>
          <w:p w14:paraId="5FEDF5F5">
            <w:pPr>
              <w:spacing w:line="360" w:lineRule="auto"/>
              <w:jc w:val="center"/>
              <w:rPr>
                <w:rFonts w:ascii="宋体" w:hAnsi="宋体" w:cs="宋体"/>
                <w:color w:val="auto"/>
                <w:szCs w:val="21"/>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14:paraId="22AA803F">
            <w:pPr>
              <w:spacing w:line="360" w:lineRule="auto"/>
              <w:jc w:val="center"/>
              <w:rPr>
                <w:rFonts w:ascii="宋体" w:hAnsi="宋体" w:cs="宋体"/>
                <w:color w:val="auto"/>
                <w:szCs w:val="21"/>
                <w:highlight w:val="none"/>
              </w:rPr>
            </w:pPr>
          </w:p>
        </w:tc>
        <w:tc>
          <w:tcPr>
            <w:tcW w:w="1274" w:type="pct"/>
            <w:tcBorders>
              <w:top w:val="single" w:color="auto" w:sz="4" w:space="0"/>
              <w:left w:val="single" w:color="auto" w:sz="4" w:space="0"/>
              <w:bottom w:val="single" w:color="auto" w:sz="4" w:space="0"/>
              <w:right w:val="single" w:color="auto" w:sz="4" w:space="0"/>
            </w:tcBorders>
            <w:vAlign w:val="center"/>
          </w:tcPr>
          <w:p w14:paraId="2FC3AD68">
            <w:pPr>
              <w:spacing w:line="360" w:lineRule="auto"/>
              <w:jc w:val="center"/>
              <w:rPr>
                <w:rFonts w:ascii="宋体" w:hAnsi="宋体" w:cs="宋体"/>
                <w:color w:val="auto"/>
                <w:szCs w:val="21"/>
                <w:highlight w:val="none"/>
              </w:rPr>
            </w:pPr>
          </w:p>
        </w:tc>
      </w:tr>
      <w:tr w14:paraId="47AD1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7A012C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053" w:type="pct"/>
            <w:tcBorders>
              <w:top w:val="single" w:color="auto" w:sz="4" w:space="0"/>
              <w:left w:val="single" w:color="auto" w:sz="4" w:space="0"/>
              <w:bottom w:val="single" w:color="auto" w:sz="4" w:space="0"/>
              <w:right w:val="single" w:color="auto" w:sz="4" w:space="0"/>
            </w:tcBorders>
            <w:vAlign w:val="center"/>
          </w:tcPr>
          <w:p w14:paraId="179514EB">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214" w:type="pct"/>
            <w:tcBorders>
              <w:top w:val="single" w:color="auto" w:sz="4" w:space="0"/>
              <w:left w:val="single" w:color="auto" w:sz="4" w:space="0"/>
              <w:bottom w:val="single" w:color="auto" w:sz="4" w:space="0"/>
              <w:right w:val="single" w:color="auto" w:sz="4" w:space="0"/>
            </w:tcBorders>
            <w:vAlign w:val="center"/>
          </w:tcPr>
          <w:p w14:paraId="065E70C5">
            <w:pPr>
              <w:spacing w:line="360" w:lineRule="auto"/>
              <w:jc w:val="center"/>
              <w:rPr>
                <w:rFonts w:ascii="宋体" w:hAnsi="宋体" w:cs="宋体"/>
                <w:color w:val="auto"/>
                <w:szCs w:val="21"/>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14:paraId="3399E1F7">
            <w:pPr>
              <w:spacing w:line="360" w:lineRule="auto"/>
              <w:jc w:val="center"/>
              <w:rPr>
                <w:rFonts w:ascii="宋体" w:hAnsi="宋体" w:cs="宋体"/>
                <w:color w:val="auto"/>
                <w:szCs w:val="21"/>
                <w:highlight w:val="none"/>
              </w:rPr>
            </w:pPr>
          </w:p>
        </w:tc>
        <w:tc>
          <w:tcPr>
            <w:tcW w:w="1274" w:type="pct"/>
            <w:tcBorders>
              <w:top w:val="single" w:color="auto" w:sz="4" w:space="0"/>
              <w:left w:val="single" w:color="auto" w:sz="4" w:space="0"/>
              <w:bottom w:val="single" w:color="auto" w:sz="4" w:space="0"/>
              <w:right w:val="single" w:color="auto" w:sz="4" w:space="0"/>
            </w:tcBorders>
            <w:vAlign w:val="center"/>
          </w:tcPr>
          <w:p w14:paraId="4D75D36A">
            <w:pPr>
              <w:spacing w:line="360" w:lineRule="auto"/>
              <w:jc w:val="center"/>
              <w:rPr>
                <w:rFonts w:ascii="宋体" w:hAnsi="宋体" w:cs="宋体"/>
                <w:color w:val="auto"/>
                <w:szCs w:val="21"/>
                <w:highlight w:val="none"/>
              </w:rPr>
            </w:pPr>
          </w:p>
        </w:tc>
      </w:tr>
    </w:tbl>
    <w:p w14:paraId="5AFC6110">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法定代表人或授权代表（签字或盖章）：  </w:t>
      </w:r>
    </w:p>
    <w:p w14:paraId="5E80BFF5">
      <w:pPr>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日   期：  年   月  日</w:t>
      </w:r>
    </w:p>
    <w:p w14:paraId="5DFB3514">
      <w:pPr>
        <w:spacing w:line="360" w:lineRule="auto"/>
        <w:rPr>
          <w:rFonts w:ascii="宋体" w:hAnsi="宋体"/>
          <w:bCs/>
          <w:color w:val="auto"/>
          <w:szCs w:val="21"/>
          <w:highlight w:val="none"/>
        </w:rPr>
      </w:pPr>
      <w:r>
        <w:rPr>
          <w:rFonts w:hint="eastAsia" w:ascii="宋体" w:hAnsi="宋体"/>
          <w:b/>
          <w:color w:val="auto"/>
          <w:szCs w:val="21"/>
          <w:highlight w:val="none"/>
        </w:rPr>
        <w:t>注：</w:t>
      </w:r>
      <w:r>
        <w:rPr>
          <w:rFonts w:hint="eastAsia" w:ascii="宋体" w:hAnsi="宋体"/>
          <w:bCs/>
          <w:color w:val="auto"/>
          <w:szCs w:val="21"/>
          <w:highlight w:val="none"/>
        </w:rPr>
        <w:t>1、按照基本技术要求详细填列；</w:t>
      </w:r>
    </w:p>
    <w:p w14:paraId="4247413F">
      <w:pPr>
        <w:spacing w:line="360" w:lineRule="auto"/>
        <w:ind w:firstLine="480"/>
        <w:rPr>
          <w:rFonts w:ascii="宋体" w:hAnsi="宋体"/>
          <w:bCs/>
          <w:color w:val="auto"/>
          <w:szCs w:val="21"/>
          <w:highlight w:val="none"/>
        </w:rPr>
      </w:pPr>
      <w:r>
        <w:rPr>
          <w:rFonts w:hint="eastAsia" w:ascii="宋体" w:hAnsi="宋体"/>
          <w:bCs/>
          <w:color w:val="auto"/>
          <w:szCs w:val="21"/>
          <w:highlight w:val="none"/>
        </w:rPr>
        <w:t>2、行数不够，可自行添加。</w:t>
      </w:r>
    </w:p>
    <w:p w14:paraId="6035F27B">
      <w:pPr>
        <w:spacing w:line="360" w:lineRule="auto"/>
        <w:jc w:val="center"/>
        <w:rPr>
          <w:rFonts w:ascii="宋体" w:hAnsi="宋体" w:cs="宋体"/>
          <w:b/>
          <w:color w:val="auto"/>
          <w:sz w:val="24"/>
          <w:szCs w:val="24"/>
          <w:highlight w:val="none"/>
        </w:rPr>
      </w:pPr>
    </w:p>
    <w:p w14:paraId="39FF2B04">
      <w:pPr>
        <w:spacing w:line="360" w:lineRule="auto"/>
        <w:jc w:val="center"/>
        <w:rPr>
          <w:rFonts w:ascii="宋体" w:hAnsi="宋体" w:cs="宋体"/>
          <w:b/>
          <w:color w:val="auto"/>
          <w:sz w:val="24"/>
          <w:szCs w:val="24"/>
          <w:highlight w:val="none"/>
        </w:rPr>
      </w:pPr>
    </w:p>
    <w:p w14:paraId="7FE30087">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4881AEF7">
      <w:pPr>
        <w:pStyle w:val="18"/>
        <w:spacing w:after="0" w:line="360" w:lineRule="auto"/>
        <w:jc w:val="center"/>
        <w:rPr>
          <w:rFonts w:ascii="宋体" w:hAnsi="宋体" w:cs="宋体"/>
          <w:color w:val="auto"/>
          <w:szCs w:val="21"/>
          <w:highlight w:val="none"/>
        </w:rPr>
      </w:pPr>
      <w:r>
        <w:rPr>
          <w:rFonts w:hint="eastAsia" w:ascii="宋体" w:hAnsi="宋体" w:cs="宋体"/>
          <w:b/>
          <w:color w:val="auto"/>
          <w:sz w:val="24"/>
          <w:szCs w:val="24"/>
          <w:highlight w:val="none"/>
        </w:rPr>
        <w:t>五、实施方案</w:t>
      </w:r>
    </w:p>
    <w:p w14:paraId="1EC13858">
      <w:pPr>
        <w:spacing w:line="360" w:lineRule="auto"/>
        <w:ind w:firstLine="630" w:firstLineChars="300"/>
        <w:jc w:val="center"/>
        <w:rPr>
          <w:rFonts w:ascii="宋体" w:hAnsi="宋体" w:cs="宋体"/>
          <w:color w:val="auto"/>
          <w:szCs w:val="21"/>
          <w:highlight w:val="none"/>
        </w:rPr>
      </w:pPr>
      <w:r>
        <w:rPr>
          <w:rFonts w:hint="eastAsia" w:ascii="宋体" w:hAnsi="宋体" w:cs="宋体"/>
          <w:color w:val="auto"/>
          <w:szCs w:val="21"/>
          <w:highlight w:val="none"/>
        </w:rPr>
        <w:t>根据磋商文件要求提供具体的方案等。</w:t>
      </w:r>
    </w:p>
    <w:p w14:paraId="5D14B227">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六、其他</w:t>
      </w:r>
    </w:p>
    <w:p w14:paraId="52312F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（根据磋商文件的要求和供应商认为需要提供的资料）</w:t>
      </w:r>
    </w:p>
    <w:p w14:paraId="6193F6DB">
      <w:pPr>
        <w:spacing w:line="360" w:lineRule="auto"/>
        <w:jc w:val="left"/>
        <w:rPr>
          <w:rFonts w:ascii="宋体" w:hAnsi="宋体" w:cs="宋体"/>
          <w:color w:val="auto"/>
          <w:sz w:val="24"/>
          <w:szCs w:val="24"/>
          <w:highlight w:val="none"/>
        </w:rPr>
      </w:pPr>
    </w:p>
    <w:p w14:paraId="1B666635">
      <w:pPr>
        <w:rPr>
          <w:rFonts w:ascii="宋体" w:hAnsi="宋体"/>
          <w:b/>
          <w:color w:val="auto"/>
          <w:sz w:val="44"/>
          <w:szCs w:val="44"/>
          <w:highlight w:val="none"/>
        </w:rPr>
      </w:pPr>
      <w:r>
        <w:rPr>
          <w:rFonts w:hint="eastAsia" w:ascii="宋体" w:hAnsi="宋体"/>
          <w:b/>
          <w:color w:val="auto"/>
          <w:sz w:val="44"/>
          <w:szCs w:val="44"/>
          <w:highlight w:val="none"/>
        </w:rPr>
        <w:br w:type="page"/>
      </w:r>
    </w:p>
    <w:p w14:paraId="7F4C5D6F">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供应商参加磋商确认函</w:t>
      </w:r>
    </w:p>
    <w:p w14:paraId="57AC4290">
      <w:pPr>
        <w:spacing w:line="360" w:lineRule="auto"/>
        <w:rPr>
          <w:rFonts w:ascii="宋体" w:hAnsi="宋体" w:cs="宋体"/>
          <w:color w:val="auto"/>
          <w:szCs w:val="21"/>
          <w:highlight w:val="none"/>
        </w:rPr>
      </w:pPr>
      <w:r>
        <w:rPr>
          <w:rFonts w:hint="eastAsia" w:ascii="宋体" w:hAnsi="宋体" w:cs="宋体"/>
          <w:color w:val="auto"/>
          <w:szCs w:val="21"/>
          <w:highlight w:val="none"/>
        </w:rPr>
        <w:t>江苏时代投资咨询有限公司：</w:t>
      </w:r>
    </w:p>
    <w:p w14:paraId="59AE92BD">
      <w:pPr>
        <w:spacing w:line="360" w:lineRule="auto"/>
        <w:rPr>
          <w:rFonts w:ascii="宋体" w:hAnsi="宋体" w:cs="宋体"/>
          <w:color w:val="auto"/>
          <w:szCs w:val="21"/>
          <w:highlight w:val="none"/>
        </w:rPr>
      </w:pPr>
      <w:r>
        <w:rPr>
          <w:rFonts w:hint="eastAsia" w:ascii="宋体" w:hAnsi="宋体" w:cs="宋体"/>
          <w:color w:val="auto"/>
          <w:szCs w:val="21"/>
          <w:highlight w:val="none"/>
        </w:rPr>
        <w:t>　　本单位将参加贵公司于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日开标的采购编号为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项目的磋商。本单位已在网站成功下载标书，特发函确认。</w:t>
      </w:r>
    </w:p>
    <w:p w14:paraId="3DF558BA">
      <w:pPr>
        <w:spacing w:line="360" w:lineRule="auto"/>
        <w:ind w:left="2730" w:hanging="2730" w:hangingChars="1300"/>
        <w:jc w:val="righ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（单位公章）</w:t>
      </w:r>
    </w:p>
    <w:p w14:paraId="4F19B24D">
      <w:pPr>
        <w:pBdr>
          <w:bottom w:val="single" w:color="auto" w:sz="6" w:space="1"/>
        </w:pBdr>
        <w:spacing w:line="360" w:lineRule="auto"/>
        <w:ind w:left="3465" w:hanging="3465" w:hangingChars="1650"/>
        <w:jc w:val="right"/>
        <w:rPr>
          <w:rFonts w:ascii="宋体" w:hAnsi="宋体" w:cs="宋体"/>
          <w:color w:val="auto"/>
          <w:szCs w:val="21"/>
          <w:highlight w:val="none"/>
        </w:rPr>
      </w:pPr>
      <w:r>
        <w:rPr>
          <w:rFonts w:hint="eastAsia" w:ascii="宋体" w:hAnsi="宋体" w:cs="宋体"/>
          <w:color w:val="auto"/>
          <w:szCs w:val="21"/>
          <w:highlight w:val="none"/>
        </w:rPr>
        <w:t>　　　　　　　　　　　　　    　年　　　月　　　日</w:t>
      </w:r>
    </w:p>
    <w:p w14:paraId="5E27B5FF">
      <w:pPr>
        <w:spacing w:line="360" w:lineRule="auto"/>
        <w:ind w:left="3465" w:hanging="3465" w:hangingChars="1650"/>
        <w:rPr>
          <w:rFonts w:ascii="宋体" w:hAnsi="宋体" w:cs="宋体"/>
          <w:color w:val="auto"/>
          <w:szCs w:val="21"/>
          <w:highlight w:val="none"/>
        </w:rPr>
      </w:pPr>
      <w:r>
        <w:rPr>
          <w:rFonts w:hint="eastAsia" w:ascii="宋体" w:hAnsi="宋体" w:cs="宋体"/>
          <w:color w:val="auto"/>
          <w:szCs w:val="21"/>
          <w:highlight w:val="none"/>
        </w:rPr>
        <w:t>附：</w:t>
      </w:r>
    </w:p>
    <w:p w14:paraId="704F9303">
      <w:pPr>
        <w:spacing w:line="360" w:lineRule="auto"/>
        <w:ind w:left="3479" w:hanging="3479" w:hangingChars="1650"/>
        <w:jc w:val="center"/>
        <w:rPr>
          <w:rFonts w:ascii="宋体" w:hAnsi="宋体" w:cs="宋体"/>
          <w:b/>
          <w:color w:val="auto"/>
          <w:szCs w:val="21"/>
          <w:highlight w:val="none"/>
        </w:rPr>
      </w:pPr>
      <w:r>
        <w:rPr>
          <w:rFonts w:hint="eastAsia" w:ascii="宋体" w:hAnsi="宋体" w:cs="宋体"/>
          <w:b/>
          <w:color w:val="auto"/>
          <w:szCs w:val="21"/>
          <w:highlight w:val="none"/>
        </w:rPr>
        <w:t>供应商联系表</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648"/>
        <w:gridCol w:w="2646"/>
        <w:gridCol w:w="2313"/>
      </w:tblGrid>
      <w:tr w14:paraId="1BC1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pct"/>
          </w:tcPr>
          <w:p w14:paraId="76E09878">
            <w:pPr>
              <w:spacing w:line="360" w:lineRule="auto"/>
              <w:rPr>
                <w:rFonts w:ascii="宋体" w:hAnsi="宋体" w:cs="宋体"/>
                <w:color w:val="auto"/>
                <w:szCs w:val="21"/>
                <w:highlight w:val="none"/>
              </w:rPr>
            </w:pPr>
            <w:r>
              <w:rPr>
                <w:rFonts w:hint="eastAsia" w:ascii="宋体" w:hAnsi="宋体" w:cs="宋体"/>
                <w:color w:val="auto"/>
                <w:szCs w:val="21"/>
                <w:highlight w:val="none"/>
              </w:rPr>
              <w:t>单位名称</w:t>
            </w:r>
          </w:p>
        </w:tc>
        <w:tc>
          <w:tcPr>
            <w:tcW w:w="3818" w:type="pct"/>
            <w:gridSpan w:val="3"/>
          </w:tcPr>
          <w:p w14:paraId="31D4F731">
            <w:pPr>
              <w:spacing w:line="360" w:lineRule="auto"/>
              <w:jc w:val="center"/>
              <w:rPr>
                <w:rFonts w:ascii="宋体" w:hAnsi="宋体" w:cs="宋体"/>
                <w:color w:val="auto"/>
                <w:szCs w:val="21"/>
                <w:highlight w:val="none"/>
              </w:rPr>
            </w:pPr>
          </w:p>
        </w:tc>
      </w:tr>
      <w:tr w14:paraId="29E2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pct"/>
          </w:tcPr>
          <w:p w14:paraId="5754F942">
            <w:pPr>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3818" w:type="pct"/>
            <w:gridSpan w:val="3"/>
          </w:tcPr>
          <w:p w14:paraId="67B1E2C3">
            <w:pPr>
              <w:spacing w:line="360" w:lineRule="auto"/>
              <w:jc w:val="center"/>
              <w:rPr>
                <w:rFonts w:ascii="宋体" w:hAnsi="宋体" w:cs="宋体"/>
                <w:color w:val="auto"/>
                <w:szCs w:val="21"/>
                <w:highlight w:val="none"/>
              </w:rPr>
            </w:pPr>
          </w:p>
        </w:tc>
      </w:tr>
      <w:tr w14:paraId="34B7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pct"/>
          </w:tcPr>
          <w:p w14:paraId="64E5B026">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1329" w:type="pct"/>
          </w:tcPr>
          <w:p w14:paraId="66BD7B4D">
            <w:pPr>
              <w:spacing w:line="360" w:lineRule="auto"/>
              <w:rPr>
                <w:rFonts w:ascii="宋体" w:hAnsi="宋体" w:cs="宋体"/>
                <w:color w:val="auto"/>
                <w:szCs w:val="21"/>
                <w:highlight w:val="none"/>
              </w:rPr>
            </w:pPr>
          </w:p>
        </w:tc>
        <w:tc>
          <w:tcPr>
            <w:tcW w:w="1328" w:type="pct"/>
          </w:tcPr>
          <w:p w14:paraId="12CAD29A">
            <w:pPr>
              <w:spacing w:line="360" w:lineRule="auto"/>
              <w:rPr>
                <w:rFonts w:ascii="宋体" w:hAnsi="宋体" w:cs="宋体"/>
                <w:color w:val="auto"/>
                <w:szCs w:val="21"/>
                <w:highlight w:val="none"/>
              </w:rPr>
            </w:pPr>
            <w:r>
              <w:rPr>
                <w:rFonts w:hint="eastAsia" w:ascii="宋体" w:hAnsi="宋体" w:cs="宋体"/>
                <w:color w:val="auto"/>
                <w:szCs w:val="21"/>
                <w:highlight w:val="none"/>
              </w:rPr>
              <w:t>邮    编</w:t>
            </w:r>
          </w:p>
        </w:tc>
        <w:tc>
          <w:tcPr>
            <w:tcW w:w="1161" w:type="pct"/>
          </w:tcPr>
          <w:p w14:paraId="31B7417F">
            <w:pPr>
              <w:spacing w:line="360" w:lineRule="auto"/>
              <w:jc w:val="center"/>
              <w:rPr>
                <w:rFonts w:ascii="宋体" w:hAnsi="宋体" w:cs="宋体"/>
                <w:color w:val="auto"/>
                <w:szCs w:val="21"/>
                <w:highlight w:val="none"/>
              </w:rPr>
            </w:pPr>
          </w:p>
        </w:tc>
      </w:tr>
      <w:tr w14:paraId="5608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pct"/>
          </w:tcPr>
          <w:p w14:paraId="0F5CC0A6">
            <w:pPr>
              <w:spacing w:line="360" w:lineRule="auto"/>
              <w:rPr>
                <w:rFonts w:ascii="宋体" w:hAnsi="宋体" w:cs="宋体"/>
                <w:color w:val="auto"/>
                <w:szCs w:val="21"/>
                <w:highlight w:val="none"/>
              </w:rPr>
            </w:pPr>
            <w:r>
              <w:rPr>
                <w:rFonts w:hint="eastAsia" w:ascii="宋体" w:hAnsi="宋体" w:cs="宋体"/>
                <w:color w:val="auto"/>
                <w:szCs w:val="21"/>
                <w:highlight w:val="none"/>
              </w:rPr>
              <w:t>单位电话</w:t>
            </w:r>
          </w:p>
        </w:tc>
        <w:tc>
          <w:tcPr>
            <w:tcW w:w="1329" w:type="pct"/>
          </w:tcPr>
          <w:p w14:paraId="7496F221">
            <w:pPr>
              <w:spacing w:line="360" w:lineRule="auto"/>
              <w:jc w:val="center"/>
              <w:rPr>
                <w:rFonts w:ascii="宋体" w:hAnsi="宋体" w:cs="宋体"/>
                <w:color w:val="auto"/>
                <w:szCs w:val="21"/>
                <w:highlight w:val="none"/>
              </w:rPr>
            </w:pPr>
          </w:p>
        </w:tc>
        <w:tc>
          <w:tcPr>
            <w:tcW w:w="1328" w:type="pct"/>
          </w:tcPr>
          <w:p w14:paraId="5DEDADE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传真号码</w:t>
            </w:r>
          </w:p>
        </w:tc>
        <w:tc>
          <w:tcPr>
            <w:tcW w:w="1161" w:type="pct"/>
          </w:tcPr>
          <w:p w14:paraId="5F07B71D">
            <w:pPr>
              <w:spacing w:line="360" w:lineRule="auto"/>
              <w:jc w:val="center"/>
              <w:rPr>
                <w:rFonts w:ascii="宋体" w:hAnsi="宋体" w:cs="宋体"/>
                <w:color w:val="auto"/>
                <w:szCs w:val="21"/>
                <w:highlight w:val="none"/>
              </w:rPr>
            </w:pPr>
          </w:p>
        </w:tc>
      </w:tr>
      <w:tr w14:paraId="5132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pct"/>
          </w:tcPr>
          <w:p w14:paraId="329719B4">
            <w:pPr>
              <w:spacing w:line="360" w:lineRule="auto"/>
              <w:rPr>
                <w:rFonts w:ascii="宋体" w:hAnsi="宋体" w:cs="宋体"/>
                <w:color w:val="auto"/>
                <w:szCs w:val="21"/>
                <w:highlight w:val="none"/>
              </w:rPr>
            </w:pPr>
            <w:r>
              <w:rPr>
                <w:rFonts w:hint="eastAsia" w:ascii="宋体" w:hAnsi="宋体" w:cs="宋体"/>
                <w:color w:val="auto"/>
                <w:szCs w:val="21"/>
                <w:highlight w:val="none"/>
              </w:rPr>
              <w:t>项目联系人</w:t>
            </w:r>
          </w:p>
        </w:tc>
        <w:tc>
          <w:tcPr>
            <w:tcW w:w="1329" w:type="pct"/>
          </w:tcPr>
          <w:p w14:paraId="703BB0ED">
            <w:pPr>
              <w:spacing w:line="360" w:lineRule="auto"/>
              <w:jc w:val="center"/>
              <w:rPr>
                <w:rFonts w:ascii="宋体" w:hAnsi="宋体" w:cs="宋体"/>
                <w:color w:val="auto"/>
                <w:szCs w:val="21"/>
                <w:highlight w:val="none"/>
              </w:rPr>
            </w:pPr>
          </w:p>
        </w:tc>
        <w:tc>
          <w:tcPr>
            <w:tcW w:w="1328" w:type="pct"/>
          </w:tcPr>
          <w:p w14:paraId="692AD543">
            <w:pPr>
              <w:spacing w:line="360" w:lineRule="auto"/>
              <w:rPr>
                <w:rFonts w:ascii="宋体" w:hAnsi="宋体" w:cs="宋体"/>
                <w:color w:val="auto"/>
                <w:szCs w:val="21"/>
                <w:highlight w:val="none"/>
              </w:rPr>
            </w:pPr>
            <w:r>
              <w:rPr>
                <w:rFonts w:hint="eastAsia" w:ascii="宋体" w:hAnsi="宋体" w:cs="宋体"/>
                <w:color w:val="auto"/>
                <w:szCs w:val="21"/>
                <w:highlight w:val="none"/>
              </w:rPr>
              <w:t>邮    箱</w:t>
            </w:r>
          </w:p>
        </w:tc>
        <w:tc>
          <w:tcPr>
            <w:tcW w:w="1161" w:type="pct"/>
          </w:tcPr>
          <w:p w14:paraId="5CC2A42A">
            <w:pPr>
              <w:spacing w:line="360" w:lineRule="auto"/>
              <w:jc w:val="center"/>
              <w:rPr>
                <w:rFonts w:ascii="宋体" w:hAnsi="宋体" w:cs="宋体"/>
                <w:color w:val="auto"/>
                <w:szCs w:val="21"/>
                <w:highlight w:val="none"/>
              </w:rPr>
            </w:pPr>
          </w:p>
        </w:tc>
      </w:tr>
      <w:tr w14:paraId="752C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pct"/>
          </w:tcPr>
          <w:p w14:paraId="3BCDA17F">
            <w:pPr>
              <w:spacing w:line="360" w:lineRule="auto"/>
              <w:rPr>
                <w:color w:val="auto"/>
                <w:szCs w:val="21"/>
                <w:highlight w:val="none"/>
              </w:rPr>
            </w:pPr>
            <w:r>
              <w:rPr>
                <w:rFonts w:hint="eastAsia"/>
                <w:color w:val="auto"/>
                <w:szCs w:val="21"/>
                <w:highlight w:val="none"/>
              </w:rPr>
              <w:t>联系人电话</w:t>
            </w:r>
          </w:p>
        </w:tc>
        <w:tc>
          <w:tcPr>
            <w:tcW w:w="1329" w:type="pct"/>
          </w:tcPr>
          <w:p w14:paraId="515AAF0E">
            <w:pPr>
              <w:spacing w:line="360" w:lineRule="auto"/>
              <w:jc w:val="center"/>
              <w:rPr>
                <w:color w:val="auto"/>
                <w:szCs w:val="21"/>
                <w:highlight w:val="none"/>
              </w:rPr>
            </w:pPr>
          </w:p>
        </w:tc>
        <w:tc>
          <w:tcPr>
            <w:tcW w:w="1328" w:type="pct"/>
          </w:tcPr>
          <w:p w14:paraId="78B2B50C">
            <w:pPr>
              <w:spacing w:line="360" w:lineRule="auto"/>
              <w:rPr>
                <w:color w:val="auto"/>
                <w:szCs w:val="21"/>
                <w:highlight w:val="none"/>
              </w:rPr>
            </w:pPr>
            <w:r>
              <w:rPr>
                <w:rFonts w:hint="eastAsia"/>
                <w:color w:val="auto"/>
                <w:szCs w:val="21"/>
                <w:highlight w:val="none"/>
              </w:rPr>
              <w:t>联系人手机</w:t>
            </w:r>
          </w:p>
        </w:tc>
        <w:tc>
          <w:tcPr>
            <w:tcW w:w="1161" w:type="pct"/>
          </w:tcPr>
          <w:p w14:paraId="66CAA688">
            <w:pPr>
              <w:spacing w:line="360" w:lineRule="auto"/>
              <w:jc w:val="center"/>
              <w:rPr>
                <w:color w:val="auto"/>
                <w:szCs w:val="21"/>
                <w:highlight w:val="none"/>
              </w:rPr>
            </w:pPr>
          </w:p>
        </w:tc>
      </w:tr>
      <w:tr w14:paraId="54D3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pct"/>
          </w:tcPr>
          <w:p w14:paraId="3EF0CCCE">
            <w:pPr>
              <w:spacing w:line="360" w:lineRule="auto"/>
              <w:rPr>
                <w:color w:val="auto"/>
                <w:szCs w:val="21"/>
                <w:highlight w:val="none"/>
              </w:rPr>
            </w:pPr>
            <w:r>
              <w:rPr>
                <w:rFonts w:hint="eastAsia"/>
                <w:color w:val="auto"/>
                <w:szCs w:val="21"/>
                <w:highlight w:val="none"/>
              </w:rPr>
              <w:t>所投分包</w:t>
            </w:r>
          </w:p>
        </w:tc>
        <w:tc>
          <w:tcPr>
            <w:tcW w:w="3818" w:type="pct"/>
            <w:gridSpan w:val="3"/>
          </w:tcPr>
          <w:p w14:paraId="361DFBF7">
            <w:pPr>
              <w:spacing w:line="360" w:lineRule="auto"/>
              <w:jc w:val="center"/>
              <w:rPr>
                <w:color w:val="auto"/>
                <w:szCs w:val="21"/>
                <w:highlight w:val="none"/>
              </w:rPr>
            </w:pPr>
            <w:r>
              <w:rPr>
                <w:rFonts w:hint="eastAsia"/>
                <w:color w:val="auto"/>
                <w:szCs w:val="21"/>
                <w:highlight w:val="none"/>
              </w:rPr>
              <w:t>/</w:t>
            </w:r>
          </w:p>
        </w:tc>
      </w:tr>
    </w:tbl>
    <w:p w14:paraId="0CCF0172">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备注：1、请准备参与本项目投标的供应商如实填写（以上信息均为必填内容）后邮件至采购代理机构（电子邮箱：2535112693@qq.com，联系电话：18652792880）</w:t>
      </w:r>
    </w:p>
    <w:p w14:paraId="3F58E4E2">
      <w:pPr>
        <w:spacing w:line="360" w:lineRule="auto"/>
        <w:rPr>
          <w:rFonts w:ascii="宋体" w:hAnsi="宋体"/>
          <w:color w:val="auto"/>
          <w:szCs w:val="21"/>
          <w:highlight w:val="none"/>
        </w:rPr>
      </w:pPr>
      <w:r>
        <w:rPr>
          <w:rFonts w:hint="eastAsia" w:ascii="宋体" w:hAnsi="宋体" w:cs="宋体"/>
          <w:b/>
          <w:color w:val="auto"/>
          <w:szCs w:val="21"/>
          <w:highlight w:val="none"/>
        </w:rPr>
        <w:t xml:space="preserve">      2、因供应商填写有误，造成以上信息资料的不实将由供应商承担责任。</w:t>
      </w:r>
    </w:p>
    <w:p w14:paraId="156E1D44">
      <w:pPr>
        <w:spacing w:line="360" w:lineRule="auto"/>
        <w:rPr>
          <w:rFonts w:ascii="宋体" w:hAnsi="宋体" w:cs="宋体"/>
          <w:color w:val="auto"/>
          <w:highlight w:val="none"/>
        </w:rPr>
      </w:pPr>
    </w:p>
    <w:p w14:paraId="50EE40C7">
      <w:pPr>
        <w:rPr>
          <w:color w:val="auto"/>
          <w:highlight w:val="none"/>
        </w:rPr>
      </w:pPr>
    </w:p>
    <w:p w14:paraId="1FA326DE">
      <w:pPr>
        <w:rPr>
          <w:color w:val="auto"/>
          <w:highlight w:val="none"/>
        </w:rPr>
      </w:pPr>
    </w:p>
    <w:sectPr>
      <w:footerReference r:id="rId6" w:type="default"/>
      <w:pgSz w:w="11906" w:h="16838"/>
      <w:pgMar w:top="1440" w:right="1080" w:bottom="1440" w:left="1080" w:header="851" w:footer="992" w:gutter="0"/>
      <w:pgNumType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1A6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ADA6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3472">
    <w:pPr>
      <w:pStyle w:val="13"/>
    </w:pPr>
    <w:r>
      <w:pict>
        <v:shape id="_x0000_s3073" o:spid="_x0000_s3073"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lDqPLRAAAAAwEAAA8AAAAAAAAAAQAgAAAAIgAAAGRycy9kb3ducmV2Lnht&#10;bFBLAQIUABQAAAAIAIdO4kCNc23ZxwEAAIsDAAAOAAAAAAAAAAEAIAAAACABAABkcnMvZTJvRG9j&#10;LnhtbFBLBQYAAAAABgAGAFkBAABZBQAAAAA=&#10;">
          <v:path/>
          <v:fill on="f" focussize="0,0"/>
          <v:stroke on="f" joinstyle="miter"/>
          <v:imagedata o:title=""/>
          <o:lock v:ext="edit"/>
          <v:textbox inset="0mm,0mm,0mm,0mm" style="mso-fit-shape-to-text:t;">
            <w:txbxContent>
              <w:p w14:paraId="2F54F829">
                <w:pPr>
                  <w:pStyle w:val="13"/>
                  <w:rPr>
                    <w:rStyle w:val="26"/>
                  </w:rPr>
                </w:pPr>
                <w:r>
                  <w:rPr>
                    <w:rStyle w:val="26"/>
                  </w:rPr>
                  <w:t xml:space="preserve">第 </w:t>
                </w:r>
                <w:r>
                  <w:rPr>
                    <w:rStyle w:val="26"/>
                  </w:rPr>
                  <w:fldChar w:fldCharType="begin"/>
                </w:r>
                <w:r>
                  <w:rPr>
                    <w:rStyle w:val="26"/>
                  </w:rPr>
                  <w:instrText xml:space="preserve"> PAGE  \* MERGEFORMAT </w:instrText>
                </w:r>
                <w:r>
                  <w:rPr>
                    <w:rStyle w:val="26"/>
                  </w:rPr>
                  <w:fldChar w:fldCharType="separate"/>
                </w:r>
                <w:r>
                  <w:rPr>
                    <w:rStyle w:val="26"/>
                  </w:rPr>
                  <w:t>1</w:t>
                </w:r>
                <w:r>
                  <w:rPr>
                    <w:rStyle w:val="26"/>
                  </w:rPr>
                  <w:fldChar w:fldCharType="end"/>
                </w:r>
                <w:r>
                  <w:rPr>
                    <w:rStyle w:val="26"/>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CB60">
    <w:pPr>
      <w:pStyle w:val="15"/>
      <w:jc w:val="both"/>
    </w:pPr>
    <w:r>
      <w:rPr>
        <w:rFonts w:hint="eastAsia" w:ascii="宋体" w:hAnsi="宋体"/>
        <w:color w:val="000000"/>
      </w:rPr>
      <w:t>JSSDZX-2025</w:t>
    </w:r>
    <w:r>
      <w:rPr>
        <w:rFonts w:hint="eastAsia" w:ascii="宋体" w:hAnsi="宋体"/>
        <w:color w:val="000000"/>
        <w:lang w:val="en-US" w:eastAsia="zh-CN"/>
      </w:rPr>
      <w:t>202</w:t>
    </w:r>
    <w:r>
      <w:rPr>
        <w:rFonts w:hint="eastAsia" w:ascii="宋体" w:hAnsi="宋体"/>
        <w:color w:val="000000"/>
      </w:rPr>
      <w:t xml:space="preserve">号  </w:t>
    </w:r>
    <w:r>
      <w:rPr>
        <w:rFonts w:hint="eastAsia"/>
      </w:rPr>
      <w:t xml:space="preserve">                                                                江苏时代投资咨询有限公司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A415D"/>
    <w:multiLevelType w:val="singleLevel"/>
    <w:tmpl w:val="ABCA415D"/>
    <w:lvl w:ilvl="0" w:tentative="0">
      <w:start w:val="2"/>
      <w:numFmt w:val="decimal"/>
      <w:suff w:val="nothing"/>
      <w:lvlText w:val="（%1）"/>
      <w:lvlJc w:val="left"/>
    </w:lvl>
  </w:abstractNum>
  <w:abstractNum w:abstractNumId="1">
    <w:nsid w:val="BE3234A2"/>
    <w:multiLevelType w:val="singleLevel"/>
    <w:tmpl w:val="BE3234A2"/>
    <w:lvl w:ilvl="0" w:tentative="0">
      <w:start w:val="1"/>
      <w:numFmt w:val="decimal"/>
      <w:suff w:val="nothing"/>
      <w:lvlText w:val="%1．"/>
      <w:lvlJc w:val="left"/>
      <w:pPr>
        <w:ind w:left="0" w:firstLine="400"/>
      </w:pPr>
      <w:rPr>
        <w:rFonts w:hint="default"/>
      </w:rPr>
    </w:lvl>
  </w:abstractNum>
  <w:abstractNum w:abstractNumId="2">
    <w:nsid w:val="CEF12193"/>
    <w:multiLevelType w:val="singleLevel"/>
    <w:tmpl w:val="CEF12193"/>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3">
    <w:nsid w:val="E361B703"/>
    <w:multiLevelType w:val="singleLevel"/>
    <w:tmpl w:val="E361B703"/>
    <w:lvl w:ilvl="0" w:tentative="0">
      <w:start w:val="1"/>
      <w:numFmt w:val="decimal"/>
      <w:lvlText w:val="%1."/>
      <w:lvlJc w:val="left"/>
      <w:pPr>
        <w:tabs>
          <w:tab w:val="left" w:pos="312"/>
        </w:tabs>
      </w:pPr>
    </w:lvl>
  </w:abstractNum>
  <w:abstractNum w:abstractNumId="4">
    <w:nsid w:val="2227BBC5"/>
    <w:multiLevelType w:val="singleLevel"/>
    <w:tmpl w:val="2227BBC5"/>
    <w:lvl w:ilvl="0" w:tentative="0">
      <w:start w:val="1"/>
      <w:numFmt w:val="decimal"/>
      <w:suff w:val="nothing"/>
      <w:lvlText w:val="%1．"/>
      <w:lvlJc w:val="left"/>
      <w:pPr>
        <w:ind w:left="0" w:firstLine="400"/>
      </w:pPr>
      <w:rPr>
        <w:rFonts w:hint="default"/>
      </w:rPr>
    </w:lvl>
  </w:abstractNum>
  <w:abstractNum w:abstractNumId="5">
    <w:nsid w:val="6249B501"/>
    <w:multiLevelType w:val="singleLevel"/>
    <w:tmpl w:val="6249B501"/>
    <w:lvl w:ilvl="0" w:tentative="0">
      <w:start w:val="1"/>
      <w:numFmt w:val="chineseCounting"/>
      <w:suff w:val="space"/>
      <w:lvlText w:val="第%1章"/>
      <w:lvlJc w:val="left"/>
      <w:rPr>
        <w:rFonts w:hint="eastAsia"/>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4ZTlkZWY0ZWRiMzcwNDY3YTE1NWZhMTRjNTgwOGYifQ=="/>
  </w:docVars>
  <w:rsids>
    <w:rsidRoot w:val="3F0A150D"/>
    <w:rsid w:val="00001F0C"/>
    <w:rsid w:val="00021FE5"/>
    <w:rsid w:val="00065A49"/>
    <w:rsid w:val="000948B2"/>
    <w:rsid w:val="000B1520"/>
    <w:rsid w:val="000E7F8B"/>
    <w:rsid w:val="001272E3"/>
    <w:rsid w:val="001314A3"/>
    <w:rsid w:val="001A2F8E"/>
    <w:rsid w:val="002152F2"/>
    <w:rsid w:val="00217FFA"/>
    <w:rsid w:val="00272C11"/>
    <w:rsid w:val="002A1C5A"/>
    <w:rsid w:val="002F038D"/>
    <w:rsid w:val="00310112"/>
    <w:rsid w:val="00343F69"/>
    <w:rsid w:val="00374D72"/>
    <w:rsid w:val="003E0598"/>
    <w:rsid w:val="004F4E0E"/>
    <w:rsid w:val="005022F7"/>
    <w:rsid w:val="0057064B"/>
    <w:rsid w:val="00585670"/>
    <w:rsid w:val="005C3DD0"/>
    <w:rsid w:val="005D2854"/>
    <w:rsid w:val="005D6D15"/>
    <w:rsid w:val="005F78BF"/>
    <w:rsid w:val="00612251"/>
    <w:rsid w:val="00696D71"/>
    <w:rsid w:val="006A53DA"/>
    <w:rsid w:val="00724A88"/>
    <w:rsid w:val="00772525"/>
    <w:rsid w:val="007D4693"/>
    <w:rsid w:val="007E64F5"/>
    <w:rsid w:val="00855F1A"/>
    <w:rsid w:val="008F6AD8"/>
    <w:rsid w:val="00905A34"/>
    <w:rsid w:val="00990314"/>
    <w:rsid w:val="009E0CF0"/>
    <w:rsid w:val="009E1526"/>
    <w:rsid w:val="00A80CEE"/>
    <w:rsid w:val="00AB3D65"/>
    <w:rsid w:val="00AE0B62"/>
    <w:rsid w:val="00AF23C5"/>
    <w:rsid w:val="00B24C9E"/>
    <w:rsid w:val="00BB3F7B"/>
    <w:rsid w:val="00BC1E46"/>
    <w:rsid w:val="00BF4B09"/>
    <w:rsid w:val="00CC5E44"/>
    <w:rsid w:val="00D23A00"/>
    <w:rsid w:val="00D93B6C"/>
    <w:rsid w:val="00DC47B3"/>
    <w:rsid w:val="00E42399"/>
    <w:rsid w:val="00E63797"/>
    <w:rsid w:val="00E74D59"/>
    <w:rsid w:val="00E97959"/>
    <w:rsid w:val="00EC6982"/>
    <w:rsid w:val="00EF3DCD"/>
    <w:rsid w:val="00F37F21"/>
    <w:rsid w:val="00F63808"/>
    <w:rsid w:val="00F74B79"/>
    <w:rsid w:val="00FB0744"/>
    <w:rsid w:val="00FB48A0"/>
    <w:rsid w:val="00FC39D9"/>
    <w:rsid w:val="00FC7127"/>
    <w:rsid w:val="0113697F"/>
    <w:rsid w:val="01482471"/>
    <w:rsid w:val="01657C13"/>
    <w:rsid w:val="019B3634"/>
    <w:rsid w:val="01F20D71"/>
    <w:rsid w:val="024632FD"/>
    <w:rsid w:val="02691253"/>
    <w:rsid w:val="02B41F9E"/>
    <w:rsid w:val="03C565F1"/>
    <w:rsid w:val="04BF7CE3"/>
    <w:rsid w:val="05226CCD"/>
    <w:rsid w:val="05EC0902"/>
    <w:rsid w:val="06405D0F"/>
    <w:rsid w:val="064918B1"/>
    <w:rsid w:val="066A53A9"/>
    <w:rsid w:val="07CC34F0"/>
    <w:rsid w:val="08073D9C"/>
    <w:rsid w:val="08DF0985"/>
    <w:rsid w:val="09175C96"/>
    <w:rsid w:val="091B304B"/>
    <w:rsid w:val="091E4198"/>
    <w:rsid w:val="096F3DAD"/>
    <w:rsid w:val="09BE4364"/>
    <w:rsid w:val="0A7E0838"/>
    <w:rsid w:val="0AA572D2"/>
    <w:rsid w:val="0ADC7BDC"/>
    <w:rsid w:val="0AF465B5"/>
    <w:rsid w:val="0B1252D5"/>
    <w:rsid w:val="0B3F479A"/>
    <w:rsid w:val="0BBD6EC3"/>
    <w:rsid w:val="0BC21E5F"/>
    <w:rsid w:val="0BEB0617"/>
    <w:rsid w:val="0C0F70F9"/>
    <w:rsid w:val="0C590F18"/>
    <w:rsid w:val="0C5F738D"/>
    <w:rsid w:val="0C776A4C"/>
    <w:rsid w:val="0CBF0B1F"/>
    <w:rsid w:val="0CD43E9E"/>
    <w:rsid w:val="0D7178C6"/>
    <w:rsid w:val="0E5764EA"/>
    <w:rsid w:val="0E6072BA"/>
    <w:rsid w:val="0E620100"/>
    <w:rsid w:val="0EDB4D55"/>
    <w:rsid w:val="0F533D8B"/>
    <w:rsid w:val="0F6634D4"/>
    <w:rsid w:val="0F8B4DDC"/>
    <w:rsid w:val="0FC95811"/>
    <w:rsid w:val="10667503"/>
    <w:rsid w:val="10805E49"/>
    <w:rsid w:val="109776BD"/>
    <w:rsid w:val="10BE10ED"/>
    <w:rsid w:val="10EA1B82"/>
    <w:rsid w:val="111B7405"/>
    <w:rsid w:val="117069F6"/>
    <w:rsid w:val="119F0C55"/>
    <w:rsid w:val="12671735"/>
    <w:rsid w:val="129D4C7A"/>
    <w:rsid w:val="12A1237E"/>
    <w:rsid w:val="12C15850"/>
    <w:rsid w:val="13197BA0"/>
    <w:rsid w:val="135F0966"/>
    <w:rsid w:val="136C3083"/>
    <w:rsid w:val="13816ECC"/>
    <w:rsid w:val="13CE7226"/>
    <w:rsid w:val="142313B7"/>
    <w:rsid w:val="1461070D"/>
    <w:rsid w:val="155B515D"/>
    <w:rsid w:val="15763D45"/>
    <w:rsid w:val="15D52573"/>
    <w:rsid w:val="15DA6CB2"/>
    <w:rsid w:val="16542BB7"/>
    <w:rsid w:val="165E0D74"/>
    <w:rsid w:val="16974E16"/>
    <w:rsid w:val="169E73BE"/>
    <w:rsid w:val="16D2144F"/>
    <w:rsid w:val="16D74CB7"/>
    <w:rsid w:val="17007A45"/>
    <w:rsid w:val="17E20EC1"/>
    <w:rsid w:val="182F4C48"/>
    <w:rsid w:val="190944AF"/>
    <w:rsid w:val="192413D4"/>
    <w:rsid w:val="196A31C4"/>
    <w:rsid w:val="19DB0303"/>
    <w:rsid w:val="1B5F07DA"/>
    <w:rsid w:val="1B7357D5"/>
    <w:rsid w:val="1BE9405B"/>
    <w:rsid w:val="1C6E6C76"/>
    <w:rsid w:val="1C714AB2"/>
    <w:rsid w:val="1CE770C0"/>
    <w:rsid w:val="1D644DCB"/>
    <w:rsid w:val="1DE1641B"/>
    <w:rsid w:val="1E272107"/>
    <w:rsid w:val="1ED32208"/>
    <w:rsid w:val="1FC658C9"/>
    <w:rsid w:val="1FF97A4C"/>
    <w:rsid w:val="2003387E"/>
    <w:rsid w:val="20F070A1"/>
    <w:rsid w:val="20F87D04"/>
    <w:rsid w:val="212A08FD"/>
    <w:rsid w:val="219A525F"/>
    <w:rsid w:val="21EB1009"/>
    <w:rsid w:val="23D5432C"/>
    <w:rsid w:val="23EA0112"/>
    <w:rsid w:val="241977D4"/>
    <w:rsid w:val="244D0182"/>
    <w:rsid w:val="25C65AC5"/>
    <w:rsid w:val="263971B6"/>
    <w:rsid w:val="268F4C66"/>
    <w:rsid w:val="26AF355A"/>
    <w:rsid w:val="27533EE6"/>
    <w:rsid w:val="27E054A6"/>
    <w:rsid w:val="28571255"/>
    <w:rsid w:val="28603CC3"/>
    <w:rsid w:val="28895138"/>
    <w:rsid w:val="28A96004"/>
    <w:rsid w:val="28AA3FD9"/>
    <w:rsid w:val="28E21C76"/>
    <w:rsid w:val="292D69B8"/>
    <w:rsid w:val="299A05E5"/>
    <w:rsid w:val="29A25266"/>
    <w:rsid w:val="29E23BFD"/>
    <w:rsid w:val="2A692298"/>
    <w:rsid w:val="2A6B77DD"/>
    <w:rsid w:val="2A813391"/>
    <w:rsid w:val="2B65243A"/>
    <w:rsid w:val="2B6C37C8"/>
    <w:rsid w:val="2BFD47B8"/>
    <w:rsid w:val="2C3E4CDC"/>
    <w:rsid w:val="2C6D5A4A"/>
    <w:rsid w:val="2C771319"/>
    <w:rsid w:val="2CC90056"/>
    <w:rsid w:val="2CDA0C05"/>
    <w:rsid w:val="2D4730D3"/>
    <w:rsid w:val="2E1D5C69"/>
    <w:rsid w:val="2E24482E"/>
    <w:rsid w:val="2E575261"/>
    <w:rsid w:val="2F6F6DE8"/>
    <w:rsid w:val="304A0ED4"/>
    <w:rsid w:val="305A2A1D"/>
    <w:rsid w:val="30BE1BCD"/>
    <w:rsid w:val="30C043CD"/>
    <w:rsid w:val="30DF67EA"/>
    <w:rsid w:val="312B07E4"/>
    <w:rsid w:val="32506C85"/>
    <w:rsid w:val="3259142B"/>
    <w:rsid w:val="3304217B"/>
    <w:rsid w:val="34DA79F4"/>
    <w:rsid w:val="34DE22E7"/>
    <w:rsid w:val="34EC3BCC"/>
    <w:rsid w:val="3518051D"/>
    <w:rsid w:val="3518676F"/>
    <w:rsid w:val="35C9670C"/>
    <w:rsid w:val="36004D41"/>
    <w:rsid w:val="36222BF3"/>
    <w:rsid w:val="362353CB"/>
    <w:rsid w:val="36433425"/>
    <w:rsid w:val="38E52E0C"/>
    <w:rsid w:val="38EF605E"/>
    <w:rsid w:val="3A2F07E2"/>
    <w:rsid w:val="3A4E5006"/>
    <w:rsid w:val="3AB25595"/>
    <w:rsid w:val="3AE96BE3"/>
    <w:rsid w:val="3AEB3F9B"/>
    <w:rsid w:val="3B0A03C6"/>
    <w:rsid w:val="3CE00F61"/>
    <w:rsid w:val="3D112421"/>
    <w:rsid w:val="3D2E6D0B"/>
    <w:rsid w:val="3D487517"/>
    <w:rsid w:val="3E1D6FEE"/>
    <w:rsid w:val="3E3C3874"/>
    <w:rsid w:val="3EAB1BAF"/>
    <w:rsid w:val="3F0A150D"/>
    <w:rsid w:val="3F1736C3"/>
    <w:rsid w:val="3F830C89"/>
    <w:rsid w:val="3F8E7BB9"/>
    <w:rsid w:val="3FBB6674"/>
    <w:rsid w:val="404845F3"/>
    <w:rsid w:val="409475F1"/>
    <w:rsid w:val="40A02F12"/>
    <w:rsid w:val="415D5C35"/>
    <w:rsid w:val="424247FA"/>
    <w:rsid w:val="42793A3E"/>
    <w:rsid w:val="427D46DA"/>
    <w:rsid w:val="43147EF7"/>
    <w:rsid w:val="4315253F"/>
    <w:rsid w:val="436E55FA"/>
    <w:rsid w:val="44220152"/>
    <w:rsid w:val="444966C5"/>
    <w:rsid w:val="44DD0E3B"/>
    <w:rsid w:val="454A4F75"/>
    <w:rsid w:val="458F43CF"/>
    <w:rsid w:val="45AB2CE7"/>
    <w:rsid w:val="4650235F"/>
    <w:rsid w:val="46CE1383"/>
    <w:rsid w:val="46E110B6"/>
    <w:rsid w:val="47BE31A6"/>
    <w:rsid w:val="4873378B"/>
    <w:rsid w:val="48A24875"/>
    <w:rsid w:val="49170DBF"/>
    <w:rsid w:val="495C4A24"/>
    <w:rsid w:val="4975017E"/>
    <w:rsid w:val="4A676037"/>
    <w:rsid w:val="4AFB5557"/>
    <w:rsid w:val="4BC32B39"/>
    <w:rsid w:val="4BEC1912"/>
    <w:rsid w:val="4C105B24"/>
    <w:rsid w:val="4C3F4E2E"/>
    <w:rsid w:val="4E2E44B5"/>
    <w:rsid w:val="4EA330F5"/>
    <w:rsid w:val="4F4A2031"/>
    <w:rsid w:val="4F7832CB"/>
    <w:rsid w:val="4F98252E"/>
    <w:rsid w:val="4FAE65ED"/>
    <w:rsid w:val="4FCD667C"/>
    <w:rsid w:val="501B6709"/>
    <w:rsid w:val="50B265E6"/>
    <w:rsid w:val="52293474"/>
    <w:rsid w:val="529879ED"/>
    <w:rsid w:val="52B55CDB"/>
    <w:rsid w:val="52BC29D7"/>
    <w:rsid w:val="551F52FD"/>
    <w:rsid w:val="56294E4A"/>
    <w:rsid w:val="562F201E"/>
    <w:rsid w:val="567D2F75"/>
    <w:rsid w:val="56872BD1"/>
    <w:rsid w:val="56BF14E3"/>
    <w:rsid w:val="57171099"/>
    <w:rsid w:val="571B584C"/>
    <w:rsid w:val="57A424F7"/>
    <w:rsid w:val="57EA769F"/>
    <w:rsid w:val="580E2B33"/>
    <w:rsid w:val="584E01A6"/>
    <w:rsid w:val="58C347B1"/>
    <w:rsid w:val="597E2DBA"/>
    <w:rsid w:val="5B4B60B4"/>
    <w:rsid w:val="5B7F45A2"/>
    <w:rsid w:val="5B94004E"/>
    <w:rsid w:val="5BAC183B"/>
    <w:rsid w:val="5BD60666"/>
    <w:rsid w:val="5BEB037D"/>
    <w:rsid w:val="5C7709FF"/>
    <w:rsid w:val="5CCD7CBB"/>
    <w:rsid w:val="5D0E0385"/>
    <w:rsid w:val="5D713803"/>
    <w:rsid w:val="5D79574D"/>
    <w:rsid w:val="5DBB37D2"/>
    <w:rsid w:val="5DD5559A"/>
    <w:rsid w:val="5E4C4A21"/>
    <w:rsid w:val="5EA82687"/>
    <w:rsid w:val="5F250980"/>
    <w:rsid w:val="5F8340CB"/>
    <w:rsid w:val="5FCA4348"/>
    <w:rsid w:val="60237BF2"/>
    <w:rsid w:val="609515E2"/>
    <w:rsid w:val="60A02DED"/>
    <w:rsid w:val="60E27AAD"/>
    <w:rsid w:val="61A80ECF"/>
    <w:rsid w:val="61C52EF5"/>
    <w:rsid w:val="61D90D4A"/>
    <w:rsid w:val="6280757E"/>
    <w:rsid w:val="62CF0F54"/>
    <w:rsid w:val="630C2BBF"/>
    <w:rsid w:val="638B7BFD"/>
    <w:rsid w:val="643E324C"/>
    <w:rsid w:val="64B12A51"/>
    <w:rsid w:val="65462CB0"/>
    <w:rsid w:val="66287D10"/>
    <w:rsid w:val="66F714D5"/>
    <w:rsid w:val="67033CC0"/>
    <w:rsid w:val="670E25DC"/>
    <w:rsid w:val="673F70EE"/>
    <w:rsid w:val="676236F6"/>
    <w:rsid w:val="6790451B"/>
    <w:rsid w:val="67BE2105"/>
    <w:rsid w:val="684628DF"/>
    <w:rsid w:val="68CF1256"/>
    <w:rsid w:val="692E1D03"/>
    <w:rsid w:val="69AC30E5"/>
    <w:rsid w:val="6A2F0D1C"/>
    <w:rsid w:val="6A43400A"/>
    <w:rsid w:val="6A7C310D"/>
    <w:rsid w:val="6AAC2DD2"/>
    <w:rsid w:val="6AD14D4C"/>
    <w:rsid w:val="6AF64990"/>
    <w:rsid w:val="6BA61AF4"/>
    <w:rsid w:val="6BAF34A4"/>
    <w:rsid w:val="6BE2414B"/>
    <w:rsid w:val="6CC669C9"/>
    <w:rsid w:val="6D6C505F"/>
    <w:rsid w:val="6DBE037D"/>
    <w:rsid w:val="6E096679"/>
    <w:rsid w:val="6E1C7D46"/>
    <w:rsid w:val="6E62222D"/>
    <w:rsid w:val="6EA840E4"/>
    <w:rsid w:val="6F157DB9"/>
    <w:rsid w:val="700453C0"/>
    <w:rsid w:val="70AB7EBB"/>
    <w:rsid w:val="71593474"/>
    <w:rsid w:val="717F4823"/>
    <w:rsid w:val="727B622B"/>
    <w:rsid w:val="72E35621"/>
    <w:rsid w:val="7484525B"/>
    <w:rsid w:val="751D3865"/>
    <w:rsid w:val="7568637B"/>
    <w:rsid w:val="75736ACE"/>
    <w:rsid w:val="75AC0B58"/>
    <w:rsid w:val="75B83266"/>
    <w:rsid w:val="75C75611"/>
    <w:rsid w:val="76607C7A"/>
    <w:rsid w:val="769E1078"/>
    <w:rsid w:val="77233EDC"/>
    <w:rsid w:val="77676079"/>
    <w:rsid w:val="77A80CB1"/>
    <w:rsid w:val="77A82A0E"/>
    <w:rsid w:val="77CB499F"/>
    <w:rsid w:val="77FA708A"/>
    <w:rsid w:val="78242CCF"/>
    <w:rsid w:val="78821972"/>
    <w:rsid w:val="78F46178"/>
    <w:rsid w:val="797F17DA"/>
    <w:rsid w:val="79913088"/>
    <w:rsid w:val="79DA46F8"/>
    <w:rsid w:val="79FD2E0A"/>
    <w:rsid w:val="7A1D5DA5"/>
    <w:rsid w:val="7ADC01C7"/>
    <w:rsid w:val="7B216ABD"/>
    <w:rsid w:val="7B3418EC"/>
    <w:rsid w:val="7B4F58E7"/>
    <w:rsid w:val="7BE23A22"/>
    <w:rsid w:val="7C2F00A5"/>
    <w:rsid w:val="7CEF5EBB"/>
    <w:rsid w:val="7CF76237"/>
    <w:rsid w:val="7D8151D5"/>
    <w:rsid w:val="7D925D0F"/>
    <w:rsid w:val="7DDB2152"/>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kern w:val="0"/>
      <w:sz w:val="20"/>
      <w:szCs w:val="21"/>
    </w:rPr>
  </w:style>
  <w:style w:type="paragraph" w:customStyle="1" w:styleId="3">
    <w:name w:val="Char Char Char Char Char"/>
    <w:basedOn w:val="1"/>
    <w:next w:val="1"/>
    <w:qFormat/>
    <w:uiPriority w:val="0"/>
    <w:pPr>
      <w:ind w:firstLine="5632"/>
    </w:pPr>
  </w:style>
  <w:style w:type="paragraph" w:styleId="5">
    <w:name w:val="table of authorities"/>
    <w:basedOn w:val="1"/>
    <w:next w:val="1"/>
    <w:qFormat/>
    <w:uiPriority w:val="99"/>
    <w:pPr>
      <w:ind w:left="420" w:leftChars="200"/>
    </w:pPr>
    <w:rPr>
      <w:rFonts w:asciiTheme="minorHAnsi" w:hAnsiTheme="minorHAnsi" w:eastAsiaTheme="minorEastAsia" w:cstheme="minorBidi"/>
      <w:szCs w:val="24"/>
    </w:rPr>
  </w:style>
  <w:style w:type="paragraph" w:styleId="6">
    <w:name w:val="annotation text"/>
    <w:basedOn w:val="1"/>
    <w:qFormat/>
    <w:uiPriority w:val="0"/>
    <w:pPr>
      <w:jc w:val="left"/>
    </w:pPr>
  </w:style>
  <w:style w:type="paragraph" w:styleId="7">
    <w:name w:val="Body Text 3"/>
    <w:basedOn w:val="1"/>
    <w:qFormat/>
    <w:uiPriority w:val="99"/>
    <w:pPr>
      <w:tabs>
        <w:tab w:val="left" w:pos="-142"/>
        <w:tab w:val="left" w:pos="993"/>
        <w:tab w:val="left" w:pos="1134"/>
      </w:tabs>
      <w:adjustRightInd w:val="0"/>
      <w:snapToGrid w:val="0"/>
      <w:spacing w:line="360" w:lineRule="auto"/>
    </w:pPr>
    <w:rPr>
      <w:rFonts w:eastAsia="仿宋_GB2312"/>
      <w:b/>
      <w:bCs/>
      <w:snapToGrid w:val="0"/>
      <w:sz w:val="28"/>
      <w:u w:val="single"/>
    </w:rPr>
  </w:style>
  <w:style w:type="paragraph" w:styleId="8">
    <w:name w:val="Body Text"/>
    <w:basedOn w:val="1"/>
    <w:next w:val="1"/>
    <w:unhideWhenUsed/>
    <w:qFormat/>
    <w:uiPriority w:val="99"/>
    <w:rPr>
      <w:rFonts w:ascii="楷体_GB2312" w:hAnsi="Arial" w:eastAsia="楷体_GB2312"/>
      <w:kern w:val="0"/>
      <w:sz w:val="28"/>
      <w:szCs w:val="28"/>
    </w:rPr>
  </w:style>
  <w:style w:type="paragraph" w:styleId="9">
    <w:name w:val="Body Text Indent"/>
    <w:basedOn w:val="1"/>
    <w:unhideWhenUsed/>
    <w:qFormat/>
    <w:uiPriority w:val="99"/>
    <w:pPr>
      <w:spacing w:after="120"/>
      <w:ind w:left="420" w:leftChars="200"/>
    </w:pPr>
  </w:style>
  <w:style w:type="paragraph" w:styleId="10">
    <w:name w:val="List Bullet 2"/>
    <w:basedOn w:val="11"/>
    <w:qFormat/>
    <w:uiPriority w:val="0"/>
    <w:pPr>
      <w:numPr>
        <w:ilvl w:val="0"/>
        <w:numId w:val="1"/>
      </w:numPr>
    </w:pPr>
  </w:style>
  <w:style w:type="paragraph" w:customStyle="1" w:styleId="11">
    <w:name w:val="正文_2"/>
    <w:next w:val="10"/>
    <w:autoRedefine/>
    <w:qFormat/>
    <w:uiPriority w:val="0"/>
    <w:rPr>
      <w:rFonts w:ascii="Times New Roman" w:hAnsi="Times New Roman" w:eastAsia="宋体" w:cs="Times New Roman"/>
      <w:lang w:val="en-US" w:eastAsia="zh-CN" w:bidi="ar-SA"/>
    </w:rPr>
  </w:style>
  <w:style w:type="paragraph" w:styleId="12">
    <w:name w:val="Balloon Text"/>
    <w:basedOn w:val="1"/>
    <w:link w:val="46"/>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envelope return"/>
    <w:basedOn w:val="1"/>
    <w:unhideWhenUsed/>
    <w:qFormat/>
    <w:uiPriority w:val="99"/>
    <w:pPr>
      <w:snapToGrid w:val="0"/>
    </w:pPr>
    <w:rPr>
      <w:rFonts w:ascii="Arial" w:hAnsi="Arial"/>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toc 9"/>
    <w:basedOn w:val="1"/>
    <w:next w:val="1"/>
    <w:qFormat/>
    <w:uiPriority w:val="0"/>
    <w:pPr>
      <w:ind w:left="3360" w:leftChars="1600"/>
    </w:pPr>
    <w:rPr>
      <w:rFonts w:ascii="Calibri" w:hAnsi="Calibri"/>
    </w:rPr>
  </w:style>
  <w:style w:type="paragraph" w:styleId="18">
    <w:name w:val="Body Text 2"/>
    <w:basedOn w:val="1"/>
    <w:qFormat/>
    <w:uiPriority w:val="0"/>
    <w:pPr>
      <w:spacing w:after="120" w:line="480" w:lineRule="auto"/>
    </w:p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8"/>
    <w:qFormat/>
    <w:uiPriority w:val="0"/>
    <w:pPr>
      <w:spacing w:after="120"/>
      <w:ind w:firstLine="420" w:firstLineChars="100"/>
    </w:pPr>
    <w:rPr>
      <w:rFonts w:ascii="Times New Roman" w:eastAsia="宋体"/>
      <w:szCs w:val="24"/>
    </w:rPr>
  </w:style>
  <w:style w:type="paragraph" w:styleId="21">
    <w:name w:val="Body Text First Indent 2"/>
    <w:basedOn w:val="9"/>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qFormat/>
    <w:uiPriority w:val="0"/>
  </w:style>
  <w:style w:type="character" w:styleId="27">
    <w:name w:val="Hyperlink"/>
    <w:unhideWhenUsed/>
    <w:qFormat/>
    <w:uiPriority w:val="0"/>
    <w:rPr>
      <w:color w:val="333333"/>
      <w:u w:val="none"/>
    </w:rPr>
  </w:style>
  <w:style w:type="character" w:styleId="28">
    <w:name w:val="annotation reference"/>
    <w:basedOn w:val="24"/>
    <w:qFormat/>
    <w:uiPriority w:val="0"/>
    <w:rPr>
      <w:sz w:val="21"/>
      <w:szCs w:val="21"/>
    </w:rPr>
  </w:style>
  <w:style w:type="paragraph" w:customStyle="1" w:styleId="29">
    <w:name w:val="正文（缩进）"/>
    <w:basedOn w:val="30"/>
    <w:next w:val="31"/>
    <w:autoRedefine/>
    <w:qFormat/>
    <w:uiPriority w:val="99"/>
    <w:pPr>
      <w:ind w:firstLine="480" w:firstLineChars="200"/>
    </w:pPr>
  </w:style>
  <w:style w:type="paragraph" w:customStyle="1" w:styleId="30">
    <w:name w:val="正文_2_0"/>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Char Char Char Char Char Char Char Char Char"/>
    <w:basedOn w:val="1"/>
    <w:next w:val="32"/>
    <w:autoRedefine/>
    <w:qFormat/>
    <w:uiPriority w:val="0"/>
    <w:pPr>
      <w:ind w:left="360" w:firstLine="5784"/>
    </w:pPr>
  </w:style>
  <w:style w:type="paragraph" w:customStyle="1" w:styleId="32">
    <w:name w:val="正文文本 21"/>
    <w:basedOn w:val="1"/>
    <w:next w:val="33"/>
    <w:autoRedefine/>
    <w:qFormat/>
    <w:uiPriority w:val="0"/>
    <w:pPr>
      <w:widowControl/>
      <w:autoSpaceDE w:val="0"/>
      <w:autoSpaceDN w:val="0"/>
      <w:ind w:left="720" w:firstLine="5680"/>
    </w:pPr>
  </w:style>
  <w:style w:type="paragraph" w:customStyle="1" w:styleId="33">
    <w:name w:val="默认段落字体 Para Char Char Char Char Char Char Char"/>
    <w:basedOn w:val="1"/>
    <w:next w:val="34"/>
    <w:autoRedefine/>
    <w:qFormat/>
    <w:uiPriority w:val="0"/>
    <w:pPr>
      <w:ind w:firstLine="200" w:firstLineChars="200"/>
    </w:pPr>
    <w:rPr>
      <w:rFonts w:cs="Arial"/>
    </w:rPr>
  </w:style>
  <w:style w:type="paragraph" w:customStyle="1" w:styleId="34">
    <w:name w:val="样式 首行缩进:  2 字符"/>
    <w:basedOn w:val="1"/>
    <w:next w:val="35"/>
    <w:autoRedefine/>
    <w:qFormat/>
    <w:uiPriority w:val="0"/>
    <w:pPr>
      <w:spacing w:line="360" w:lineRule="auto"/>
      <w:ind w:left="480" w:firstLine="5856"/>
    </w:pPr>
  </w:style>
  <w:style w:type="paragraph" w:customStyle="1" w:styleId="35">
    <w:name w:val="样式 段后: 0.25 行"/>
    <w:basedOn w:val="1"/>
    <w:next w:val="36"/>
    <w:autoRedefine/>
    <w:qFormat/>
    <w:uiPriority w:val="0"/>
    <w:pPr>
      <w:widowControl/>
      <w:spacing w:line="300" w:lineRule="auto"/>
      <w:ind w:left="420" w:firstLine="5796"/>
    </w:pPr>
  </w:style>
  <w:style w:type="paragraph" w:customStyle="1" w:styleId="36">
    <w:name w:val="正文 New New New New New New New New New New New New New New"/>
    <w:next w:val="17"/>
    <w:autoRedefine/>
    <w:qFormat/>
    <w:uiPriority w:val="0"/>
    <w:pPr>
      <w:widowControl w:val="0"/>
      <w:ind w:firstLine="2048"/>
      <w:jc w:val="both"/>
    </w:pPr>
    <w:rPr>
      <w:rFonts w:ascii="Calibri" w:hAnsi="Calibri" w:eastAsia="宋体" w:cs="Times New Roman"/>
      <w:lang w:val="en-US" w:eastAsia="zh-CN" w:bidi="ar-SA"/>
    </w:rPr>
  </w:style>
  <w:style w:type="character" w:customStyle="1" w:styleId="37">
    <w:name w:val="font41"/>
    <w:basedOn w:val="24"/>
    <w:qFormat/>
    <w:uiPriority w:val="0"/>
    <w:rPr>
      <w:rFonts w:ascii="宋体" w:hAnsi="宋体" w:eastAsia="宋体" w:cs="宋体"/>
      <w:color w:val="000000"/>
      <w:sz w:val="14"/>
      <w:szCs w:val="14"/>
      <w:u w:val="none"/>
    </w:rPr>
  </w:style>
  <w:style w:type="paragraph" w:customStyle="1" w:styleId="38">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Normal1"/>
    <w:basedOn w:val="1"/>
    <w:autoRedefine/>
    <w:qFormat/>
    <w:uiPriority w:val="0"/>
    <w:rPr>
      <w:rFonts w:ascii="Calibri" w:hAnsi="Calibri" w:eastAsia="Calibri" w:cs="宋体"/>
      <w:kern w:val="0"/>
      <w:sz w:val="20"/>
      <w:szCs w:val="20"/>
      <w:lang w:val="zh-CN"/>
    </w:rPr>
  </w:style>
  <w:style w:type="paragraph" w:customStyle="1" w:styleId="40">
    <w:name w:val="正文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2">
    <w:name w:val="段"/>
    <w:next w:val="1"/>
    <w:autoRedefine/>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43">
    <w:name w:val="Char"/>
    <w:basedOn w:val="1"/>
    <w:autoRedefine/>
    <w:qFormat/>
    <w:uiPriority w:val="0"/>
    <w:pPr>
      <w:tabs>
        <w:tab w:val="left" w:pos="360"/>
      </w:tabs>
      <w:ind w:firstLine="200" w:firstLineChars="200"/>
    </w:pPr>
    <w:rPr>
      <w:sz w:val="28"/>
      <w:szCs w:val="30"/>
    </w:rPr>
  </w:style>
  <w:style w:type="paragraph" w:customStyle="1" w:styleId="44">
    <w:name w:val="正文_0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正文1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6">
    <w:name w:val="批注框文本 Char"/>
    <w:basedOn w:val="24"/>
    <w:link w:val="12"/>
    <w:qFormat/>
    <w:uiPriority w:val="0"/>
    <w:rPr>
      <w:kern w:val="2"/>
      <w:sz w:val="18"/>
      <w:szCs w:val="18"/>
    </w:rPr>
  </w:style>
  <w:style w:type="character" w:customStyle="1" w:styleId="47">
    <w:name w:val="NormalCharacter"/>
    <w:semiHidden/>
    <w:qFormat/>
    <w:uiPriority w:val="0"/>
  </w:style>
  <w:style w:type="paragraph" w:customStyle="1" w:styleId="48">
    <w:name w:val="正文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2"/>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0">
    <w:name w:val="纯文本1"/>
    <w:basedOn w:val="1"/>
    <w:qFormat/>
    <w:uiPriority w:val="99"/>
    <w:pPr>
      <w:adjustRightInd w:val="0"/>
    </w:pPr>
    <w:rPr>
      <w:rFonts w:ascii="宋体" w:hAnsi="Courier New" w:eastAsia="楷体_GB2312"/>
      <w:sz w:val="28"/>
      <w:szCs w:val="20"/>
    </w:rPr>
  </w:style>
  <w:style w:type="paragraph" w:customStyle="1" w:styleId="51">
    <w:name w:val="正文3"/>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标题 11"/>
    <w:basedOn w:val="51"/>
    <w:next w:val="51"/>
    <w:qFormat/>
    <w:uiPriority w:val="9"/>
    <w:pPr>
      <w:keepNext/>
      <w:keepLines/>
      <w:spacing w:line="360" w:lineRule="auto"/>
      <w:outlineLvl w:val="0"/>
    </w:pPr>
    <w:rPr>
      <w:rFonts w:eastAsia="黑体"/>
      <w:b/>
      <w:bCs/>
      <w:kern w:val="44"/>
      <w:sz w:val="32"/>
      <w:szCs w:val="44"/>
    </w:rPr>
  </w:style>
  <w:style w:type="character" w:customStyle="1" w:styleId="53">
    <w:name w:val="fontstyle01"/>
    <w:qFormat/>
    <w:uiPriority w:val="0"/>
    <w:rPr>
      <w:rFonts w:hint="eastAsia" w:ascii="宋体" w:hAnsi="宋体" w:eastAsia="宋体"/>
      <w:color w:val="000000"/>
      <w:sz w:val="22"/>
      <w:szCs w:val="22"/>
    </w:rPr>
  </w:style>
  <w:style w:type="paragraph" w:customStyle="1" w:styleId="54">
    <w:name w:val="无间隔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17998</Words>
  <Characters>18743</Characters>
  <Lines>172</Lines>
  <Paragraphs>48</Paragraphs>
  <TotalTime>25</TotalTime>
  <ScaleCrop>false</ScaleCrop>
  <LinksUpToDate>false</LinksUpToDate>
  <CharactersWithSpaces>19720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2025-07-09T06:52:00Z</dcterms:created>
  <dc:creator>Amoureux</dc:creator>
  <cp:lastModifiedBy>Lenovo2023</cp:lastModifiedBy>
  <dcterms:modified xsi:type="dcterms:W3CDTF">2025-08-08T06:56:16Z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DC4641D4A0854BADA4A19DB1DE88CD38_13</vt:lpwstr>
  </property>
  <property fmtid="{D5CDD505-2E9C-101B-9397-08002B2CF9AE}" pid="4" name="KSOTemplateDocerSaveRecord">
    <vt:lpwstr>eyJoZGlkIjoiNjIyMDJjZGI1NTcwYzM4NTFkMjJmY2E2MzgzNjNlMGMifQ==</vt:lpwstr>
  </property>
</Properties>
</file>