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F3A5E7">
      <w:pPr>
        <w:spacing w:line="520" w:lineRule="exact"/>
        <w:jc w:val="center"/>
        <w:rPr>
          <w:rFonts w:hint="eastAsia"/>
          <w:b/>
          <w:sz w:val="30"/>
          <w:szCs w:val="30"/>
        </w:rPr>
      </w:pPr>
    </w:p>
    <w:p w14:paraId="6C3059B2">
      <w:pPr>
        <w:spacing w:line="520" w:lineRule="exact"/>
        <w:jc w:val="distribute"/>
        <w:rPr>
          <w:rFonts w:hint="eastAsia" w:ascii="华文中宋" w:hAnsi="华文中宋" w:eastAsia="华文中宋"/>
          <w:b/>
          <w:sz w:val="52"/>
          <w:szCs w:val="52"/>
        </w:rPr>
      </w:pPr>
      <w:r>
        <w:rPr>
          <w:rFonts w:hint="eastAsia" w:ascii="华文中宋" w:hAnsi="华文中宋" w:eastAsia="华文中宋"/>
          <w:b/>
          <w:sz w:val="52"/>
          <w:szCs w:val="52"/>
        </w:rPr>
        <w:t>江苏建达全过程工程咨询有限公司</w:t>
      </w:r>
    </w:p>
    <w:p w14:paraId="15EDE625">
      <w:pPr>
        <w:spacing w:line="520" w:lineRule="exact"/>
        <w:jc w:val="center"/>
        <w:rPr>
          <w:rFonts w:hint="eastAsia"/>
          <w:b/>
          <w:sz w:val="30"/>
          <w:szCs w:val="30"/>
        </w:rPr>
      </w:pPr>
    </w:p>
    <w:tbl>
      <w:tblPr>
        <w:tblStyle w:val="8"/>
        <w:tblW w:w="9036" w:type="dxa"/>
        <w:tblInd w:w="0" w:type="dxa"/>
        <w:tblLayout w:type="fixed"/>
        <w:tblCellMar>
          <w:top w:w="0" w:type="dxa"/>
          <w:left w:w="108" w:type="dxa"/>
          <w:bottom w:w="0" w:type="dxa"/>
          <w:right w:w="108" w:type="dxa"/>
        </w:tblCellMar>
      </w:tblPr>
      <w:tblGrid>
        <w:gridCol w:w="9036"/>
      </w:tblGrid>
      <w:tr w14:paraId="1DF4BE82">
        <w:tblPrEx>
          <w:tblCellMar>
            <w:top w:w="0" w:type="dxa"/>
            <w:left w:w="108" w:type="dxa"/>
            <w:bottom w:w="0" w:type="dxa"/>
            <w:right w:w="108" w:type="dxa"/>
          </w:tblCellMar>
        </w:tblPrEx>
        <w:tc>
          <w:tcPr>
            <w:tcW w:w="9036" w:type="dxa"/>
          </w:tcPr>
          <w:p w14:paraId="62A2E33E">
            <w:pPr>
              <w:spacing w:line="520" w:lineRule="exact"/>
              <w:jc w:val="center"/>
              <w:rPr>
                <w:rFonts w:hint="eastAsia" w:ascii="仿宋_GB2312" w:eastAsia="仿宋"/>
                <w:sz w:val="32"/>
                <w:szCs w:val="32"/>
              </w:rPr>
            </w:pPr>
            <w:bookmarkStart w:id="0" w:name="_Hlk105676742"/>
            <w:r>
              <w:rPr>
                <w:rFonts w:hint="eastAsia" w:ascii="仿宋" w:hAnsi="仿宋" w:eastAsia="仿宋"/>
                <w:sz w:val="32"/>
                <w:szCs w:val="32"/>
                <w:highlight w:val="none"/>
                <w:lang w:val="en-US" w:eastAsia="zh-CN"/>
              </w:rPr>
              <w:t>苏建</w:t>
            </w:r>
            <w:r>
              <w:rPr>
                <w:rFonts w:hint="eastAsia" w:ascii="仿宋" w:hAnsi="仿宋" w:eastAsia="仿宋"/>
                <w:sz w:val="32"/>
                <w:szCs w:val="32"/>
                <w:highlight w:val="none"/>
              </w:rPr>
              <w:t>造发〔202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SY005</w:t>
            </w:r>
            <w:r>
              <w:rPr>
                <w:rFonts w:hint="eastAsia" w:ascii="仿宋" w:hAnsi="仿宋" w:eastAsia="仿宋"/>
                <w:sz w:val="32"/>
                <w:szCs w:val="32"/>
                <w:highlight w:val="none"/>
              </w:rPr>
              <w:t>号</w:t>
            </w:r>
            <w:bookmarkEnd w:id="0"/>
          </w:p>
        </w:tc>
      </w:tr>
    </w:tbl>
    <w:p w14:paraId="513D33CD">
      <w:pPr>
        <w:spacing w:line="520" w:lineRule="exact"/>
        <w:jc w:val="center"/>
        <w:rPr>
          <w:rFonts w:hint="eastAsia"/>
          <w:sz w:val="24"/>
        </w:rPr>
      </w:pPr>
      <w:r>
        <w:rPr>
          <w:rFonts w:hint="eastAsia"/>
          <w:sz w:val="24"/>
        </w:rPr>
        <mc:AlternateContent>
          <mc:Choice Requires="wps">
            <w:drawing>
              <wp:anchor distT="0" distB="0" distL="114300" distR="114300" simplePos="0" relativeHeight="251659264" behindDoc="0" locked="0" layoutInCell="1" allowOverlap="1">
                <wp:simplePos x="0" y="0"/>
                <wp:positionH relativeFrom="column">
                  <wp:posOffset>-160020</wp:posOffset>
                </wp:positionH>
                <wp:positionV relativeFrom="paragraph">
                  <wp:posOffset>89535</wp:posOffset>
                </wp:positionV>
                <wp:extent cx="5586095" cy="0"/>
                <wp:effectExtent l="0" t="0" r="0" b="0"/>
                <wp:wrapNone/>
                <wp:docPr id="2" name="直线 27"/>
                <wp:cNvGraphicFramePr/>
                <a:graphic xmlns:a="http://schemas.openxmlformats.org/drawingml/2006/main">
                  <a:graphicData uri="http://schemas.microsoft.com/office/word/2010/wordprocessingShape">
                    <wps:wsp>
                      <wps:cNvCnPr>
                        <a:cxnSpLocks noChangeShapeType="1"/>
                      </wps:cNvCnPr>
                      <wps:spPr bwMode="auto">
                        <a:xfrm flipV="1">
                          <a:off x="0" y="0"/>
                          <a:ext cx="5586277" cy="0"/>
                        </a:xfrm>
                        <a:prstGeom prst="line">
                          <a:avLst/>
                        </a:prstGeom>
                        <a:noFill/>
                        <a:ln w="19050">
                          <a:solidFill>
                            <a:schemeClr val="tx1"/>
                          </a:solidFill>
                          <a:round/>
                        </a:ln>
                        <a:effectLst/>
                      </wps:spPr>
                      <wps:bodyPr/>
                    </wps:wsp>
                  </a:graphicData>
                </a:graphic>
              </wp:anchor>
            </w:drawing>
          </mc:Choice>
          <mc:Fallback>
            <w:pict>
              <v:line id="直线 27" o:spid="_x0000_s1026" o:spt="20" style="position:absolute;left:0pt;flip:y;margin-left:-12.6pt;margin-top:7.05pt;height:0pt;width:439.85pt;z-index:251659264;mso-width-relative:page;mso-height-relative:page;" filled="f" stroked="t" coordsize="21600,21600" o:gfxdata="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9lmVztUAAAAJAQAA&#10;DwAAAAAAAAABACAAAAAiAAAAZHJzL2Rvd25yZXYueG1sUEsBAhQAFAAAAAgAh07iQNssU3rjAQAA&#10;uwMAAA4AAAAAAAAAAQAgAAAAJAEAAGRycy9lMm9Eb2MueG1sUEsFBgAAAAAGAAYAWQEAAHkFAAAA&#10;AA==&#10;">
                <v:fill on="f" focussize="0,0"/>
                <v:stroke weight="1.5pt" color="#000000 [3213]" joinstyle="round"/>
                <v:imagedata o:title=""/>
                <o:lock v:ext="edit" aspectratio="f"/>
              </v:line>
            </w:pict>
          </mc:Fallback>
        </mc:AlternateContent>
      </w:r>
    </w:p>
    <w:p w14:paraId="33F9309E">
      <w:pPr>
        <w:pStyle w:val="3"/>
        <w:spacing w:line="520" w:lineRule="exact"/>
        <w:jc w:val="center"/>
        <w:rPr>
          <w:rFonts w:hint="eastAsia" w:hAnsi="宋体"/>
          <w:b/>
          <w:sz w:val="32"/>
          <w:szCs w:val="32"/>
          <w:lang w:val="en-US"/>
        </w:rPr>
      </w:pPr>
      <w:r>
        <w:rPr>
          <w:rFonts w:hint="eastAsia" w:hAnsi="宋体"/>
          <w:b/>
          <w:sz w:val="32"/>
          <w:szCs w:val="32"/>
        </w:rPr>
        <w:t>关于</w:t>
      </w:r>
      <w:r>
        <w:rPr>
          <w:rFonts w:hint="eastAsia" w:hAnsi="宋体"/>
          <w:b/>
          <w:sz w:val="32"/>
          <w:szCs w:val="32"/>
          <w:lang w:val="en-US" w:eastAsia="zh-CN"/>
        </w:rPr>
        <w:t>杨庙中学改造（未成年人成长指导中心改造）工程</w:t>
      </w:r>
      <w:r>
        <w:rPr>
          <w:rFonts w:hint="eastAsia" w:hAnsi="宋体"/>
          <w:b/>
          <w:sz w:val="32"/>
          <w:szCs w:val="32"/>
        </w:rPr>
        <w:t>最高投标限价审核咨询成果报告书</w:t>
      </w:r>
    </w:p>
    <w:p w14:paraId="79CADB83">
      <w:pPr>
        <w:spacing w:line="520" w:lineRule="exact"/>
        <w:jc w:val="center"/>
        <w:rPr>
          <w:rFonts w:hint="eastAsia" w:ascii="宋体" w:hAnsi="宋体" w:eastAsia="宋体"/>
          <w:sz w:val="28"/>
          <w:szCs w:val="28"/>
        </w:rPr>
      </w:pPr>
    </w:p>
    <w:p w14:paraId="765420AE">
      <w:pPr>
        <w:spacing w:line="520" w:lineRule="exact"/>
        <w:rPr>
          <w:rFonts w:hint="eastAsia" w:ascii="宋体" w:hAnsi="宋体" w:eastAsia="宋体"/>
          <w:sz w:val="28"/>
          <w:szCs w:val="28"/>
        </w:rPr>
      </w:pPr>
      <w:r>
        <w:rPr>
          <w:rFonts w:hint="eastAsia" w:ascii="宋体" w:hAnsi="宋体" w:eastAsia="宋体"/>
          <w:sz w:val="28"/>
          <w:szCs w:val="28"/>
        </w:rPr>
        <w:t>扬州锦汇置业投资有限公司：</w:t>
      </w:r>
      <w:r>
        <w:rPr>
          <w:rFonts w:hint="eastAsia" w:ascii="宋体" w:hAnsi="宋体" w:eastAsia="宋体"/>
          <w:sz w:val="28"/>
          <w:szCs w:val="28"/>
        </w:rPr>
        <w:tab/>
      </w:r>
    </w:p>
    <w:p w14:paraId="1476A93A">
      <w:pPr>
        <w:spacing w:line="520" w:lineRule="exact"/>
        <w:ind w:firstLine="560" w:firstLineChars="200"/>
        <w:rPr>
          <w:rFonts w:hint="eastAsia" w:ascii="宋体" w:hAnsi="宋体" w:eastAsia="宋体"/>
          <w:sz w:val="28"/>
          <w:szCs w:val="28"/>
        </w:rPr>
      </w:pPr>
      <w:r>
        <w:rPr>
          <w:rFonts w:hint="eastAsia" w:ascii="宋体" w:hAnsi="宋体" w:eastAsia="宋体"/>
          <w:sz w:val="28"/>
          <w:szCs w:val="28"/>
        </w:rPr>
        <w:t>我公司接受贵单位委托，对扬州锦汇置业投资有限公司委托</w:t>
      </w:r>
      <w:r>
        <w:rPr>
          <w:rFonts w:hint="eastAsia" w:ascii="宋体" w:hAnsi="宋体" w:eastAsia="宋体"/>
          <w:sz w:val="28"/>
          <w:szCs w:val="28"/>
          <w:lang w:val="en-US" w:eastAsia="zh-CN"/>
        </w:rPr>
        <w:t>扬州建达工程管理服务</w:t>
      </w:r>
      <w:r>
        <w:rPr>
          <w:rFonts w:hint="eastAsia" w:ascii="宋体" w:hAnsi="宋体" w:eastAsia="宋体"/>
          <w:sz w:val="28"/>
          <w:szCs w:val="28"/>
        </w:rPr>
        <w:t>有限公司编制的</w:t>
      </w:r>
      <w:r>
        <w:rPr>
          <w:rFonts w:hint="eastAsia" w:ascii="宋体" w:hAnsi="宋体" w:eastAsia="宋体"/>
          <w:sz w:val="28"/>
          <w:szCs w:val="28"/>
          <w:lang w:eastAsia="zh-CN"/>
        </w:rPr>
        <w:t>杨庙中学改造（未成年人成长指导中心改造）工程</w:t>
      </w:r>
      <w:r>
        <w:rPr>
          <w:rFonts w:hint="eastAsia" w:ascii="宋体" w:hAnsi="宋体" w:eastAsia="宋体"/>
          <w:sz w:val="28"/>
          <w:szCs w:val="28"/>
        </w:rPr>
        <w:t>最高投标限价进行了审核。现将审核情况报告如下。</w:t>
      </w:r>
    </w:p>
    <w:p w14:paraId="2746CCD8">
      <w:pPr>
        <w:pStyle w:val="16"/>
        <w:numPr>
          <w:ilvl w:val="0"/>
          <w:numId w:val="1"/>
        </w:numPr>
        <w:spacing w:line="520" w:lineRule="exact"/>
        <w:ind w:firstLineChars="0"/>
        <w:jc w:val="left"/>
        <w:rPr>
          <w:rFonts w:hint="eastAsia" w:ascii="宋体" w:hAnsi="宋体"/>
          <w:b/>
          <w:sz w:val="28"/>
          <w:szCs w:val="28"/>
        </w:rPr>
      </w:pPr>
      <w:r>
        <w:rPr>
          <w:rFonts w:hint="eastAsia" w:ascii="宋体" w:hAnsi="宋体"/>
          <w:b/>
          <w:sz w:val="28"/>
          <w:szCs w:val="28"/>
        </w:rPr>
        <w:t>工程概况</w:t>
      </w:r>
    </w:p>
    <w:p w14:paraId="622D4BD7">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项目名称：</w:t>
      </w:r>
      <w:r>
        <w:rPr>
          <w:rFonts w:hint="eastAsia" w:ascii="宋体" w:hAnsi="宋体"/>
          <w:bCs/>
          <w:sz w:val="28"/>
          <w:szCs w:val="28"/>
          <w:lang w:eastAsia="zh-CN"/>
        </w:rPr>
        <w:t>杨庙中学改造（未成年人成长指导中心改造）工程</w:t>
      </w:r>
      <w:r>
        <w:rPr>
          <w:rFonts w:hint="eastAsia" w:ascii="宋体" w:hAnsi="宋体"/>
          <w:bCs/>
          <w:sz w:val="28"/>
          <w:szCs w:val="28"/>
        </w:rPr>
        <w:t>。</w:t>
      </w:r>
    </w:p>
    <w:p w14:paraId="7EC35AFB">
      <w:pPr>
        <w:pStyle w:val="16"/>
        <w:numPr>
          <w:ilvl w:val="3"/>
          <w:numId w:val="1"/>
        </w:numPr>
        <w:spacing w:line="520" w:lineRule="exact"/>
        <w:ind w:firstLine="560"/>
        <w:jc w:val="left"/>
        <w:rPr>
          <w:rFonts w:hint="eastAsia" w:ascii="宋体" w:hAnsi="宋体"/>
          <w:bCs/>
          <w:sz w:val="28"/>
          <w:szCs w:val="28"/>
        </w:rPr>
      </w:pPr>
      <w:r>
        <w:rPr>
          <w:rFonts w:hint="eastAsia" w:ascii="宋体" w:hAnsi="宋体"/>
          <w:bCs/>
          <w:sz w:val="28"/>
          <w:szCs w:val="28"/>
        </w:rPr>
        <w:t>工程特征：本工程为</w:t>
      </w:r>
      <w:r>
        <w:rPr>
          <w:rFonts w:hint="eastAsia" w:ascii="宋体" w:hAnsi="宋体"/>
          <w:bCs/>
          <w:sz w:val="28"/>
          <w:szCs w:val="28"/>
          <w:lang w:eastAsia="zh-CN"/>
        </w:rPr>
        <w:t>杨庙中学改造（未成年人成长指导中心改造）工程</w:t>
      </w:r>
      <w:r>
        <w:rPr>
          <w:rFonts w:hint="eastAsia" w:ascii="宋体" w:hAnsi="宋体"/>
          <w:bCs/>
          <w:sz w:val="28"/>
          <w:szCs w:val="28"/>
        </w:rPr>
        <w:t>，建设单位为扬州锦汇置业投资有限公司，建设地点为邗江区杨庙</w:t>
      </w:r>
      <w:r>
        <w:rPr>
          <w:rFonts w:hint="eastAsia" w:ascii="宋体" w:hAnsi="宋体"/>
          <w:bCs/>
          <w:sz w:val="28"/>
          <w:szCs w:val="28"/>
          <w:lang w:val="en-US" w:eastAsia="zh-CN"/>
        </w:rPr>
        <w:t>中</w:t>
      </w:r>
      <w:r>
        <w:rPr>
          <w:rFonts w:hint="eastAsia" w:ascii="宋体" w:hAnsi="宋体"/>
          <w:bCs/>
          <w:sz w:val="28"/>
          <w:szCs w:val="28"/>
        </w:rPr>
        <w:t>学。本次招标范围为杨庙</w:t>
      </w:r>
      <w:r>
        <w:rPr>
          <w:rFonts w:hint="eastAsia" w:ascii="宋体" w:hAnsi="宋体"/>
          <w:bCs/>
          <w:sz w:val="28"/>
          <w:szCs w:val="28"/>
          <w:lang w:val="en-US" w:eastAsia="zh-CN"/>
        </w:rPr>
        <w:t>中</w:t>
      </w:r>
      <w:r>
        <w:rPr>
          <w:rFonts w:hint="eastAsia" w:ascii="宋体" w:hAnsi="宋体"/>
          <w:bCs/>
          <w:sz w:val="28"/>
          <w:szCs w:val="28"/>
        </w:rPr>
        <w:t>学装饰改造、智能化改造。</w:t>
      </w:r>
    </w:p>
    <w:p w14:paraId="27865442">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计划工期：详见招标文件。</w:t>
      </w:r>
    </w:p>
    <w:p w14:paraId="675B323A">
      <w:pPr>
        <w:pStyle w:val="16"/>
        <w:numPr>
          <w:ilvl w:val="0"/>
          <w:numId w:val="1"/>
        </w:numPr>
        <w:spacing w:line="520" w:lineRule="exact"/>
        <w:ind w:firstLineChars="0"/>
        <w:jc w:val="left"/>
        <w:rPr>
          <w:rFonts w:hint="eastAsia" w:ascii="宋体" w:hAnsi="宋体"/>
          <w:b/>
          <w:sz w:val="28"/>
          <w:szCs w:val="28"/>
        </w:rPr>
      </w:pPr>
      <w:bookmarkStart w:id="1" w:name="_Hlk104041832"/>
      <w:r>
        <w:rPr>
          <w:rFonts w:hint="eastAsia" w:ascii="宋体" w:hAnsi="宋体"/>
          <w:b/>
          <w:sz w:val="28"/>
          <w:szCs w:val="28"/>
        </w:rPr>
        <w:t>审核依据</w:t>
      </w:r>
    </w:p>
    <w:bookmarkEnd w:id="1"/>
    <w:p w14:paraId="30A2DB80">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建设单位提供的有关编制要求。</w:t>
      </w:r>
    </w:p>
    <w:p w14:paraId="72CB7DB6">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根据建设单位要求，本项目使用《建设工程工程量清单计价规范》(GB50500-2013)及其9本工程量计算规范。</w:t>
      </w:r>
    </w:p>
    <w:p w14:paraId="03A2A283">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2</w:t>
      </w:r>
      <w:r>
        <w:rPr>
          <w:rFonts w:ascii="宋体" w:hAnsi="宋体"/>
          <w:bCs/>
          <w:sz w:val="28"/>
          <w:szCs w:val="28"/>
        </w:rPr>
        <w:t>014</w:t>
      </w:r>
      <w:r>
        <w:rPr>
          <w:rFonts w:hint="eastAsia" w:ascii="宋体" w:hAnsi="宋体"/>
          <w:bCs/>
          <w:sz w:val="28"/>
          <w:szCs w:val="28"/>
        </w:rPr>
        <w:t>版《江苏省建筑与装饰工程计价定额》、《江苏省安装工程计价定额》、《江苏省市政工程计价定额》及其配套补充定额、定额解释，及现行的其他专业定额。</w:t>
      </w:r>
    </w:p>
    <w:p w14:paraId="11412494">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2</w:t>
      </w:r>
      <w:r>
        <w:rPr>
          <w:rFonts w:ascii="宋体" w:hAnsi="宋体"/>
          <w:bCs/>
          <w:sz w:val="28"/>
          <w:szCs w:val="28"/>
        </w:rPr>
        <w:t>014</w:t>
      </w:r>
      <w:r>
        <w:rPr>
          <w:rFonts w:hint="eastAsia" w:ascii="宋体" w:hAnsi="宋体"/>
          <w:bCs/>
          <w:sz w:val="28"/>
          <w:szCs w:val="28"/>
        </w:rPr>
        <w:t>版《江苏省建设工程费用定额》及其营改增调整后的内容。</w:t>
      </w:r>
    </w:p>
    <w:p w14:paraId="0B2502F5">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材料价格按《扬州工程造价管理》（202</w:t>
      </w:r>
      <w:r>
        <w:rPr>
          <w:rFonts w:hint="eastAsia" w:ascii="宋体" w:hAnsi="宋体"/>
          <w:bCs/>
          <w:sz w:val="28"/>
          <w:szCs w:val="28"/>
          <w:lang w:val="en-US" w:eastAsia="zh-CN"/>
        </w:rPr>
        <w:t>6</w:t>
      </w:r>
      <w:r>
        <w:rPr>
          <w:rFonts w:hint="eastAsia" w:ascii="宋体" w:hAnsi="宋体"/>
          <w:bCs/>
          <w:sz w:val="28"/>
          <w:szCs w:val="28"/>
        </w:rPr>
        <w:t>年</w:t>
      </w:r>
      <w:r>
        <w:rPr>
          <w:rFonts w:hint="eastAsia" w:ascii="宋体" w:hAnsi="宋体"/>
          <w:bCs/>
          <w:sz w:val="28"/>
          <w:szCs w:val="28"/>
          <w:lang w:val="en-US" w:eastAsia="zh-CN"/>
        </w:rPr>
        <w:t>5</w:t>
      </w:r>
      <w:r>
        <w:rPr>
          <w:rFonts w:hint="eastAsia" w:ascii="宋体" w:hAnsi="宋体"/>
          <w:bCs/>
          <w:sz w:val="28"/>
          <w:szCs w:val="28"/>
        </w:rPr>
        <w:t>月）中建材信息价计算，没有建材信息价的按市场询价计入最高投标限价。</w:t>
      </w:r>
    </w:p>
    <w:p w14:paraId="25EF2588">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人工工资按苏建函价(202</w:t>
      </w:r>
      <w:r>
        <w:rPr>
          <w:rFonts w:hint="eastAsia" w:ascii="宋体" w:hAnsi="宋体"/>
          <w:bCs/>
          <w:sz w:val="28"/>
          <w:szCs w:val="28"/>
          <w:lang w:val="en-US" w:eastAsia="zh-CN"/>
        </w:rPr>
        <w:t>6</w:t>
      </w:r>
      <w:r>
        <w:rPr>
          <w:rFonts w:hint="eastAsia" w:ascii="宋体" w:hAnsi="宋体"/>
          <w:bCs/>
          <w:sz w:val="28"/>
          <w:szCs w:val="28"/>
        </w:rPr>
        <w:t>)</w:t>
      </w:r>
      <w:r>
        <w:rPr>
          <w:rFonts w:hint="eastAsia" w:ascii="宋体" w:hAnsi="宋体"/>
          <w:bCs/>
          <w:sz w:val="28"/>
          <w:szCs w:val="28"/>
          <w:lang w:val="en-US" w:eastAsia="zh-CN"/>
        </w:rPr>
        <w:t>27</w:t>
      </w:r>
      <w:r>
        <w:rPr>
          <w:rFonts w:hint="eastAsia" w:ascii="宋体" w:hAnsi="宋体"/>
          <w:bCs/>
          <w:sz w:val="28"/>
          <w:szCs w:val="28"/>
        </w:rPr>
        <w:t>号文件调整。</w:t>
      </w:r>
    </w:p>
    <w:p w14:paraId="627F928B">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扬州市现行的不可竞争费用内容及标准。</w:t>
      </w:r>
    </w:p>
    <w:p w14:paraId="5325CAEB">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扬州市安全生产、文明施工的相关规定。</w:t>
      </w:r>
    </w:p>
    <w:p w14:paraId="6BE66CD7">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与本工程相关的现行设计、施工规范和标准图集、造价文件等。</w:t>
      </w:r>
    </w:p>
    <w:p w14:paraId="01EA5B49">
      <w:pPr>
        <w:pStyle w:val="16"/>
        <w:numPr>
          <w:ilvl w:val="0"/>
          <w:numId w:val="1"/>
        </w:numPr>
        <w:spacing w:line="520" w:lineRule="exact"/>
        <w:ind w:firstLineChars="0"/>
        <w:jc w:val="left"/>
        <w:rPr>
          <w:rFonts w:hint="eastAsia" w:ascii="宋体" w:hAnsi="宋体"/>
          <w:bCs/>
          <w:sz w:val="28"/>
          <w:szCs w:val="28"/>
        </w:rPr>
      </w:pPr>
      <w:r>
        <w:rPr>
          <w:rFonts w:hint="eastAsia" w:ascii="宋体" w:hAnsi="宋体"/>
          <w:b/>
          <w:sz w:val="28"/>
          <w:szCs w:val="28"/>
        </w:rPr>
        <w:t>审核责任</w:t>
      </w:r>
    </w:p>
    <w:p w14:paraId="16BCB7A5">
      <w:pPr>
        <w:pStyle w:val="16"/>
        <w:numPr>
          <w:ilvl w:val="1"/>
          <w:numId w:val="1"/>
        </w:numPr>
        <w:spacing w:line="520" w:lineRule="exact"/>
        <w:ind w:firstLineChars="0"/>
        <w:rPr>
          <w:rFonts w:hint="eastAsia" w:ascii="宋体" w:hAnsi="宋体"/>
          <w:sz w:val="28"/>
          <w:szCs w:val="28"/>
        </w:rPr>
      </w:pPr>
      <w:r>
        <w:rPr>
          <w:rFonts w:hint="eastAsia" w:ascii="宋体" w:hAnsi="宋体"/>
          <w:sz w:val="28"/>
          <w:szCs w:val="28"/>
        </w:rPr>
        <w:t>委托方：对提供资料的真实性、合法性、完整性负责。</w:t>
      </w:r>
    </w:p>
    <w:p w14:paraId="60DDEA4B">
      <w:pPr>
        <w:pStyle w:val="16"/>
        <w:numPr>
          <w:ilvl w:val="1"/>
          <w:numId w:val="1"/>
        </w:numPr>
        <w:spacing w:line="520" w:lineRule="exact"/>
        <w:ind w:firstLineChars="0"/>
        <w:rPr>
          <w:rFonts w:hint="eastAsia" w:ascii="宋体" w:hAnsi="宋体"/>
          <w:sz w:val="28"/>
          <w:szCs w:val="28"/>
        </w:rPr>
      </w:pPr>
      <w:r>
        <w:rPr>
          <w:rFonts w:hint="eastAsia" w:ascii="宋体" w:hAnsi="宋体"/>
          <w:sz w:val="28"/>
          <w:szCs w:val="28"/>
        </w:rPr>
        <w:t>受托方：对本报告的真实性、合法性负责。</w:t>
      </w:r>
    </w:p>
    <w:p w14:paraId="3C721650">
      <w:pPr>
        <w:pStyle w:val="16"/>
        <w:numPr>
          <w:ilvl w:val="0"/>
          <w:numId w:val="1"/>
        </w:numPr>
        <w:spacing w:line="520" w:lineRule="exact"/>
        <w:ind w:firstLineChars="0"/>
        <w:jc w:val="left"/>
        <w:rPr>
          <w:rFonts w:hint="eastAsia" w:ascii="宋体" w:hAnsi="宋体"/>
          <w:b/>
          <w:sz w:val="28"/>
          <w:szCs w:val="28"/>
        </w:rPr>
      </w:pPr>
      <w:bookmarkStart w:id="2" w:name="_Hlk104039528"/>
      <w:bookmarkStart w:id="3" w:name="_Hlk105684419"/>
      <w:r>
        <w:rPr>
          <w:rFonts w:hint="eastAsia" w:ascii="宋体" w:hAnsi="宋体"/>
          <w:b/>
          <w:sz w:val="28"/>
          <w:szCs w:val="28"/>
        </w:rPr>
        <w:t>审核说明</w:t>
      </w:r>
    </w:p>
    <w:p w14:paraId="7FCED772">
      <w:pPr>
        <w:pStyle w:val="16"/>
        <w:numPr>
          <w:ilvl w:val="1"/>
          <w:numId w:val="1"/>
        </w:numPr>
        <w:spacing w:line="520" w:lineRule="exact"/>
        <w:ind w:firstLineChars="0"/>
        <w:jc w:val="left"/>
        <w:rPr>
          <w:rFonts w:hint="eastAsia" w:ascii="宋体" w:hAnsi="宋体"/>
          <w:bCs/>
          <w:sz w:val="28"/>
          <w:szCs w:val="28"/>
        </w:rPr>
      </w:pPr>
      <w:r>
        <w:rPr>
          <w:rFonts w:hint="eastAsia" w:ascii="宋体" w:hAnsi="宋体"/>
          <w:bCs/>
          <w:sz w:val="28"/>
          <w:szCs w:val="28"/>
        </w:rPr>
        <w:t>土建工程审核说明</w:t>
      </w:r>
    </w:p>
    <w:p w14:paraId="3D2C2F31">
      <w:pPr>
        <w:pStyle w:val="16"/>
        <w:numPr>
          <w:ilvl w:val="3"/>
          <w:numId w:val="1"/>
        </w:numPr>
        <w:spacing w:line="520" w:lineRule="exact"/>
        <w:ind w:firstLineChars="0"/>
        <w:jc w:val="left"/>
        <w:rPr>
          <w:rFonts w:hint="eastAsia" w:ascii="宋体" w:hAnsi="宋体"/>
          <w:bCs/>
          <w:sz w:val="28"/>
          <w:szCs w:val="28"/>
          <w:highlight w:val="none"/>
        </w:rPr>
      </w:pPr>
      <w:r>
        <w:rPr>
          <w:rFonts w:hint="eastAsia" w:ascii="宋体" w:hAnsi="宋体"/>
          <w:bCs/>
          <w:sz w:val="28"/>
          <w:szCs w:val="28"/>
          <w:highlight w:val="none"/>
          <w:lang w:val="en-US" w:eastAsia="zh-CN"/>
        </w:rPr>
        <w:t>调整原土建部分工程类别，调整为按修缮建筑工程类别计取。</w:t>
      </w:r>
    </w:p>
    <w:p w14:paraId="6FCABEAC">
      <w:pPr>
        <w:pStyle w:val="16"/>
        <w:numPr>
          <w:ilvl w:val="3"/>
          <w:numId w:val="1"/>
        </w:numPr>
        <w:spacing w:line="520" w:lineRule="exact"/>
        <w:ind w:firstLineChars="0"/>
        <w:jc w:val="left"/>
        <w:rPr>
          <w:rFonts w:hint="eastAsia" w:ascii="宋体" w:hAnsi="宋体"/>
          <w:bCs/>
          <w:sz w:val="28"/>
          <w:szCs w:val="28"/>
          <w:highlight w:val="none"/>
        </w:rPr>
      </w:pPr>
      <w:r>
        <w:rPr>
          <w:rFonts w:hint="eastAsia" w:ascii="宋体" w:hAnsi="宋体"/>
          <w:bCs/>
          <w:sz w:val="28"/>
          <w:szCs w:val="28"/>
          <w:highlight w:val="none"/>
          <w:lang w:val="en-US" w:eastAsia="zh-CN"/>
        </w:rPr>
        <w:t>材料价格调整为按《扬州工程造价管理》（2026年5月）指导价格</w:t>
      </w:r>
      <w:r>
        <w:rPr>
          <w:rFonts w:hint="eastAsia" w:ascii="宋体" w:hAnsi="宋体"/>
          <w:bCs/>
          <w:sz w:val="28"/>
          <w:szCs w:val="28"/>
          <w:lang w:eastAsia="zh-CN"/>
        </w:rPr>
        <w:t>。</w:t>
      </w:r>
    </w:p>
    <w:p w14:paraId="1885908C">
      <w:pPr>
        <w:pStyle w:val="16"/>
        <w:numPr>
          <w:ilvl w:val="3"/>
          <w:numId w:val="1"/>
        </w:numPr>
        <w:spacing w:line="520" w:lineRule="exact"/>
        <w:ind w:firstLineChars="0"/>
        <w:jc w:val="left"/>
        <w:rPr>
          <w:rFonts w:hint="eastAsia" w:ascii="宋体" w:hAnsi="宋体"/>
          <w:bCs/>
          <w:sz w:val="28"/>
          <w:szCs w:val="28"/>
          <w:highlight w:val="none"/>
        </w:rPr>
      </w:pPr>
      <w:r>
        <w:rPr>
          <w:rFonts w:hint="eastAsia" w:ascii="宋体" w:hAnsi="宋体"/>
          <w:bCs/>
          <w:sz w:val="28"/>
          <w:szCs w:val="28"/>
          <w:highlight w:val="none"/>
          <w:lang w:val="en-US" w:eastAsia="zh-CN"/>
        </w:rPr>
        <w:t>调整砌体墙拆除套用定额子目，应该套用1-58定额子目。</w:t>
      </w:r>
    </w:p>
    <w:p w14:paraId="22BD1B58">
      <w:pPr>
        <w:pStyle w:val="16"/>
        <w:numPr>
          <w:ilvl w:val="3"/>
          <w:numId w:val="1"/>
        </w:numPr>
        <w:spacing w:line="520" w:lineRule="exact"/>
        <w:ind w:firstLineChars="0"/>
        <w:jc w:val="left"/>
        <w:rPr>
          <w:rFonts w:hint="eastAsia" w:ascii="宋体" w:hAnsi="宋体"/>
          <w:bCs/>
          <w:sz w:val="28"/>
          <w:szCs w:val="28"/>
          <w:highlight w:val="none"/>
        </w:rPr>
      </w:pPr>
      <w:r>
        <w:rPr>
          <w:rFonts w:hint="eastAsia" w:ascii="宋体" w:hAnsi="宋体"/>
          <w:bCs/>
          <w:sz w:val="28"/>
          <w:szCs w:val="28"/>
          <w:highlight w:val="none"/>
          <w:lang w:val="en-US" w:eastAsia="zh-CN"/>
        </w:rPr>
        <w:t>墙面抹灰墙面清单与块料墙面清单中存在重复内容，删除墙面抹灰清单中重复内容。</w:t>
      </w:r>
    </w:p>
    <w:p w14:paraId="013DE4BA">
      <w:pPr>
        <w:pStyle w:val="16"/>
        <w:numPr>
          <w:ilvl w:val="3"/>
          <w:numId w:val="1"/>
        </w:numPr>
        <w:spacing w:line="520" w:lineRule="exact"/>
        <w:ind w:firstLineChars="0"/>
        <w:jc w:val="left"/>
        <w:rPr>
          <w:rFonts w:hint="eastAsia" w:ascii="宋体" w:hAnsi="宋体"/>
          <w:bCs/>
          <w:sz w:val="28"/>
          <w:szCs w:val="28"/>
          <w:highlight w:val="none"/>
        </w:rPr>
      </w:pPr>
      <w:r>
        <w:rPr>
          <w:rFonts w:hint="eastAsia" w:ascii="宋体" w:hAnsi="宋体"/>
          <w:bCs/>
          <w:sz w:val="28"/>
          <w:szCs w:val="28"/>
          <w:highlight w:val="none"/>
          <w:lang w:val="en-US" w:eastAsia="zh-CN"/>
        </w:rPr>
        <w:t>根据设计回复，新增宿舍床、宿舍衣柜清单。</w:t>
      </w:r>
    </w:p>
    <w:p w14:paraId="47483B5F">
      <w:pPr>
        <w:pStyle w:val="16"/>
        <w:numPr>
          <w:ilvl w:val="3"/>
          <w:numId w:val="1"/>
        </w:numPr>
        <w:spacing w:line="520" w:lineRule="exact"/>
        <w:ind w:firstLineChars="0"/>
        <w:jc w:val="left"/>
        <w:rPr>
          <w:rFonts w:hint="eastAsia" w:ascii="宋体" w:hAnsi="宋体"/>
          <w:bCs/>
          <w:sz w:val="28"/>
          <w:szCs w:val="28"/>
          <w:highlight w:val="none"/>
        </w:rPr>
      </w:pPr>
      <w:r>
        <w:rPr>
          <w:rFonts w:hint="eastAsia" w:ascii="宋体" w:hAnsi="宋体"/>
          <w:bCs/>
          <w:sz w:val="28"/>
          <w:szCs w:val="28"/>
          <w:highlight w:val="none"/>
          <w:lang w:val="en-US" w:eastAsia="zh-CN"/>
        </w:rPr>
        <w:t>根据设计回复。新增围墙内侧绿篱拆除清单。</w:t>
      </w:r>
    </w:p>
    <w:p w14:paraId="4053B404">
      <w:pPr>
        <w:pStyle w:val="16"/>
        <w:numPr>
          <w:ilvl w:val="3"/>
          <w:numId w:val="1"/>
        </w:numPr>
        <w:spacing w:line="520" w:lineRule="exact"/>
        <w:ind w:firstLineChars="0"/>
        <w:jc w:val="left"/>
        <w:rPr>
          <w:rFonts w:hint="eastAsia" w:ascii="宋体" w:hAnsi="宋体"/>
          <w:bCs/>
          <w:sz w:val="28"/>
          <w:szCs w:val="28"/>
          <w:highlight w:val="none"/>
        </w:rPr>
      </w:pPr>
      <w:r>
        <w:rPr>
          <w:rFonts w:hint="eastAsia" w:ascii="宋体" w:hAnsi="宋体"/>
          <w:bCs/>
          <w:sz w:val="28"/>
          <w:szCs w:val="28"/>
          <w:highlight w:val="none"/>
          <w:lang w:val="en-US" w:eastAsia="zh-CN"/>
        </w:rPr>
        <w:t>补充原清单中模板相关描述，并转移模板到单价措施。</w:t>
      </w:r>
    </w:p>
    <w:p w14:paraId="27B12187">
      <w:pPr>
        <w:pStyle w:val="16"/>
        <w:numPr>
          <w:ilvl w:val="3"/>
          <w:numId w:val="1"/>
        </w:numPr>
        <w:spacing w:line="520" w:lineRule="exact"/>
        <w:ind w:firstLineChars="0"/>
        <w:jc w:val="left"/>
        <w:rPr>
          <w:rFonts w:hint="eastAsia" w:ascii="宋体" w:hAnsi="宋体"/>
          <w:bCs/>
          <w:sz w:val="28"/>
          <w:szCs w:val="28"/>
          <w:highlight w:val="none"/>
        </w:rPr>
      </w:pPr>
      <w:r>
        <w:rPr>
          <w:rFonts w:hint="eastAsia" w:ascii="宋体" w:hAnsi="宋体"/>
          <w:bCs/>
          <w:sz w:val="28"/>
          <w:szCs w:val="28"/>
          <w:highlight w:val="none"/>
          <w:lang w:val="en-US" w:eastAsia="zh-CN"/>
        </w:rPr>
        <w:t>调整垃圾外运清单，垃圾外运改为按项包干。</w:t>
      </w:r>
    </w:p>
    <w:p w14:paraId="6649E247">
      <w:pPr>
        <w:pStyle w:val="16"/>
        <w:numPr>
          <w:ilvl w:val="1"/>
          <w:numId w:val="1"/>
        </w:numPr>
        <w:spacing w:line="520" w:lineRule="exact"/>
        <w:ind w:firstLineChars="0"/>
        <w:jc w:val="left"/>
        <w:rPr>
          <w:rFonts w:hint="eastAsia" w:ascii="宋体" w:hAnsi="宋体"/>
          <w:bCs/>
          <w:sz w:val="28"/>
          <w:szCs w:val="28"/>
        </w:rPr>
      </w:pPr>
      <w:r>
        <w:rPr>
          <w:rFonts w:hint="eastAsia" w:ascii="宋体" w:hAnsi="宋体"/>
          <w:bCs/>
          <w:sz w:val="28"/>
          <w:szCs w:val="28"/>
          <w:lang w:val="en-US" w:eastAsia="zh-CN"/>
        </w:rPr>
        <w:t>安装</w:t>
      </w:r>
      <w:r>
        <w:rPr>
          <w:rFonts w:hint="eastAsia" w:ascii="宋体" w:hAnsi="宋体"/>
          <w:bCs/>
          <w:sz w:val="28"/>
          <w:szCs w:val="28"/>
        </w:rPr>
        <w:t>工程审核说明</w:t>
      </w:r>
    </w:p>
    <w:p w14:paraId="025AA0DC">
      <w:pPr>
        <w:pStyle w:val="16"/>
        <w:numPr>
          <w:ilvl w:val="3"/>
          <w:numId w:val="1"/>
        </w:numPr>
        <w:spacing w:line="520" w:lineRule="exact"/>
        <w:ind w:firstLineChars="0"/>
        <w:jc w:val="left"/>
        <w:rPr>
          <w:rFonts w:hint="eastAsia" w:ascii="宋体" w:hAnsi="宋体"/>
          <w:bCs/>
          <w:color w:val="auto"/>
          <w:sz w:val="28"/>
          <w:szCs w:val="28"/>
          <w:highlight w:val="none"/>
        </w:rPr>
      </w:pPr>
      <w:r>
        <w:rPr>
          <w:rFonts w:hint="eastAsia" w:ascii="宋体" w:hAnsi="宋体"/>
          <w:bCs/>
          <w:color w:val="auto"/>
          <w:sz w:val="28"/>
          <w:szCs w:val="28"/>
          <w:highlight w:val="none"/>
        </w:rPr>
        <w:t>根据</w:t>
      </w:r>
      <w:r>
        <w:rPr>
          <w:rFonts w:hint="eastAsia" w:ascii="宋体" w:hAnsi="宋体"/>
          <w:bCs/>
          <w:color w:val="auto"/>
          <w:sz w:val="28"/>
          <w:szCs w:val="28"/>
          <w:highlight w:val="none"/>
          <w:lang w:val="en-US" w:eastAsia="zh-CN"/>
        </w:rPr>
        <w:t>最新智能化设计清单</w:t>
      </w:r>
      <w:r>
        <w:rPr>
          <w:rFonts w:hint="eastAsia" w:ascii="宋体" w:hAnsi="宋体"/>
          <w:bCs/>
          <w:color w:val="auto"/>
          <w:sz w:val="28"/>
          <w:szCs w:val="28"/>
          <w:highlight w:val="none"/>
        </w:rPr>
        <w:t>，</w:t>
      </w:r>
      <w:r>
        <w:rPr>
          <w:rFonts w:hint="eastAsia" w:ascii="宋体" w:hAnsi="宋体"/>
          <w:bCs/>
          <w:color w:val="auto"/>
          <w:sz w:val="28"/>
          <w:szCs w:val="28"/>
          <w:highlight w:val="none"/>
          <w:lang w:val="en-US" w:eastAsia="zh-CN"/>
        </w:rPr>
        <w:t>调整相关工程量</w:t>
      </w:r>
      <w:r>
        <w:rPr>
          <w:rFonts w:hint="eastAsia" w:ascii="宋体" w:hAnsi="宋体"/>
          <w:bCs/>
          <w:color w:val="auto"/>
          <w:sz w:val="28"/>
          <w:szCs w:val="28"/>
          <w:highlight w:val="none"/>
        </w:rPr>
        <w:t>。</w:t>
      </w:r>
    </w:p>
    <w:p w14:paraId="1A2A01F5">
      <w:pPr>
        <w:pStyle w:val="16"/>
        <w:numPr>
          <w:ilvl w:val="3"/>
          <w:numId w:val="1"/>
        </w:numPr>
        <w:spacing w:line="520" w:lineRule="exact"/>
        <w:ind w:firstLineChars="0"/>
        <w:jc w:val="left"/>
        <w:rPr>
          <w:rFonts w:hint="eastAsia" w:ascii="宋体" w:hAnsi="宋体"/>
          <w:bCs/>
          <w:color w:val="auto"/>
          <w:sz w:val="28"/>
          <w:szCs w:val="28"/>
          <w:highlight w:val="none"/>
        </w:rPr>
      </w:pPr>
      <w:r>
        <w:rPr>
          <w:rFonts w:hint="eastAsia" w:ascii="宋体" w:hAnsi="宋体"/>
          <w:bCs/>
          <w:color w:val="auto"/>
          <w:sz w:val="28"/>
          <w:szCs w:val="28"/>
          <w:highlight w:val="none"/>
        </w:rPr>
        <w:t>PPR管增加墙面开槽清单</w:t>
      </w:r>
      <w:r>
        <w:rPr>
          <w:rFonts w:hint="eastAsia" w:ascii="宋体" w:hAnsi="宋体"/>
          <w:bCs/>
          <w:color w:val="auto"/>
          <w:sz w:val="28"/>
          <w:szCs w:val="28"/>
          <w:highlight w:val="none"/>
          <w:lang w:val="en-US" w:eastAsia="zh-CN"/>
        </w:rPr>
        <w:t>项</w:t>
      </w:r>
      <w:r>
        <w:rPr>
          <w:rFonts w:hint="eastAsia" w:ascii="宋体" w:hAnsi="宋体"/>
          <w:bCs/>
          <w:color w:val="auto"/>
          <w:sz w:val="28"/>
          <w:szCs w:val="28"/>
          <w:highlight w:val="none"/>
          <w:lang w:eastAsia="zh-CN"/>
        </w:rPr>
        <w:t>。</w:t>
      </w:r>
    </w:p>
    <w:p w14:paraId="42FBB640">
      <w:pPr>
        <w:pStyle w:val="16"/>
        <w:numPr>
          <w:ilvl w:val="3"/>
          <w:numId w:val="1"/>
        </w:numPr>
        <w:spacing w:line="520" w:lineRule="exact"/>
        <w:ind w:firstLineChars="0"/>
        <w:jc w:val="left"/>
        <w:rPr>
          <w:rFonts w:hint="eastAsia" w:ascii="宋体" w:hAnsi="宋体"/>
          <w:bCs/>
          <w:color w:val="auto"/>
          <w:sz w:val="28"/>
          <w:szCs w:val="28"/>
          <w:highlight w:val="none"/>
        </w:rPr>
      </w:pPr>
      <w:r>
        <w:rPr>
          <w:rFonts w:hint="eastAsia" w:ascii="宋体" w:hAnsi="宋体"/>
          <w:bCs/>
          <w:color w:val="auto"/>
          <w:sz w:val="28"/>
          <w:szCs w:val="28"/>
          <w:highlight w:val="none"/>
          <w:lang w:val="en-US" w:eastAsia="zh-CN"/>
        </w:rPr>
        <w:t>根据图纸要求：一层</w:t>
      </w:r>
      <w:r>
        <w:rPr>
          <w:rFonts w:hint="eastAsia" w:ascii="宋体" w:hAnsi="宋体"/>
          <w:bCs/>
          <w:color w:val="auto"/>
          <w:sz w:val="28"/>
          <w:szCs w:val="28"/>
          <w:highlight w:val="none"/>
        </w:rPr>
        <w:t>每</w:t>
      </w:r>
      <w:r>
        <w:rPr>
          <w:rFonts w:hint="eastAsia" w:ascii="宋体" w:hAnsi="宋体"/>
          <w:bCs/>
          <w:color w:val="auto"/>
          <w:sz w:val="28"/>
          <w:szCs w:val="28"/>
          <w:highlight w:val="none"/>
          <w:lang w:val="en-US" w:eastAsia="zh-CN"/>
        </w:rPr>
        <w:t>间</w:t>
      </w:r>
      <w:r>
        <w:rPr>
          <w:rFonts w:hint="eastAsia" w:ascii="宋体" w:hAnsi="宋体"/>
          <w:bCs/>
          <w:color w:val="auto"/>
          <w:sz w:val="28"/>
          <w:szCs w:val="28"/>
          <w:highlight w:val="none"/>
        </w:rPr>
        <w:t>宿舍增设一台挂式空调。</w:t>
      </w:r>
    </w:p>
    <w:p w14:paraId="324177E0">
      <w:pPr>
        <w:pStyle w:val="16"/>
        <w:numPr>
          <w:ilvl w:val="3"/>
          <w:numId w:val="1"/>
        </w:numPr>
        <w:spacing w:line="520" w:lineRule="exact"/>
        <w:ind w:firstLineChars="0"/>
        <w:jc w:val="left"/>
        <w:rPr>
          <w:rFonts w:hint="eastAsia" w:ascii="宋体" w:hAnsi="宋体"/>
          <w:bCs/>
          <w:color w:val="auto"/>
          <w:sz w:val="28"/>
          <w:szCs w:val="28"/>
          <w:highlight w:val="none"/>
        </w:rPr>
      </w:pPr>
      <w:r>
        <w:rPr>
          <w:rFonts w:hint="eastAsia" w:ascii="宋体" w:hAnsi="宋体"/>
          <w:bCs/>
          <w:color w:val="auto"/>
          <w:sz w:val="28"/>
          <w:szCs w:val="28"/>
          <w:highlight w:val="none"/>
          <w:lang w:val="en-US" w:eastAsia="zh-CN"/>
        </w:rPr>
        <w:t>根据现场要求：增加洗脸盆、蹲式大便器拆除清单项</w:t>
      </w:r>
      <w:r>
        <w:rPr>
          <w:rFonts w:hint="eastAsia" w:ascii="宋体" w:hAnsi="宋体"/>
          <w:bCs/>
          <w:color w:val="auto"/>
          <w:sz w:val="28"/>
          <w:szCs w:val="28"/>
          <w:highlight w:val="none"/>
        </w:rPr>
        <w:t>。</w:t>
      </w:r>
    </w:p>
    <w:p w14:paraId="421FD818">
      <w:pPr>
        <w:pStyle w:val="16"/>
        <w:numPr>
          <w:ilvl w:val="3"/>
          <w:numId w:val="1"/>
        </w:numPr>
        <w:spacing w:line="520" w:lineRule="exact"/>
        <w:ind w:firstLineChars="0"/>
        <w:jc w:val="left"/>
        <w:rPr>
          <w:rFonts w:hint="eastAsia" w:ascii="宋体" w:hAnsi="宋体"/>
          <w:bCs/>
          <w:color w:val="auto"/>
          <w:sz w:val="28"/>
          <w:szCs w:val="28"/>
          <w:highlight w:val="none"/>
        </w:rPr>
      </w:pPr>
      <w:r>
        <w:rPr>
          <w:rFonts w:hint="eastAsia" w:ascii="宋体" w:hAnsi="宋体"/>
          <w:bCs/>
          <w:color w:val="auto"/>
          <w:sz w:val="28"/>
          <w:szCs w:val="28"/>
          <w:highlight w:val="none"/>
          <w:lang w:val="en-US" w:eastAsia="zh-CN"/>
        </w:rPr>
        <w:t>完善清单项目特征描述。</w:t>
      </w:r>
    </w:p>
    <w:p w14:paraId="7B4BE9B2">
      <w:pPr>
        <w:pStyle w:val="16"/>
        <w:numPr>
          <w:ilvl w:val="3"/>
          <w:numId w:val="1"/>
        </w:numPr>
        <w:spacing w:line="520" w:lineRule="exact"/>
        <w:ind w:firstLineChars="0"/>
        <w:jc w:val="left"/>
        <w:rPr>
          <w:rFonts w:hint="eastAsia" w:ascii="宋体" w:hAnsi="宋体"/>
          <w:bCs/>
          <w:color w:val="auto"/>
          <w:sz w:val="28"/>
          <w:szCs w:val="28"/>
          <w:highlight w:val="none"/>
        </w:rPr>
      </w:pPr>
      <w:r>
        <w:rPr>
          <w:rFonts w:hint="eastAsia" w:ascii="宋体" w:hAnsi="宋体"/>
          <w:bCs/>
          <w:color w:val="auto"/>
          <w:sz w:val="28"/>
          <w:szCs w:val="28"/>
          <w:highlight w:val="none"/>
        </w:rPr>
        <w:t>安装辅材不调材差</w:t>
      </w:r>
      <w:r>
        <w:rPr>
          <w:rFonts w:hint="eastAsia" w:ascii="宋体" w:hAnsi="宋体"/>
          <w:bCs/>
          <w:color w:val="auto"/>
          <w:sz w:val="28"/>
          <w:szCs w:val="28"/>
          <w:highlight w:val="none"/>
          <w:lang w:eastAsia="zh-CN"/>
        </w:rPr>
        <w:t>。</w:t>
      </w:r>
    </w:p>
    <w:p w14:paraId="3CC6080E">
      <w:pPr>
        <w:pStyle w:val="16"/>
        <w:numPr>
          <w:ilvl w:val="0"/>
          <w:numId w:val="1"/>
        </w:numPr>
        <w:spacing w:line="520" w:lineRule="exact"/>
        <w:ind w:firstLineChars="0"/>
        <w:jc w:val="left"/>
        <w:rPr>
          <w:rFonts w:hint="eastAsia" w:ascii="宋体" w:hAnsi="宋体"/>
          <w:b/>
          <w:sz w:val="28"/>
          <w:szCs w:val="28"/>
        </w:rPr>
      </w:pPr>
      <w:r>
        <w:rPr>
          <w:rFonts w:hint="eastAsia" w:ascii="宋体" w:hAnsi="宋体"/>
          <w:b/>
          <w:sz w:val="28"/>
          <w:szCs w:val="28"/>
        </w:rPr>
        <w:t>审核后的编制说明</w:t>
      </w:r>
      <w:bookmarkEnd w:id="2"/>
      <w:bookmarkEnd w:id="3"/>
    </w:p>
    <w:p w14:paraId="142FE4BE">
      <w:pPr>
        <w:pStyle w:val="16"/>
        <w:numPr>
          <w:ilvl w:val="1"/>
          <w:numId w:val="1"/>
        </w:numPr>
        <w:spacing w:line="520" w:lineRule="exact"/>
        <w:ind w:firstLineChars="0"/>
        <w:jc w:val="left"/>
        <w:rPr>
          <w:rFonts w:hint="eastAsia" w:ascii="宋体" w:hAnsi="宋体"/>
          <w:bCs/>
          <w:sz w:val="28"/>
          <w:szCs w:val="28"/>
        </w:rPr>
      </w:pPr>
      <w:bookmarkStart w:id="4" w:name="_Hlk105687758"/>
      <w:r>
        <w:rPr>
          <w:rFonts w:hint="eastAsia" w:ascii="宋体" w:hAnsi="宋体"/>
          <w:bCs/>
          <w:sz w:val="28"/>
          <w:szCs w:val="28"/>
        </w:rPr>
        <w:t>一般说明</w:t>
      </w:r>
    </w:p>
    <w:p w14:paraId="0C6716D5">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施工现场情况：以现场踏勘情况为准。</w:t>
      </w:r>
    </w:p>
    <w:p w14:paraId="69E399A1">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交通运输情况：以现场踏勘情况为准。</w:t>
      </w:r>
    </w:p>
    <w:p w14:paraId="5B89B4CA">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环境保护要求：满足省、市及当地政府对环境保护的相关要求和规定。</w:t>
      </w:r>
    </w:p>
    <w:p w14:paraId="4CE99A86">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本工程投标报价按《建设工程工程量清单计价规范》和相应计算规范的规定及要求，使用表格及格式按《建设工程工程量清单计价规范》要求执行。</w:t>
      </w:r>
    </w:p>
    <w:p w14:paraId="38D9EB29">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工程量清单中的每一个项目，都需填入综合单价及合价。</w:t>
      </w:r>
    </w:p>
    <w:p w14:paraId="1B1F4DA0">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本工程量清单中的分部分项工程量及措施项目工程量均是根据本工程施工图、按照“工程量计算规范”或本项目清单总说明中的规定进行计算的，仅作为施工企业投标报价的共同基础，不能作为最终结算与支付价款的依据。</w:t>
      </w:r>
    </w:p>
    <w:p w14:paraId="1AF1C2C7">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工程量清单及其计价格式中的任何内容不得随意删除或涂改，若有错误，在招标答疑时及时提出，以“补遗”资料为准。</w:t>
      </w:r>
    </w:p>
    <w:p w14:paraId="47CA02FE">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分部分项工程量清单中对工程项目的项目特征及具体做法制作重点描述，详细情况见施工图设计、技术说明及相关标准图集。组价时应结合投标人现场勘查情况包括完成所有工序工作内容的全部费用。</w:t>
      </w:r>
    </w:p>
    <w:p w14:paraId="2BE194AE">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清单项目特征中备注“清单量同定额量”的，是指清单工程量按《江苏省建筑与装饰工程计价定额》（2014年）中相应计算规则计算。</w:t>
      </w:r>
    </w:p>
    <w:p w14:paraId="081198DA">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投标人可根据工程实际与施工组织设计进行增补措施项目，但不得更改本清单中已列措施项目。结算时，除工程变更引起施工方案改变外，承包人不得以招标工程措施项目清单缺项为由要求新增措施项目。</w:t>
      </w:r>
    </w:p>
    <w:p w14:paraId="26219B2B">
      <w:pPr>
        <w:pStyle w:val="16"/>
        <w:numPr>
          <w:ilvl w:val="3"/>
          <w:numId w:val="1"/>
        </w:numPr>
        <w:spacing w:line="520" w:lineRule="exact"/>
        <w:ind w:firstLineChars="0"/>
        <w:jc w:val="left"/>
        <w:rPr>
          <w:rFonts w:hint="eastAsia" w:ascii="宋体" w:hAnsi="宋体"/>
          <w:bCs/>
          <w:sz w:val="28"/>
          <w:szCs w:val="28"/>
        </w:rPr>
      </w:pPr>
      <w:r>
        <w:rPr>
          <w:rFonts w:hint="eastAsia" w:ascii="宋体" w:hAnsi="宋体"/>
          <w:bCs/>
          <w:sz w:val="28"/>
          <w:szCs w:val="28"/>
        </w:rPr>
        <w:t>本说明中对设计内容进行的调整、补充和暂考虑的做法等仅为工程量清单和最高投标限价编制时暂定的内容，不构成设计变更。</w:t>
      </w:r>
    </w:p>
    <w:p w14:paraId="76BEB42A">
      <w:pPr>
        <w:pStyle w:val="16"/>
        <w:numPr>
          <w:ilvl w:val="2"/>
          <w:numId w:val="2"/>
        </w:numPr>
        <w:spacing w:line="520" w:lineRule="exact"/>
        <w:ind w:left="0" w:leftChars="0" w:firstLine="567" w:firstLineChars="0"/>
        <w:jc w:val="left"/>
        <w:rPr>
          <w:rFonts w:hint="eastAsia" w:ascii="宋体" w:hAnsi="宋体"/>
          <w:bCs/>
          <w:sz w:val="28"/>
          <w:szCs w:val="28"/>
        </w:rPr>
      </w:pPr>
      <w:r>
        <w:rPr>
          <w:rFonts w:hint="eastAsia" w:ascii="宋体" w:hAnsi="宋体"/>
          <w:bCs/>
          <w:sz w:val="28"/>
          <w:szCs w:val="28"/>
          <w:lang w:val="en-US" w:eastAsia="zh-CN"/>
        </w:rPr>
        <w:t>编制范围</w:t>
      </w:r>
    </w:p>
    <w:p w14:paraId="0D31ADD7">
      <w:pPr>
        <w:pStyle w:val="16"/>
        <w:numPr>
          <w:ilvl w:val="3"/>
          <w:numId w:val="3"/>
        </w:numPr>
        <w:spacing w:line="520" w:lineRule="exact"/>
        <w:ind w:firstLineChars="0"/>
        <w:jc w:val="left"/>
        <w:rPr>
          <w:rFonts w:hint="eastAsia" w:ascii="宋体" w:hAnsi="宋体"/>
          <w:bCs/>
          <w:sz w:val="28"/>
          <w:szCs w:val="28"/>
        </w:rPr>
      </w:pPr>
      <w:r>
        <w:rPr>
          <w:rFonts w:hint="eastAsia" w:ascii="宋体" w:hAnsi="宋体"/>
          <w:bCs/>
          <w:sz w:val="28"/>
          <w:szCs w:val="28"/>
        </w:rPr>
        <w:t>土建修缮：茗韵楼、茗智楼装饰改造、安装防盗窗、防护栅栏、新建围墙1、拆除及新建围墙2、更换铁艺大门、屋面防水等</w:t>
      </w:r>
      <w:r>
        <w:rPr>
          <w:rFonts w:hint="eastAsia" w:ascii="宋体" w:hAnsi="宋体"/>
          <w:bCs/>
          <w:sz w:val="28"/>
          <w:szCs w:val="28"/>
          <w:lang w:eastAsia="zh-CN"/>
        </w:rPr>
        <w:t>。</w:t>
      </w:r>
    </w:p>
    <w:p w14:paraId="7350FB2C">
      <w:pPr>
        <w:pStyle w:val="16"/>
        <w:numPr>
          <w:ilvl w:val="3"/>
          <w:numId w:val="3"/>
        </w:numPr>
        <w:spacing w:line="520" w:lineRule="exact"/>
        <w:ind w:firstLineChars="0"/>
        <w:jc w:val="left"/>
        <w:rPr>
          <w:rFonts w:hint="eastAsia" w:ascii="宋体" w:hAnsi="宋体"/>
          <w:bCs/>
          <w:sz w:val="28"/>
          <w:szCs w:val="28"/>
        </w:rPr>
      </w:pPr>
      <w:r>
        <w:rPr>
          <w:rFonts w:hint="eastAsia" w:ascii="宋体" w:hAnsi="宋体"/>
          <w:bCs/>
          <w:sz w:val="28"/>
          <w:szCs w:val="28"/>
        </w:rPr>
        <w:t>安装工程：监控系统、广播系统、教室多媒体、电子围栏系统、学生宿舍增加热泵系统、学生宿舍水电改造（二层卫生间仅考虑给排水管入户预留）</w:t>
      </w:r>
    </w:p>
    <w:p w14:paraId="31FDA551">
      <w:pPr>
        <w:pStyle w:val="16"/>
        <w:numPr>
          <w:ilvl w:val="3"/>
          <w:numId w:val="3"/>
        </w:numPr>
        <w:spacing w:line="520" w:lineRule="exact"/>
        <w:ind w:firstLineChars="0"/>
        <w:jc w:val="left"/>
        <w:rPr>
          <w:rFonts w:hint="eastAsia" w:ascii="宋体" w:hAnsi="宋体"/>
          <w:bCs/>
          <w:sz w:val="28"/>
          <w:szCs w:val="28"/>
        </w:rPr>
      </w:pPr>
      <w:r>
        <w:rPr>
          <w:rFonts w:hint="eastAsia" w:ascii="宋体" w:hAnsi="宋体"/>
          <w:bCs/>
          <w:sz w:val="28"/>
          <w:szCs w:val="28"/>
        </w:rPr>
        <w:t>各材料选用品牌参照品牌推荐表。</w:t>
      </w:r>
    </w:p>
    <w:p w14:paraId="724A8E65">
      <w:pPr>
        <w:pStyle w:val="16"/>
        <w:numPr>
          <w:ilvl w:val="1"/>
          <w:numId w:val="3"/>
        </w:numPr>
        <w:spacing w:line="520" w:lineRule="exact"/>
        <w:ind w:firstLineChars="0"/>
        <w:jc w:val="left"/>
        <w:rPr>
          <w:rFonts w:hint="eastAsia" w:ascii="宋体" w:hAnsi="宋体"/>
          <w:bCs/>
          <w:sz w:val="28"/>
          <w:szCs w:val="28"/>
        </w:rPr>
      </w:pPr>
      <w:r>
        <w:rPr>
          <w:rFonts w:hint="eastAsia" w:ascii="宋体" w:hAnsi="宋体"/>
          <w:bCs/>
          <w:sz w:val="28"/>
          <w:szCs w:val="28"/>
        </w:rPr>
        <w:t>分部分项说明</w:t>
      </w:r>
    </w:p>
    <w:p w14:paraId="46444603">
      <w:pPr>
        <w:pStyle w:val="16"/>
        <w:numPr>
          <w:ilvl w:val="3"/>
          <w:numId w:val="4"/>
        </w:numPr>
        <w:spacing w:line="520" w:lineRule="exact"/>
        <w:ind w:firstLineChars="0"/>
        <w:jc w:val="left"/>
        <w:rPr>
          <w:rFonts w:hint="eastAsia" w:ascii="宋体" w:hAnsi="宋体"/>
          <w:sz w:val="28"/>
          <w:szCs w:val="28"/>
        </w:rPr>
      </w:pPr>
      <w:r>
        <w:rPr>
          <w:rFonts w:hint="eastAsia" w:ascii="宋体" w:hAnsi="宋体"/>
          <w:sz w:val="28"/>
          <w:szCs w:val="28"/>
        </w:rPr>
        <w:t>拆除旧门窗残值归投标人所有，在报价中综合考虑</w:t>
      </w:r>
      <w:r>
        <w:rPr>
          <w:rFonts w:hint="eastAsia" w:ascii="宋体" w:hAnsi="宋体"/>
          <w:sz w:val="28"/>
          <w:szCs w:val="28"/>
          <w:lang w:eastAsia="zh-CN"/>
        </w:rPr>
        <w:t>。</w:t>
      </w:r>
    </w:p>
    <w:p w14:paraId="1E5CE615">
      <w:pPr>
        <w:pStyle w:val="16"/>
        <w:numPr>
          <w:ilvl w:val="3"/>
          <w:numId w:val="4"/>
        </w:numPr>
        <w:spacing w:line="520" w:lineRule="exact"/>
        <w:ind w:firstLineChars="0"/>
        <w:jc w:val="left"/>
        <w:rPr>
          <w:rFonts w:hint="eastAsia" w:ascii="宋体" w:hAnsi="宋体"/>
          <w:sz w:val="28"/>
          <w:szCs w:val="28"/>
        </w:rPr>
      </w:pPr>
      <w:r>
        <w:rPr>
          <w:rFonts w:hint="eastAsia" w:ascii="宋体" w:hAnsi="宋体"/>
          <w:sz w:val="28"/>
          <w:szCs w:val="28"/>
        </w:rPr>
        <w:t>镜面玻璃按照6mm厚镀银玻璃考虑</w:t>
      </w:r>
      <w:r>
        <w:rPr>
          <w:rFonts w:hint="eastAsia" w:ascii="宋体" w:hAnsi="宋体"/>
          <w:sz w:val="28"/>
          <w:szCs w:val="28"/>
          <w:lang w:eastAsia="zh-CN"/>
        </w:rPr>
        <w:t>。</w:t>
      </w:r>
    </w:p>
    <w:p w14:paraId="25F2B57D">
      <w:pPr>
        <w:pStyle w:val="16"/>
        <w:numPr>
          <w:ilvl w:val="3"/>
          <w:numId w:val="4"/>
        </w:numPr>
        <w:spacing w:line="520" w:lineRule="exact"/>
        <w:ind w:firstLineChars="0"/>
        <w:jc w:val="left"/>
        <w:rPr>
          <w:rFonts w:hint="eastAsia" w:ascii="宋体" w:hAnsi="宋体"/>
          <w:sz w:val="28"/>
          <w:szCs w:val="28"/>
        </w:rPr>
      </w:pPr>
      <w:r>
        <w:rPr>
          <w:rFonts w:hint="eastAsia" w:ascii="宋体" w:hAnsi="宋体"/>
          <w:sz w:val="28"/>
          <w:szCs w:val="28"/>
        </w:rPr>
        <w:t>围墙拆除的砖渣运距投标人自行考虑</w:t>
      </w:r>
      <w:r>
        <w:rPr>
          <w:rFonts w:hint="eastAsia" w:ascii="宋体" w:hAnsi="宋体"/>
          <w:sz w:val="28"/>
          <w:szCs w:val="28"/>
          <w:lang w:eastAsia="zh-CN"/>
        </w:rPr>
        <w:t>。</w:t>
      </w:r>
    </w:p>
    <w:p w14:paraId="3145A75D">
      <w:pPr>
        <w:pStyle w:val="16"/>
        <w:numPr>
          <w:ilvl w:val="3"/>
          <w:numId w:val="4"/>
        </w:numPr>
        <w:spacing w:line="520" w:lineRule="exact"/>
        <w:ind w:firstLineChars="0"/>
        <w:jc w:val="left"/>
        <w:rPr>
          <w:rFonts w:hint="eastAsia" w:ascii="宋体" w:hAnsi="宋体"/>
          <w:sz w:val="28"/>
          <w:szCs w:val="28"/>
        </w:rPr>
      </w:pPr>
      <w:r>
        <w:rPr>
          <w:rFonts w:hint="eastAsia" w:ascii="宋体" w:hAnsi="宋体"/>
          <w:sz w:val="28"/>
          <w:szCs w:val="28"/>
        </w:rPr>
        <w:t>茗韵楼、茗智楼的拆除垃圾及清理费用投标人综合考虑，结算不做调整</w:t>
      </w:r>
      <w:r>
        <w:rPr>
          <w:rFonts w:hint="eastAsia" w:ascii="宋体" w:hAnsi="宋体"/>
          <w:sz w:val="28"/>
          <w:szCs w:val="28"/>
          <w:lang w:eastAsia="zh-CN"/>
        </w:rPr>
        <w:t>。</w:t>
      </w:r>
    </w:p>
    <w:p w14:paraId="7FDFD501">
      <w:pPr>
        <w:pStyle w:val="16"/>
        <w:numPr>
          <w:ilvl w:val="3"/>
          <w:numId w:val="4"/>
        </w:numPr>
        <w:spacing w:line="520" w:lineRule="exact"/>
        <w:ind w:firstLineChars="0"/>
        <w:jc w:val="left"/>
        <w:rPr>
          <w:rFonts w:hint="eastAsia" w:ascii="宋体" w:hAnsi="宋体"/>
          <w:sz w:val="28"/>
          <w:szCs w:val="28"/>
        </w:rPr>
      </w:pPr>
      <w:r>
        <w:rPr>
          <w:rFonts w:hint="eastAsia" w:ascii="宋体" w:hAnsi="宋体"/>
          <w:sz w:val="28"/>
          <w:szCs w:val="28"/>
        </w:rPr>
        <w:t>工程量按照图纸量计算，结算时以实际完成量为准</w:t>
      </w:r>
      <w:r>
        <w:rPr>
          <w:rFonts w:hint="eastAsia" w:ascii="宋体" w:hAnsi="宋体"/>
          <w:sz w:val="28"/>
          <w:szCs w:val="28"/>
          <w:lang w:eastAsia="zh-CN"/>
        </w:rPr>
        <w:t>。</w:t>
      </w:r>
    </w:p>
    <w:p w14:paraId="69A96A57">
      <w:pPr>
        <w:pStyle w:val="16"/>
        <w:numPr>
          <w:ilvl w:val="3"/>
          <w:numId w:val="4"/>
        </w:numPr>
        <w:spacing w:line="520" w:lineRule="exact"/>
        <w:ind w:firstLineChars="0"/>
        <w:jc w:val="left"/>
        <w:rPr>
          <w:rFonts w:hint="eastAsia" w:ascii="宋体" w:hAnsi="宋体"/>
          <w:color w:val="auto"/>
          <w:sz w:val="28"/>
          <w:szCs w:val="28"/>
        </w:rPr>
      </w:pPr>
      <w:r>
        <w:rPr>
          <w:rFonts w:hint="eastAsia" w:ascii="宋体" w:hAnsi="宋体"/>
          <w:color w:val="auto"/>
          <w:sz w:val="28"/>
          <w:szCs w:val="28"/>
          <w:lang w:val="en-US" w:eastAsia="zh-CN"/>
        </w:rPr>
        <w:t>智能化清单按照设计提供的智能化清单编制。</w:t>
      </w:r>
    </w:p>
    <w:p w14:paraId="7AC9574D">
      <w:pPr>
        <w:pStyle w:val="16"/>
        <w:numPr>
          <w:ilvl w:val="3"/>
          <w:numId w:val="4"/>
        </w:numPr>
        <w:spacing w:line="520" w:lineRule="exact"/>
        <w:ind w:firstLineChars="0"/>
        <w:jc w:val="left"/>
        <w:rPr>
          <w:rFonts w:hint="eastAsia" w:ascii="宋体" w:hAnsi="宋体"/>
          <w:color w:val="auto"/>
          <w:sz w:val="28"/>
          <w:szCs w:val="28"/>
        </w:rPr>
      </w:pPr>
      <w:r>
        <w:rPr>
          <w:rFonts w:hint="eastAsia" w:ascii="宋体" w:hAnsi="宋体"/>
          <w:color w:val="auto"/>
          <w:sz w:val="28"/>
          <w:szCs w:val="28"/>
        </w:rPr>
        <w:t>室外热泵系统管道及阀件等参考现有图纸编制，结算时应根据深化方案进行调整，热泵工字钢基础包含在设备单价中，投标人自行考虑</w:t>
      </w:r>
      <w:r>
        <w:rPr>
          <w:rFonts w:hint="eastAsia" w:ascii="宋体" w:hAnsi="宋体"/>
          <w:color w:val="auto"/>
          <w:sz w:val="28"/>
          <w:szCs w:val="28"/>
          <w:lang w:eastAsia="zh-CN"/>
        </w:rPr>
        <w:t>。</w:t>
      </w:r>
    </w:p>
    <w:p w14:paraId="73E5DFED">
      <w:pPr>
        <w:pStyle w:val="16"/>
        <w:numPr>
          <w:ilvl w:val="3"/>
          <w:numId w:val="4"/>
        </w:numPr>
        <w:spacing w:line="520" w:lineRule="exact"/>
        <w:ind w:firstLineChars="0"/>
        <w:jc w:val="left"/>
        <w:rPr>
          <w:rFonts w:hint="eastAsia" w:ascii="宋体" w:hAnsi="宋体"/>
          <w:color w:val="auto"/>
          <w:sz w:val="28"/>
          <w:szCs w:val="28"/>
        </w:rPr>
      </w:pPr>
      <w:r>
        <w:rPr>
          <w:rFonts w:hint="eastAsia" w:ascii="宋体" w:hAnsi="宋体"/>
          <w:color w:val="auto"/>
          <w:sz w:val="28"/>
          <w:szCs w:val="28"/>
        </w:rPr>
        <w:t>学生宿舍配电柜AP进线电缆及配管，室外部分按200m暂估计入，结算时应按实调整</w:t>
      </w:r>
      <w:r>
        <w:rPr>
          <w:rFonts w:hint="eastAsia" w:ascii="宋体" w:hAnsi="宋体"/>
          <w:color w:val="auto"/>
          <w:sz w:val="28"/>
          <w:szCs w:val="28"/>
          <w:lang w:eastAsia="zh-CN"/>
        </w:rPr>
        <w:t>。</w:t>
      </w:r>
    </w:p>
    <w:p w14:paraId="0F4DD196">
      <w:pPr>
        <w:pStyle w:val="16"/>
        <w:numPr>
          <w:ilvl w:val="3"/>
          <w:numId w:val="4"/>
        </w:numPr>
        <w:spacing w:line="520" w:lineRule="exact"/>
        <w:ind w:firstLineChars="0"/>
        <w:jc w:val="left"/>
        <w:rPr>
          <w:rFonts w:hint="eastAsia" w:ascii="宋体" w:hAnsi="宋体"/>
          <w:color w:val="auto"/>
          <w:sz w:val="28"/>
          <w:szCs w:val="28"/>
        </w:rPr>
      </w:pPr>
      <w:r>
        <w:rPr>
          <w:rFonts w:hint="eastAsia" w:ascii="宋体" w:hAnsi="宋体"/>
          <w:color w:val="auto"/>
          <w:sz w:val="28"/>
          <w:szCs w:val="28"/>
        </w:rPr>
        <w:t>学生宿舍排水管室外部分按</w:t>
      </w:r>
      <w:r>
        <w:rPr>
          <w:rFonts w:hint="eastAsia" w:ascii="宋体" w:hAnsi="宋体"/>
          <w:color w:val="auto"/>
          <w:sz w:val="28"/>
          <w:szCs w:val="28"/>
          <w:lang w:val="en-US" w:eastAsia="zh-CN"/>
        </w:rPr>
        <w:t>出</w:t>
      </w:r>
      <w:r>
        <w:rPr>
          <w:rFonts w:hint="eastAsia" w:ascii="宋体" w:hAnsi="宋体"/>
          <w:color w:val="auto"/>
          <w:sz w:val="28"/>
          <w:szCs w:val="28"/>
        </w:rPr>
        <w:t>外墙3.5米计入，结算时应按实调整</w:t>
      </w:r>
      <w:r>
        <w:rPr>
          <w:rFonts w:hint="eastAsia" w:ascii="宋体" w:hAnsi="宋体"/>
          <w:color w:val="auto"/>
          <w:sz w:val="28"/>
          <w:szCs w:val="28"/>
          <w:lang w:eastAsia="zh-CN"/>
        </w:rPr>
        <w:t>。</w:t>
      </w:r>
    </w:p>
    <w:p w14:paraId="1E94DF22">
      <w:pPr>
        <w:pStyle w:val="16"/>
        <w:numPr>
          <w:ilvl w:val="1"/>
          <w:numId w:val="4"/>
        </w:numPr>
        <w:spacing w:line="520" w:lineRule="exact"/>
        <w:ind w:firstLineChars="0"/>
        <w:jc w:val="left"/>
        <w:rPr>
          <w:rFonts w:hint="eastAsia" w:ascii="宋体" w:hAnsi="宋体"/>
          <w:bCs/>
          <w:sz w:val="28"/>
          <w:szCs w:val="28"/>
        </w:rPr>
      </w:pPr>
      <w:r>
        <w:rPr>
          <w:rFonts w:hint="eastAsia" w:ascii="宋体" w:hAnsi="宋体"/>
          <w:bCs/>
          <w:sz w:val="28"/>
          <w:szCs w:val="28"/>
        </w:rPr>
        <w:t>措施项目说明</w:t>
      </w:r>
    </w:p>
    <w:p w14:paraId="5040DA84">
      <w:pPr>
        <w:pStyle w:val="16"/>
        <w:numPr>
          <w:ilvl w:val="2"/>
          <w:numId w:val="4"/>
        </w:numPr>
        <w:spacing w:line="520" w:lineRule="exact"/>
        <w:ind w:firstLineChars="0"/>
        <w:jc w:val="left"/>
        <w:rPr>
          <w:rFonts w:hint="eastAsia" w:ascii="宋体" w:hAnsi="宋体"/>
          <w:bCs/>
          <w:sz w:val="28"/>
          <w:szCs w:val="28"/>
        </w:rPr>
      </w:pPr>
      <w:r>
        <w:rPr>
          <w:rFonts w:hint="eastAsia" w:ascii="宋体" w:hAnsi="宋体"/>
          <w:bCs/>
          <w:sz w:val="28"/>
          <w:szCs w:val="28"/>
        </w:rPr>
        <w:t>总价措施费</w:t>
      </w:r>
    </w:p>
    <w:p w14:paraId="630BD883">
      <w:pPr>
        <w:pStyle w:val="16"/>
        <w:numPr>
          <w:ilvl w:val="3"/>
          <w:numId w:val="4"/>
        </w:numPr>
        <w:spacing w:line="520" w:lineRule="exact"/>
        <w:ind w:firstLineChars="0"/>
        <w:jc w:val="left"/>
        <w:rPr>
          <w:rFonts w:hint="eastAsia" w:ascii="宋体" w:hAnsi="宋体"/>
          <w:bCs/>
          <w:sz w:val="28"/>
          <w:szCs w:val="28"/>
        </w:rPr>
      </w:pPr>
      <w:r>
        <w:rPr>
          <w:rFonts w:hint="eastAsia" w:ascii="宋体" w:hAnsi="宋体"/>
          <w:bCs/>
          <w:sz w:val="28"/>
          <w:szCs w:val="28"/>
        </w:rPr>
        <w:t>总价措施费中的安全文明施工费，必须按招标清单中列明的费率进行报价；其他总价措施费由投标人自行考虑，以费率报价。本项目无创建优质工程要求。</w:t>
      </w:r>
    </w:p>
    <w:p w14:paraId="587DFC45">
      <w:pPr>
        <w:pStyle w:val="16"/>
        <w:numPr>
          <w:ilvl w:val="3"/>
          <w:numId w:val="4"/>
        </w:numPr>
        <w:spacing w:line="520" w:lineRule="exact"/>
        <w:ind w:firstLineChars="0"/>
        <w:jc w:val="left"/>
        <w:rPr>
          <w:rFonts w:hint="eastAsia" w:ascii="宋体" w:hAnsi="宋体"/>
          <w:bCs/>
          <w:sz w:val="28"/>
          <w:szCs w:val="28"/>
        </w:rPr>
      </w:pPr>
      <w:r>
        <w:rPr>
          <w:rFonts w:hint="eastAsia" w:ascii="宋体" w:hAnsi="宋体"/>
          <w:bCs/>
          <w:sz w:val="28"/>
          <w:szCs w:val="28"/>
        </w:rPr>
        <w:t>安全文明施工费：按《江苏省建设工程费用定额》（2014年）营改增调整后规定的费率计算，</w:t>
      </w:r>
      <w:bookmarkStart w:id="5" w:name="_Hlk192769617"/>
      <w:r>
        <w:rPr>
          <w:rFonts w:hint="eastAsia" w:ascii="宋体" w:hAnsi="宋体"/>
          <w:bCs/>
          <w:sz w:val="28"/>
          <w:szCs w:val="28"/>
        </w:rPr>
        <w:t>其中增加费不计算</w:t>
      </w:r>
      <w:bookmarkEnd w:id="5"/>
      <w:r>
        <w:rPr>
          <w:rFonts w:hint="eastAsia" w:ascii="宋体" w:hAnsi="宋体"/>
          <w:bCs/>
          <w:sz w:val="28"/>
          <w:szCs w:val="28"/>
        </w:rPr>
        <w:t>。安全文明施工费结算时按造价管理部门核定的费率调整，未经核定，不得计算。</w:t>
      </w:r>
    </w:p>
    <w:p w14:paraId="7443C55F">
      <w:pPr>
        <w:pStyle w:val="16"/>
        <w:numPr>
          <w:ilvl w:val="3"/>
          <w:numId w:val="4"/>
        </w:numPr>
        <w:spacing w:line="520" w:lineRule="exact"/>
        <w:ind w:firstLineChars="0"/>
        <w:jc w:val="left"/>
        <w:rPr>
          <w:rFonts w:hint="eastAsia" w:ascii="宋体" w:hAnsi="宋体"/>
          <w:bCs/>
          <w:sz w:val="28"/>
          <w:szCs w:val="28"/>
        </w:rPr>
      </w:pPr>
      <w:r>
        <w:rPr>
          <w:rFonts w:hint="eastAsia" w:ascii="宋体" w:hAnsi="宋体"/>
          <w:bCs/>
          <w:sz w:val="28"/>
          <w:szCs w:val="28"/>
        </w:rPr>
        <w:t>最高投标限价中，夜间施工、冬雨季施工增加费、已完工程及设备保护、临时设施费按《江苏省建设工程费用定额》（</w:t>
      </w:r>
      <w:r>
        <w:rPr>
          <w:rFonts w:ascii="宋体" w:hAnsi="宋体"/>
          <w:bCs/>
          <w:sz w:val="28"/>
          <w:szCs w:val="28"/>
        </w:rPr>
        <w:t>2014年）营改增调整后规定的费率</w:t>
      </w:r>
      <w:r>
        <w:rPr>
          <w:rFonts w:hint="eastAsia" w:ascii="宋体" w:hAnsi="宋体"/>
          <w:bCs/>
          <w:sz w:val="28"/>
          <w:szCs w:val="28"/>
        </w:rPr>
        <w:t>取中间值计算。建筑工人实名制费用计算。智慧工地费用不计算。</w:t>
      </w:r>
    </w:p>
    <w:p w14:paraId="66F7B356">
      <w:pPr>
        <w:pStyle w:val="16"/>
        <w:numPr>
          <w:ilvl w:val="2"/>
          <w:numId w:val="4"/>
        </w:numPr>
        <w:spacing w:line="520" w:lineRule="exact"/>
        <w:ind w:firstLineChars="0"/>
        <w:jc w:val="left"/>
        <w:rPr>
          <w:rFonts w:hint="eastAsia" w:ascii="宋体" w:hAnsi="宋体"/>
          <w:bCs/>
          <w:sz w:val="28"/>
          <w:szCs w:val="28"/>
        </w:rPr>
      </w:pPr>
      <w:r>
        <w:rPr>
          <w:rFonts w:hint="eastAsia" w:ascii="宋体" w:hAnsi="宋体"/>
          <w:bCs/>
          <w:sz w:val="28"/>
          <w:szCs w:val="28"/>
        </w:rPr>
        <w:t>单价措施费</w:t>
      </w:r>
    </w:p>
    <w:p w14:paraId="47A7E4C0">
      <w:pPr>
        <w:pStyle w:val="16"/>
        <w:numPr>
          <w:ilvl w:val="3"/>
          <w:numId w:val="4"/>
        </w:numPr>
        <w:spacing w:line="520" w:lineRule="exact"/>
        <w:ind w:firstLineChars="0"/>
        <w:jc w:val="left"/>
        <w:rPr>
          <w:rFonts w:hint="eastAsia" w:ascii="宋体" w:hAnsi="宋体"/>
          <w:bCs/>
          <w:sz w:val="28"/>
          <w:szCs w:val="28"/>
        </w:rPr>
      </w:pPr>
      <w:r>
        <w:rPr>
          <w:rFonts w:hint="eastAsia" w:ascii="宋体" w:hAnsi="宋体"/>
          <w:bCs/>
          <w:sz w:val="28"/>
          <w:szCs w:val="28"/>
        </w:rPr>
        <w:t>脚手架。</w:t>
      </w:r>
      <w:r>
        <w:rPr>
          <w:rFonts w:hint="eastAsia" w:ascii="宋体" w:hAnsi="宋体"/>
          <w:sz w:val="28"/>
          <w:szCs w:val="28"/>
        </w:rPr>
        <w:t>按常规施工组织方案设置工程量清单并计价。</w:t>
      </w:r>
    </w:p>
    <w:p w14:paraId="0EFF72EB">
      <w:pPr>
        <w:pStyle w:val="16"/>
        <w:numPr>
          <w:ilvl w:val="3"/>
          <w:numId w:val="4"/>
        </w:numPr>
        <w:spacing w:line="520" w:lineRule="exact"/>
        <w:ind w:firstLineChars="0"/>
        <w:jc w:val="left"/>
        <w:rPr>
          <w:rFonts w:hint="eastAsia" w:ascii="宋体" w:hAnsi="宋体"/>
          <w:bCs/>
          <w:sz w:val="28"/>
          <w:szCs w:val="28"/>
        </w:rPr>
      </w:pPr>
      <w:r>
        <w:rPr>
          <w:rFonts w:hint="eastAsia" w:ascii="宋体" w:hAnsi="宋体"/>
          <w:bCs/>
          <w:sz w:val="28"/>
          <w:szCs w:val="28"/>
        </w:rPr>
        <w:t>模板工程。按常规施工组织方案设置工程量清单并计价</w:t>
      </w:r>
      <w:r>
        <w:rPr>
          <w:rFonts w:hint="eastAsia" w:ascii="宋体" w:hAnsi="宋体"/>
          <w:bCs/>
          <w:sz w:val="28"/>
          <w:szCs w:val="28"/>
          <w:lang w:eastAsia="zh-CN"/>
        </w:rPr>
        <w:t>。</w:t>
      </w:r>
    </w:p>
    <w:p w14:paraId="296C37F5">
      <w:pPr>
        <w:pStyle w:val="16"/>
        <w:numPr>
          <w:ilvl w:val="3"/>
          <w:numId w:val="4"/>
        </w:numPr>
        <w:spacing w:line="520" w:lineRule="exact"/>
        <w:ind w:firstLineChars="0"/>
        <w:jc w:val="left"/>
        <w:rPr>
          <w:rFonts w:hint="eastAsia" w:ascii="宋体" w:hAnsi="宋体"/>
          <w:bCs/>
          <w:sz w:val="28"/>
          <w:szCs w:val="28"/>
        </w:rPr>
      </w:pPr>
      <w:r>
        <w:rPr>
          <w:rFonts w:hint="eastAsia" w:ascii="宋体" w:hAnsi="宋体"/>
          <w:bCs/>
          <w:sz w:val="28"/>
          <w:szCs w:val="28"/>
        </w:rPr>
        <w:t>大型机械进退场费用投标人综合考虑，结算时不做调整</w:t>
      </w:r>
      <w:r>
        <w:rPr>
          <w:rFonts w:hint="eastAsia" w:ascii="宋体" w:hAnsi="宋体"/>
          <w:bCs/>
          <w:sz w:val="28"/>
          <w:szCs w:val="28"/>
          <w:lang w:eastAsia="zh-CN"/>
        </w:rPr>
        <w:t>。</w:t>
      </w:r>
    </w:p>
    <w:p w14:paraId="1A6E380B">
      <w:pPr>
        <w:pStyle w:val="16"/>
        <w:numPr>
          <w:ilvl w:val="3"/>
          <w:numId w:val="4"/>
        </w:numPr>
        <w:spacing w:line="520" w:lineRule="exact"/>
        <w:ind w:firstLineChars="0"/>
        <w:jc w:val="left"/>
        <w:rPr>
          <w:rFonts w:hint="eastAsia" w:ascii="宋体" w:hAnsi="宋体"/>
          <w:bCs/>
          <w:sz w:val="28"/>
          <w:szCs w:val="28"/>
        </w:rPr>
      </w:pPr>
      <w:r>
        <w:rPr>
          <w:rFonts w:hint="eastAsia" w:ascii="宋体" w:hAnsi="宋体" w:cs="宋体"/>
          <w:sz w:val="28"/>
          <w:szCs w:val="28"/>
          <w:lang w:val="en-US" w:eastAsia="zh-CN"/>
        </w:rPr>
        <w:t>垂直运输费用投标人综合考虑，结算时不做调整。</w:t>
      </w:r>
    </w:p>
    <w:p w14:paraId="78E85AB0">
      <w:pPr>
        <w:pStyle w:val="16"/>
        <w:numPr>
          <w:ilvl w:val="1"/>
          <w:numId w:val="4"/>
        </w:numPr>
        <w:spacing w:line="520" w:lineRule="exact"/>
        <w:ind w:firstLineChars="0"/>
        <w:jc w:val="left"/>
        <w:rPr>
          <w:rFonts w:hint="eastAsia" w:ascii="宋体" w:hAnsi="宋体"/>
          <w:bCs/>
          <w:sz w:val="28"/>
          <w:szCs w:val="28"/>
        </w:rPr>
      </w:pPr>
      <w:r>
        <w:rPr>
          <w:rFonts w:hint="eastAsia" w:ascii="宋体" w:hAnsi="宋体"/>
          <w:bCs/>
          <w:sz w:val="28"/>
          <w:szCs w:val="28"/>
        </w:rPr>
        <w:t>其他项目</w:t>
      </w:r>
    </w:p>
    <w:p w14:paraId="04EC106C">
      <w:pPr>
        <w:pStyle w:val="16"/>
        <w:numPr>
          <w:ilvl w:val="3"/>
          <w:numId w:val="4"/>
        </w:numPr>
        <w:spacing w:line="520" w:lineRule="exact"/>
        <w:ind w:firstLineChars="0"/>
        <w:jc w:val="left"/>
        <w:rPr>
          <w:rFonts w:hint="eastAsia" w:ascii="宋体" w:hAnsi="宋体"/>
          <w:bCs/>
          <w:sz w:val="28"/>
          <w:szCs w:val="28"/>
        </w:rPr>
      </w:pPr>
      <w:r>
        <w:rPr>
          <w:rFonts w:hint="eastAsia" w:ascii="宋体" w:hAnsi="宋体"/>
          <w:bCs/>
          <w:sz w:val="28"/>
          <w:szCs w:val="28"/>
        </w:rPr>
        <w:t>暂列金额：根据建设单位意见按分部分项的10%作为暂列金。</w:t>
      </w:r>
    </w:p>
    <w:p w14:paraId="6F3EA3B9">
      <w:pPr>
        <w:pStyle w:val="16"/>
        <w:numPr>
          <w:ilvl w:val="3"/>
          <w:numId w:val="4"/>
        </w:numPr>
        <w:spacing w:line="520" w:lineRule="exact"/>
        <w:ind w:firstLineChars="0"/>
        <w:jc w:val="left"/>
        <w:rPr>
          <w:rFonts w:hint="eastAsia" w:ascii="宋体" w:hAnsi="宋体"/>
          <w:bCs/>
          <w:sz w:val="28"/>
          <w:szCs w:val="28"/>
        </w:rPr>
      </w:pPr>
      <w:r>
        <w:rPr>
          <w:rFonts w:hint="eastAsia" w:ascii="宋体" w:hAnsi="宋体"/>
          <w:bCs/>
          <w:sz w:val="28"/>
          <w:szCs w:val="28"/>
        </w:rPr>
        <w:t>计日工：无。</w:t>
      </w:r>
    </w:p>
    <w:p w14:paraId="511BDBA7">
      <w:pPr>
        <w:pStyle w:val="16"/>
        <w:numPr>
          <w:ilvl w:val="3"/>
          <w:numId w:val="4"/>
        </w:numPr>
        <w:spacing w:line="520" w:lineRule="exact"/>
        <w:ind w:firstLineChars="0"/>
        <w:jc w:val="left"/>
        <w:rPr>
          <w:rFonts w:hint="eastAsia" w:ascii="宋体" w:hAnsi="宋体"/>
          <w:bCs/>
          <w:sz w:val="28"/>
          <w:szCs w:val="28"/>
        </w:rPr>
      </w:pPr>
      <w:r>
        <w:rPr>
          <w:rFonts w:hint="eastAsia" w:ascii="宋体" w:hAnsi="宋体"/>
          <w:bCs/>
          <w:sz w:val="28"/>
          <w:szCs w:val="28"/>
        </w:rPr>
        <w:t>总承包服务费：无。</w:t>
      </w:r>
    </w:p>
    <w:p w14:paraId="34C681CA">
      <w:pPr>
        <w:pStyle w:val="16"/>
        <w:numPr>
          <w:ilvl w:val="1"/>
          <w:numId w:val="4"/>
        </w:numPr>
        <w:spacing w:line="520" w:lineRule="exact"/>
        <w:ind w:firstLineChars="0"/>
        <w:jc w:val="left"/>
        <w:rPr>
          <w:rFonts w:hint="eastAsia" w:ascii="宋体" w:hAnsi="宋体"/>
          <w:bCs/>
          <w:sz w:val="28"/>
          <w:szCs w:val="28"/>
        </w:rPr>
      </w:pPr>
      <w:r>
        <w:rPr>
          <w:rFonts w:hint="eastAsia" w:ascii="宋体" w:hAnsi="宋体"/>
          <w:bCs/>
          <w:sz w:val="28"/>
          <w:szCs w:val="28"/>
        </w:rPr>
        <w:t>规费和税金</w:t>
      </w:r>
    </w:p>
    <w:p w14:paraId="3E6E0058">
      <w:pPr>
        <w:pStyle w:val="16"/>
        <w:numPr>
          <w:ilvl w:val="3"/>
          <w:numId w:val="4"/>
        </w:numPr>
        <w:spacing w:line="520" w:lineRule="exact"/>
        <w:ind w:firstLineChars="0"/>
        <w:jc w:val="left"/>
        <w:rPr>
          <w:rFonts w:hint="eastAsia" w:ascii="宋体" w:hAnsi="宋体"/>
          <w:bCs/>
          <w:sz w:val="28"/>
          <w:szCs w:val="28"/>
        </w:rPr>
      </w:pPr>
      <w:r>
        <w:rPr>
          <w:rFonts w:hint="eastAsia" w:ascii="宋体" w:hAnsi="宋体"/>
          <w:bCs/>
          <w:sz w:val="28"/>
          <w:szCs w:val="28"/>
        </w:rPr>
        <w:t>规费：为不可竞争费，必须按招标清单中列明的费率进行报价。</w:t>
      </w:r>
    </w:p>
    <w:p w14:paraId="1D100145">
      <w:pPr>
        <w:pStyle w:val="16"/>
        <w:numPr>
          <w:ilvl w:val="4"/>
          <w:numId w:val="4"/>
        </w:numPr>
        <w:spacing w:line="520" w:lineRule="exact"/>
        <w:ind w:firstLineChars="0"/>
        <w:jc w:val="left"/>
        <w:rPr>
          <w:rFonts w:hint="eastAsia" w:ascii="宋体" w:hAnsi="宋体"/>
          <w:bCs/>
          <w:sz w:val="28"/>
          <w:szCs w:val="28"/>
        </w:rPr>
      </w:pPr>
      <w:r>
        <w:rPr>
          <w:rFonts w:hint="eastAsia" w:ascii="宋体" w:hAnsi="宋体"/>
          <w:bCs/>
          <w:sz w:val="28"/>
          <w:szCs w:val="28"/>
        </w:rPr>
        <w:t>环境保护税：不计取，由甲方自行缴纳。</w:t>
      </w:r>
    </w:p>
    <w:p w14:paraId="0A0D6A9E">
      <w:pPr>
        <w:pStyle w:val="16"/>
        <w:numPr>
          <w:ilvl w:val="4"/>
          <w:numId w:val="4"/>
        </w:numPr>
        <w:spacing w:line="520" w:lineRule="exact"/>
        <w:ind w:firstLineChars="0"/>
        <w:jc w:val="left"/>
        <w:rPr>
          <w:rFonts w:hint="eastAsia" w:ascii="宋体" w:hAnsi="宋体"/>
          <w:bCs/>
          <w:sz w:val="28"/>
          <w:szCs w:val="28"/>
        </w:rPr>
      </w:pPr>
      <w:r>
        <w:rPr>
          <w:rFonts w:hint="eastAsia" w:ascii="宋体" w:hAnsi="宋体"/>
          <w:bCs/>
          <w:sz w:val="28"/>
          <w:szCs w:val="28"/>
        </w:rPr>
        <w:t>社会保险费：按规定费率计取。</w:t>
      </w:r>
    </w:p>
    <w:p w14:paraId="3FBFEBDE">
      <w:pPr>
        <w:pStyle w:val="16"/>
        <w:numPr>
          <w:ilvl w:val="4"/>
          <w:numId w:val="4"/>
        </w:numPr>
        <w:spacing w:line="520" w:lineRule="exact"/>
        <w:ind w:firstLineChars="0"/>
        <w:jc w:val="left"/>
        <w:rPr>
          <w:rFonts w:hint="eastAsia" w:ascii="宋体" w:hAnsi="宋体"/>
          <w:bCs/>
          <w:sz w:val="28"/>
          <w:szCs w:val="28"/>
        </w:rPr>
      </w:pPr>
      <w:r>
        <w:rPr>
          <w:rFonts w:hint="eastAsia" w:ascii="宋体" w:hAnsi="宋体"/>
          <w:bCs/>
          <w:sz w:val="28"/>
          <w:szCs w:val="28"/>
        </w:rPr>
        <w:t>住房公积金：按规定费率计取。</w:t>
      </w:r>
    </w:p>
    <w:p w14:paraId="40C86D87">
      <w:pPr>
        <w:pStyle w:val="16"/>
        <w:numPr>
          <w:ilvl w:val="3"/>
          <w:numId w:val="4"/>
        </w:numPr>
        <w:spacing w:line="520" w:lineRule="exact"/>
        <w:ind w:firstLineChars="0"/>
        <w:jc w:val="left"/>
        <w:rPr>
          <w:rFonts w:hint="eastAsia" w:ascii="宋体" w:hAnsi="宋体"/>
          <w:bCs/>
          <w:sz w:val="28"/>
          <w:szCs w:val="28"/>
        </w:rPr>
      </w:pPr>
      <w:r>
        <w:rPr>
          <w:rFonts w:hint="eastAsia" w:ascii="宋体" w:hAnsi="宋体"/>
          <w:bCs/>
          <w:sz w:val="28"/>
          <w:szCs w:val="28"/>
        </w:rPr>
        <w:t>税金：按一般计税法（税率9%），为不可竞争费，必须按招标清单中列明的费率进行报价。</w:t>
      </w:r>
      <w:bookmarkEnd w:id="4"/>
      <w:r>
        <w:rPr>
          <w:rFonts w:hint="eastAsia" w:ascii="宋体" w:hAnsi="宋体"/>
          <w:bCs/>
          <w:sz w:val="28"/>
          <w:szCs w:val="28"/>
        </w:rPr>
        <w:br w:type="page"/>
      </w:r>
    </w:p>
    <w:p w14:paraId="641EB1A0">
      <w:pPr>
        <w:pStyle w:val="16"/>
        <w:numPr>
          <w:ilvl w:val="0"/>
          <w:numId w:val="4"/>
        </w:numPr>
        <w:spacing w:line="520" w:lineRule="exact"/>
        <w:ind w:firstLineChars="0"/>
        <w:jc w:val="left"/>
        <w:rPr>
          <w:rFonts w:hint="eastAsia" w:ascii="宋体" w:hAnsi="宋体"/>
          <w:b/>
          <w:sz w:val="28"/>
          <w:szCs w:val="28"/>
        </w:rPr>
      </w:pPr>
      <w:r>
        <w:rPr>
          <w:rFonts w:hint="eastAsia" w:ascii="宋体" w:hAnsi="宋体"/>
          <w:b/>
          <w:sz w:val="28"/>
          <w:szCs w:val="28"/>
        </w:rPr>
        <w:t>审核结论</w:t>
      </w:r>
    </w:p>
    <w:p w14:paraId="47A99BDA">
      <w:pPr>
        <w:pStyle w:val="16"/>
        <w:spacing w:line="520" w:lineRule="exact"/>
        <w:ind w:firstLine="567" w:firstLineChars="0"/>
        <w:jc w:val="left"/>
        <w:rPr>
          <w:rFonts w:hint="eastAsia" w:ascii="宋体" w:hAnsi="宋体"/>
          <w:bCs/>
          <w:sz w:val="28"/>
          <w:szCs w:val="28"/>
        </w:rPr>
      </w:pPr>
      <w:r>
        <w:rPr>
          <w:rFonts w:hint="eastAsia" w:ascii="宋体" w:hAnsi="宋体"/>
          <w:sz w:val="28"/>
          <w:szCs w:val="28"/>
        </w:rPr>
        <w:t>本工程</w:t>
      </w:r>
      <w:r>
        <w:rPr>
          <w:rFonts w:ascii="宋体" w:hAnsi="宋体"/>
          <w:sz w:val="28"/>
          <w:szCs w:val="28"/>
        </w:rPr>
        <w:t>审定</w:t>
      </w:r>
      <w:r>
        <w:rPr>
          <w:rFonts w:hint="eastAsia" w:ascii="宋体" w:hAnsi="宋体"/>
          <w:sz w:val="28"/>
          <w:szCs w:val="28"/>
        </w:rPr>
        <w:t>的最高投标限价总价为</w:t>
      </w:r>
      <w:r>
        <w:rPr>
          <w:rFonts w:hint="eastAsia" w:ascii="宋体" w:hAnsi="宋体"/>
          <w:bCs/>
          <w:sz w:val="28"/>
          <w:szCs w:val="28"/>
          <w:highlight w:val="none"/>
        </w:rPr>
        <w:t>2315735.8</w:t>
      </w:r>
      <w:r>
        <w:rPr>
          <w:rFonts w:hint="eastAsia" w:ascii="宋体" w:hAnsi="宋体"/>
          <w:bCs/>
          <w:sz w:val="28"/>
          <w:szCs w:val="28"/>
          <w:highlight w:val="none"/>
          <w:lang w:val="en-US" w:eastAsia="zh-CN"/>
        </w:rPr>
        <w:t>0</w:t>
      </w:r>
      <w:r>
        <w:rPr>
          <w:rFonts w:hint="eastAsia" w:ascii="宋体" w:hAnsi="宋体"/>
          <w:sz w:val="28"/>
          <w:szCs w:val="28"/>
          <w:highlight w:val="none"/>
        </w:rPr>
        <w:t>元</w:t>
      </w:r>
      <w:r>
        <w:rPr>
          <w:rFonts w:hint="eastAsia" w:ascii="宋体" w:hAnsi="宋体"/>
          <w:bCs/>
          <w:sz w:val="28"/>
          <w:szCs w:val="28"/>
          <w:highlight w:val="none"/>
          <w:lang w:eastAsia="zh-CN"/>
        </w:rPr>
        <w:t>。</w:t>
      </w:r>
      <w:r>
        <w:rPr>
          <w:rFonts w:hint="eastAsia" w:ascii="宋体" w:hAnsi="宋体"/>
          <w:bCs/>
          <w:sz w:val="28"/>
          <w:szCs w:val="28"/>
        </w:rPr>
        <w:t>附件：工程量清单和最高投标限价</w:t>
      </w:r>
    </w:p>
    <w:p w14:paraId="50CCDB27">
      <w:pPr>
        <w:pStyle w:val="16"/>
        <w:spacing w:line="520" w:lineRule="exact"/>
        <w:ind w:firstLine="567" w:firstLineChars="0"/>
        <w:jc w:val="left"/>
        <w:rPr>
          <w:rFonts w:hint="eastAsia" w:ascii="宋体" w:hAnsi="宋体"/>
          <w:bCs/>
          <w:sz w:val="28"/>
          <w:szCs w:val="28"/>
        </w:rPr>
      </w:pPr>
      <w:bookmarkStart w:id="6" w:name="_GoBack"/>
      <w:bookmarkEnd w:id="6"/>
    </w:p>
    <w:p w14:paraId="5E0042A7">
      <w:pPr>
        <w:pStyle w:val="16"/>
        <w:spacing w:line="520" w:lineRule="exact"/>
        <w:ind w:firstLine="567" w:firstLineChars="0"/>
        <w:jc w:val="left"/>
        <w:rPr>
          <w:rFonts w:hint="eastAsia" w:ascii="宋体" w:hAnsi="宋体"/>
          <w:bCs/>
          <w:sz w:val="28"/>
          <w:szCs w:val="28"/>
        </w:rPr>
      </w:pPr>
      <w:r>
        <w:rPr>
          <w:rFonts w:hint="eastAsia" w:ascii="宋体" w:hAnsi="宋体"/>
          <w:bCs/>
          <w:sz w:val="28"/>
          <w:szCs w:val="28"/>
        </w:rPr>
        <w:t>项目负责人：</w:t>
      </w:r>
    </w:p>
    <w:p w14:paraId="4B09F88E">
      <w:pPr>
        <w:pStyle w:val="16"/>
        <w:spacing w:line="520" w:lineRule="exact"/>
        <w:ind w:firstLine="567" w:firstLineChars="0"/>
        <w:jc w:val="left"/>
        <w:rPr>
          <w:rFonts w:hint="eastAsia" w:ascii="宋体" w:hAnsi="宋体"/>
          <w:bCs/>
          <w:sz w:val="28"/>
          <w:szCs w:val="28"/>
        </w:rPr>
      </w:pPr>
    </w:p>
    <w:p w14:paraId="58912B0A">
      <w:pPr>
        <w:pStyle w:val="16"/>
        <w:spacing w:line="520" w:lineRule="exact"/>
        <w:ind w:firstLine="567" w:firstLineChars="0"/>
        <w:jc w:val="left"/>
        <w:rPr>
          <w:rFonts w:hint="eastAsia" w:ascii="宋体" w:hAnsi="宋体"/>
          <w:bCs/>
          <w:sz w:val="28"/>
          <w:szCs w:val="28"/>
        </w:rPr>
      </w:pPr>
    </w:p>
    <w:p w14:paraId="542CF519">
      <w:pPr>
        <w:pStyle w:val="16"/>
        <w:spacing w:line="520" w:lineRule="exact"/>
        <w:ind w:firstLine="567" w:firstLineChars="0"/>
        <w:jc w:val="left"/>
        <w:rPr>
          <w:rFonts w:hint="eastAsia" w:ascii="宋体" w:hAnsi="宋体"/>
          <w:bCs/>
          <w:sz w:val="28"/>
          <w:szCs w:val="28"/>
        </w:rPr>
      </w:pPr>
    </w:p>
    <w:p w14:paraId="5BC3B172">
      <w:pPr>
        <w:pStyle w:val="16"/>
        <w:spacing w:line="520" w:lineRule="exact"/>
        <w:ind w:firstLine="567" w:firstLineChars="0"/>
        <w:jc w:val="right"/>
        <w:rPr>
          <w:rFonts w:hint="eastAsia" w:ascii="宋体" w:hAnsi="宋体"/>
          <w:bCs/>
          <w:sz w:val="28"/>
          <w:szCs w:val="28"/>
        </w:rPr>
      </w:pPr>
      <w:r>
        <w:rPr>
          <w:rFonts w:hint="eastAsia" w:ascii="宋体" w:hAnsi="宋体"/>
          <w:bCs/>
          <w:sz w:val="28"/>
          <w:szCs w:val="28"/>
        </w:rPr>
        <w:t>江苏建达全过程工程咨询有限公司</w:t>
      </w:r>
    </w:p>
    <w:p w14:paraId="7D7B5BCB">
      <w:pPr>
        <w:pStyle w:val="16"/>
        <w:spacing w:line="520" w:lineRule="exact"/>
        <w:ind w:firstLine="567" w:firstLineChars="0"/>
        <w:jc w:val="right"/>
        <w:rPr>
          <w:rFonts w:hint="eastAsia" w:ascii="宋体" w:hAnsi="宋体"/>
          <w:bCs/>
          <w:sz w:val="28"/>
          <w:szCs w:val="28"/>
        </w:rPr>
      </w:pPr>
      <w:r>
        <w:rPr>
          <w:rFonts w:hint="eastAsia" w:ascii="宋体" w:hAnsi="宋体"/>
          <w:bCs/>
          <w:sz w:val="28"/>
          <w:szCs w:val="28"/>
        </w:rPr>
        <w:t>二〇二</w:t>
      </w:r>
      <w:r>
        <w:rPr>
          <w:rFonts w:hint="eastAsia" w:ascii="宋体" w:hAnsi="宋体"/>
          <w:bCs/>
          <w:sz w:val="28"/>
          <w:szCs w:val="28"/>
          <w:lang w:val="en-US" w:eastAsia="zh-CN"/>
        </w:rPr>
        <w:t>六</w:t>
      </w:r>
      <w:r>
        <w:rPr>
          <w:rFonts w:hint="eastAsia" w:ascii="宋体" w:hAnsi="宋体"/>
          <w:bCs/>
          <w:sz w:val="28"/>
          <w:szCs w:val="28"/>
        </w:rPr>
        <w:t>年</w:t>
      </w:r>
      <w:r>
        <w:rPr>
          <w:rFonts w:hint="eastAsia" w:ascii="宋体" w:hAnsi="宋体"/>
          <w:bCs/>
          <w:sz w:val="28"/>
          <w:szCs w:val="28"/>
          <w:lang w:val="en-US" w:eastAsia="zh-CN"/>
        </w:rPr>
        <w:t>六</w:t>
      </w:r>
      <w:r>
        <w:rPr>
          <w:rFonts w:hint="eastAsia" w:ascii="宋体" w:hAnsi="宋体"/>
          <w:bCs/>
          <w:sz w:val="28"/>
          <w:szCs w:val="28"/>
        </w:rPr>
        <w:t>月</w:t>
      </w:r>
      <w:r>
        <w:rPr>
          <w:rFonts w:hint="eastAsia" w:ascii="宋体" w:hAnsi="宋体"/>
          <w:bCs/>
          <w:sz w:val="28"/>
          <w:szCs w:val="28"/>
          <w:lang w:val="en-US" w:eastAsia="zh-CN"/>
        </w:rPr>
        <w:t>三十</w:t>
      </w:r>
      <w:r>
        <w:rPr>
          <w:rFonts w:hint="eastAsia" w:ascii="宋体" w:hAnsi="宋体"/>
          <w:bCs/>
          <w:sz w:val="28"/>
          <w:szCs w:val="28"/>
        </w:rPr>
        <w:t>日</w:t>
      </w:r>
    </w:p>
    <w:p w14:paraId="007D84D8">
      <w:pPr>
        <w:spacing w:line="520" w:lineRule="exact"/>
        <w:jc w:val="center"/>
        <w:rPr>
          <w:rFonts w:hint="eastAsia" w:ascii="宋体" w:hAnsi="宋体" w:eastAsia="宋体"/>
          <w:sz w:val="28"/>
          <w:szCs w:val="28"/>
        </w:rPr>
      </w:pPr>
    </w:p>
    <w:p w14:paraId="6A5DFCF3">
      <w:pPr>
        <w:spacing w:line="520" w:lineRule="exact"/>
        <w:jc w:val="center"/>
        <w:rPr>
          <w:rFonts w:hint="eastAsia" w:ascii="宋体" w:hAnsi="宋体" w:eastAsia="宋体"/>
          <w:sz w:val="28"/>
          <w:szCs w:val="28"/>
        </w:rPr>
      </w:pPr>
    </w:p>
    <w:p w14:paraId="32BDF61B">
      <w:pPr>
        <w:spacing w:line="520" w:lineRule="exact"/>
        <w:rPr>
          <w:rFonts w:hint="eastAsia" w:ascii="宋体" w:hAnsi="宋体" w:eastAsia="宋体"/>
          <w:sz w:val="28"/>
          <w:szCs w:val="28"/>
        </w:rPr>
      </w:pPr>
    </w:p>
    <w:p w14:paraId="3C974A77">
      <w:pPr>
        <w:spacing w:line="520" w:lineRule="exact"/>
        <w:rPr>
          <w:rFonts w:hint="eastAsia" w:ascii="宋体" w:hAnsi="宋体" w:eastAsia="宋体"/>
          <w:sz w:val="28"/>
          <w:szCs w:val="28"/>
        </w:rPr>
      </w:pPr>
    </w:p>
    <w:p w14:paraId="13109D36">
      <w:pPr>
        <w:spacing w:line="520" w:lineRule="exact"/>
        <w:rPr>
          <w:rFonts w:hint="eastAsia" w:ascii="宋体" w:hAnsi="宋体" w:eastAsia="宋体"/>
          <w:sz w:val="28"/>
          <w:szCs w:val="28"/>
        </w:rPr>
      </w:pPr>
    </w:p>
    <w:p w14:paraId="7F6BDC42">
      <w:pPr>
        <w:spacing w:line="520" w:lineRule="exact"/>
        <w:rPr>
          <w:rFonts w:hint="eastAsia" w:ascii="宋体" w:hAnsi="宋体" w:eastAsia="宋体"/>
          <w:sz w:val="28"/>
          <w:szCs w:val="28"/>
        </w:rPr>
      </w:pPr>
    </w:p>
    <w:p w14:paraId="67EDC04B">
      <w:pPr>
        <w:spacing w:line="520" w:lineRule="exact"/>
        <w:rPr>
          <w:rFonts w:hint="eastAsia" w:ascii="宋体" w:hAnsi="宋体" w:eastAsia="宋体"/>
          <w:sz w:val="28"/>
          <w:szCs w:val="28"/>
        </w:rPr>
      </w:pPr>
    </w:p>
    <w:p w14:paraId="19743B68">
      <w:pPr>
        <w:spacing w:line="520" w:lineRule="exact"/>
        <w:rPr>
          <w:rFonts w:hint="eastAsia" w:ascii="宋体" w:hAnsi="宋体" w:eastAsia="宋体"/>
          <w:sz w:val="28"/>
          <w:szCs w:val="28"/>
        </w:rPr>
      </w:pPr>
    </w:p>
    <w:p w14:paraId="1B17BC3B">
      <w:pPr>
        <w:spacing w:line="520" w:lineRule="exact"/>
        <w:rPr>
          <w:rFonts w:hint="eastAsia" w:ascii="宋体" w:hAnsi="宋体" w:eastAsia="宋体"/>
          <w:sz w:val="28"/>
          <w:szCs w:val="28"/>
        </w:rPr>
      </w:pPr>
    </w:p>
    <w:p w14:paraId="789CE6CA">
      <w:pPr>
        <w:spacing w:line="520" w:lineRule="exact"/>
        <w:rPr>
          <w:rFonts w:hint="eastAsia" w:ascii="宋体" w:hAnsi="宋体" w:eastAsia="宋体"/>
          <w:sz w:val="28"/>
          <w:szCs w:val="28"/>
        </w:rPr>
      </w:pPr>
    </w:p>
    <w:p w14:paraId="364EDEE6">
      <w:pPr>
        <w:snapToGrid w:val="0"/>
        <w:spacing w:after="60" w:line="520" w:lineRule="exact"/>
        <w:rPr>
          <w:rFonts w:hint="eastAsia" w:ascii="宋体" w:hAnsi="宋体" w:eastAsia="宋体"/>
          <w:b/>
          <w:bCs/>
          <w:sz w:val="28"/>
          <w:szCs w:val="28"/>
        </w:rPr>
      </w:pPr>
      <w:r>
        <w:rPr>
          <w:rFonts w:hint="eastAsia" w:ascii="宋体" w:hAnsi="宋体" w:eastAsia="宋体"/>
          <w:sz w:val="28"/>
          <w:szCs w:val="28"/>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359410</wp:posOffset>
                </wp:positionV>
                <wp:extent cx="5586095" cy="0"/>
                <wp:effectExtent l="0" t="0" r="0" b="0"/>
                <wp:wrapNone/>
                <wp:docPr id="1" name="直线 27"/>
                <wp:cNvGraphicFramePr/>
                <a:graphic xmlns:a="http://schemas.openxmlformats.org/drawingml/2006/main">
                  <a:graphicData uri="http://schemas.microsoft.com/office/word/2010/wordprocessingShape">
                    <wps:wsp>
                      <wps:cNvCnPr>
                        <a:cxnSpLocks noChangeShapeType="1"/>
                      </wps:cNvCnPr>
                      <wps:spPr bwMode="auto">
                        <a:xfrm flipV="1">
                          <a:off x="0" y="0"/>
                          <a:ext cx="5586277" cy="0"/>
                        </a:xfrm>
                        <a:prstGeom prst="line">
                          <a:avLst/>
                        </a:prstGeom>
                        <a:noFill/>
                        <a:ln w="19050">
                          <a:solidFill>
                            <a:schemeClr val="tx1"/>
                          </a:solidFill>
                          <a:round/>
                        </a:ln>
                        <a:effectLst/>
                      </wps:spPr>
                      <wps:bodyPr/>
                    </wps:wsp>
                  </a:graphicData>
                </a:graphic>
              </wp:anchor>
            </w:drawing>
          </mc:Choice>
          <mc:Fallback>
            <w:pict>
              <v:line id="直线 27" o:spid="_x0000_s1026" o:spt="20" style="position:absolute;left:0pt;flip:y;margin-top:28.3pt;height:0pt;width:439.85pt;mso-position-horizontal:left;mso-position-horizontal-relative:margin;z-index:251660288;mso-width-relative:page;mso-height-relative:page;" filled="f" stroked="t" coordsize="21600,21600" o:gfxdata="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OwBlMtUAAAAGAQAA&#10;DwAAAAAAAAABACAAAAAiAAAAZHJzL2Rvd25yZXYueG1sUEsBAhQAFAAAAAgAh07iQAuXPivjAQAA&#10;uwMAAA4AAAAAAAAAAQAgAAAAJAEAAGRycy9lMm9Eb2MueG1sUEsFBgAAAAAGAAYAWQEAAHkFAAAA&#10;AA==&#10;">
                <v:fill on="f" focussize="0,0"/>
                <v:stroke weight="1.5pt" color="#000000 [3213]" joinstyle="round"/>
                <v:imagedata o:title=""/>
                <o:lock v:ext="edit" aspectratio="f"/>
              </v:line>
            </w:pict>
          </mc:Fallback>
        </mc:AlternateContent>
      </w:r>
      <w:r>
        <w:rPr>
          <w:rFonts w:hint="eastAsia" w:ascii="宋体" w:hAnsi="宋体" w:eastAsia="宋体"/>
          <w:b/>
          <w:bCs/>
          <w:sz w:val="28"/>
          <w:szCs w:val="28"/>
        </w:rPr>
        <w:t>主题词：最高投标限价审核</w:t>
      </w:r>
    </w:p>
    <w:p w14:paraId="0AC9FFCA">
      <w:pPr>
        <w:spacing w:line="520" w:lineRule="exact"/>
        <w:jc w:val="left"/>
        <w:rPr>
          <w:rFonts w:hint="eastAsia" w:ascii="宋体" w:hAnsi="宋体" w:eastAsia="宋体"/>
          <w:bCs/>
          <w:sz w:val="28"/>
          <w:szCs w:val="28"/>
        </w:rPr>
      </w:pPr>
      <w:r>
        <w:rPr>
          <w:rFonts w:hint="eastAsia" w:ascii="宋体" w:hAnsi="宋体" w:eastAsia="宋体"/>
          <w:sz w:val="28"/>
          <w:szCs w:val="28"/>
        </w:rP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ragraph">
                  <wp:posOffset>365125</wp:posOffset>
                </wp:positionV>
                <wp:extent cx="5586095" cy="0"/>
                <wp:effectExtent l="0" t="0" r="0" b="0"/>
                <wp:wrapNone/>
                <wp:docPr id="3" name="直线 27"/>
                <wp:cNvGraphicFramePr/>
                <a:graphic xmlns:a="http://schemas.openxmlformats.org/drawingml/2006/main">
                  <a:graphicData uri="http://schemas.microsoft.com/office/word/2010/wordprocessingShape">
                    <wps:wsp>
                      <wps:cNvCnPr>
                        <a:cxnSpLocks noChangeShapeType="1"/>
                      </wps:cNvCnPr>
                      <wps:spPr bwMode="auto">
                        <a:xfrm flipV="1">
                          <a:off x="0" y="0"/>
                          <a:ext cx="5586277" cy="0"/>
                        </a:xfrm>
                        <a:prstGeom prst="line">
                          <a:avLst/>
                        </a:prstGeom>
                        <a:noFill/>
                        <a:ln w="19050">
                          <a:solidFill>
                            <a:schemeClr val="tx1"/>
                          </a:solidFill>
                          <a:round/>
                        </a:ln>
                        <a:effectLst/>
                      </wps:spPr>
                      <wps:bodyPr/>
                    </wps:wsp>
                  </a:graphicData>
                </a:graphic>
              </wp:anchor>
            </w:drawing>
          </mc:Choice>
          <mc:Fallback>
            <w:pict>
              <v:line id="直线 27" o:spid="_x0000_s1026" o:spt="20" style="position:absolute;left:0pt;flip:y;margin-top:28.75pt;height:0pt;width:439.85pt;mso-position-horizontal:left;mso-position-horizontal-relative:margin;z-index:251661312;mso-width-relative:page;mso-height-relative:page;" filled="f" stroked="t" coordsize="21600,21600" o:gfxdata="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XRRBDVAAAABgEA&#10;AA8AAAAAAAAAAQAgAAAAIgAAAGRycy9kb3ducmV2LnhtbFBLAQIUABQAAAAIAIdO4kBUuFj85AEA&#10;ALsDAAAOAAAAAAAAAAEAIAAAACQBAABkcnMvZTJvRG9jLnhtbFBLBQYAAAAABgAGAFkBAAB6BQAA&#10;AAA=&#10;">
                <v:fill on="f" focussize="0,0"/>
                <v:stroke weight="1.5pt" color="#000000 [3213]" joinstyle="round"/>
                <v:imagedata o:title=""/>
                <o:lock v:ext="edit" aspectratio="f"/>
              </v:line>
            </w:pict>
          </mc:Fallback>
        </mc:AlternateContent>
      </w:r>
      <w:r>
        <w:rPr>
          <w:rFonts w:hint="eastAsia" w:ascii="宋体" w:hAnsi="宋体" w:eastAsia="宋体"/>
          <w:sz w:val="28"/>
          <w:szCs w:val="28"/>
        </w:rPr>
        <w:t xml:space="preserve">抄 </w:t>
      </w:r>
      <w:r>
        <w:rPr>
          <w:rFonts w:ascii="宋体" w:hAnsi="宋体" w:eastAsia="宋体"/>
          <w:sz w:val="28"/>
          <w:szCs w:val="28"/>
        </w:rPr>
        <w:t xml:space="preserve"> </w:t>
      </w:r>
      <w:r>
        <w:rPr>
          <w:rFonts w:hint="eastAsia" w:ascii="宋体" w:hAnsi="宋体" w:eastAsia="宋体"/>
          <w:sz w:val="28"/>
          <w:szCs w:val="28"/>
        </w:rPr>
        <w:t>送：</w:t>
      </w:r>
    </w:p>
    <w:sectPr>
      <w:type w:val="continuous"/>
      <w:pgSz w:w="11906" w:h="16838"/>
      <w:pgMar w:top="1440" w:right="1797" w:bottom="1440" w:left="1797" w:header="851" w:footer="624" w:gutter="0"/>
      <w:paperSrc w:first="1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1A67"/>
    <w:multiLevelType w:val="multilevel"/>
    <w:tmpl w:val="A1461A67"/>
    <w:lvl w:ilvl="0" w:tentative="0">
      <w:start w:val="1"/>
      <w:numFmt w:val="chineseCountingThousand"/>
      <w:suff w:val="nothing"/>
      <w:lvlText w:val="%1、"/>
      <w:lvlJc w:val="left"/>
      <w:pPr>
        <w:ind w:left="0" w:firstLine="567"/>
      </w:pPr>
      <w:rPr>
        <w:rFonts w:hint="eastAsia"/>
      </w:rPr>
    </w:lvl>
    <w:lvl w:ilvl="1" w:tentative="0">
      <w:start w:val="1"/>
      <w:numFmt w:val="chineseCountingThousand"/>
      <w:suff w:val="nothing"/>
      <w:lvlText w:val="（%2）"/>
      <w:lvlJc w:val="left"/>
      <w:pPr>
        <w:ind w:left="0" w:firstLine="567"/>
      </w:pPr>
      <w:rPr>
        <w:rFonts w:hint="eastAsia"/>
      </w:rPr>
    </w:lvl>
    <w:lvl w:ilvl="2" w:tentative="0">
      <w:start w:val="1"/>
      <w:numFmt w:val="decimal"/>
      <w:suff w:val="nothing"/>
      <w:lvlText w:val="（%2.%3）"/>
      <w:lvlJc w:val="left"/>
      <w:pPr>
        <w:ind w:left="0" w:firstLine="567"/>
      </w:pPr>
      <w:rPr>
        <w:rFonts w:hint="eastAsia"/>
      </w:rPr>
    </w:lvl>
    <w:lvl w:ilvl="3" w:tentative="0">
      <w:start w:val="1"/>
      <w:numFmt w:val="decimal"/>
      <w:suff w:val="space"/>
      <w:lvlText w:val="%4."/>
      <w:lvlJc w:val="left"/>
      <w:pPr>
        <w:ind w:left="0" w:firstLine="567"/>
      </w:pPr>
      <w:rPr>
        <w:rFonts w:hint="eastAsia"/>
      </w:rPr>
    </w:lvl>
    <w:lvl w:ilvl="4" w:tentative="0">
      <w:start w:val="1"/>
      <w:numFmt w:val="decimal"/>
      <w:suff w:val="space"/>
      <w:lvlText w:val="%4.%5"/>
      <w:lvlJc w:val="left"/>
      <w:pPr>
        <w:ind w:left="0" w:firstLine="567"/>
      </w:pPr>
      <w:rPr>
        <w:rFonts w:hint="eastAsia"/>
      </w:rPr>
    </w:lvl>
    <w:lvl w:ilvl="5" w:tentative="0">
      <w:start w:val="1"/>
      <w:numFmt w:val="decimal"/>
      <w:suff w:val="space"/>
      <w:lvlText w:val="%4.%5.%6"/>
      <w:lvlJc w:val="left"/>
      <w:pPr>
        <w:ind w:left="0" w:firstLine="567"/>
      </w:pPr>
      <w:rPr>
        <w:rFonts w:hint="eastAsia"/>
      </w:rPr>
    </w:lvl>
    <w:lvl w:ilvl="6" w:tentative="0">
      <w:start w:val="1"/>
      <w:numFmt w:val="lowerLetter"/>
      <w:suff w:val="space"/>
      <w:lvlText w:val="%7."/>
      <w:lvlJc w:val="left"/>
      <w:pPr>
        <w:ind w:left="0" w:firstLine="567"/>
      </w:pPr>
      <w:rPr>
        <w:rFonts w:hint="eastAsia"/>
      </w:rPr>
    </w:lvl>
    <w:lvl w:ilvl="7" w:tentative="0">
      <w:start w:val="1"/>
      <w:numFmt w:val="decimal"/>
      <w:suff w:val="space"/>
      <w:lvlText w:val="%7.%8"/>
      <w:lvlJc w:val="left"/>
      <w:pPr>
        <w:ind w:left="0" w:firstLine="567"/>
      </w:pPr>
      <w:rPr>
        <w:rFonts w:hint="eastAsia"/>
      </w:rPr>
    </w:lvl>
    <w:lvl w:ilvl="8" w:tentative="0">
      <w:start w:val="1"/>
      <w:numFmt w:val="decimal"/>
      <w:suff w:val="space"/>
      <w:lvlText w:val="%7.%8.%9"/>
      <w:lvlJc w:val="left"/>
      <w:pPr>
        <w:ind w:left="0" w:firstLine="567"/>
      </w:pPr>
      <w:rPr>
        <w:rFonts w:hint="eastAsia"/>
      </w:rPr>
    </w:lvl>
  </w:abstractNum>
  <w:abstractNum w:abstractNumId="1">
    <w:nsid w:val="E753CD0A"/>
    <w:multiLevelType w:val="multilevel"/>
    <w:tmpl w:val="E753CD0A"/>
    <w:lvl w:ilvl="0" w:tentative="0">
      <w:start w:val="1"/>
      <w:numFmt w:val="chineseCountingThousand"/>
      <w:suff w:val="nothing"/>
      <w:lvlText w:val="%1、"/>
      <w:lvlJc w:val="left"/>
      <w:pPr>
        <w:ind w:left="0" w:firstLine="567"/>
      </w:pPr>
      <w:rPr>
        <w:rFonts w:hint="eastAsia"/>
      </w:rPr>
    </w:lvl>
    <w:lvl w:ilvl="1" w:tentative="0">
      <w:start w:val="1"/>
      <w:numFmt w:val="chineseCountingThousand"/>
      <w:suff w:val="nothing"/>
      <w:lvlText w:val="（%2）"/>
      <w:lvlJc w:val="left"/>
      <w:pPr>
        <w:ind w:left="0" w:firstLine="567"/>
      </w:pPr>
      <w:rPr>
        <w:rFonts w:hint="eastAsia"/>
      </w:rPr>
    </w:lvl>
    <w:lvl w:ilvl="2" w:tentative="0">
      <w:start w:val="1"/>
      <w:numFmt w:val="decimal"/>
      <w:suff w:val="nothing"/>
      <w:lvlText w:val="（%2.%3）"/>
      <w:lvlJc w:val="left"/>
      <w:pPr>
        <w:ind w:left="0" w:firstLine="567"/>
      </w:pPr>
      <w:rPr>
        <w:rFonts w:hint="eastAsia"/>
      </w:rPr>
    </w:lvl>
    <w:lvl w:ilvl="3" w:tentative="0">
      <w:start w:val="1"/>
      <w:numFmt w:val="decimal"/>
      <w:suff w:val="space"/>
      <w:lvlText w:val="%4."/>
      <w:lvlJc w:val="left"/>
      <w:pPr>
        <w:ind w:left="0" w:firstLine="567"/>
      </w:pPr>
      <w:rPr>
        <w:rFonts w:hint="eastAsia"/>
      </w:rPr>
    </w:lvl>
    <w:lvl w:ilvl="4" w:tentative="0">
      <w:start w:val="1"/>
      <w:numFmt w:val="decimal"/>
      <w:suff w:val="space"/>
      <w:lvlText w:val="%4.%5"/>
      <w:lvlJc w:val="left"/>
      <w:pPr>
        <w:ind w:left="0" w:firstLine="567"/>
      </w:pPr>
      <w:rPr>
        <w:rFonts w:hint="eastAsia"/>
      </w:rPr>
    </w:lvl>
    <w:lvl w:ilvl="5" w:tentative="0">
      <w:start w:val="1"/>
      <w:numFmt w:val="decimal"/>
      <w:suff w:val="space"/>
      <w:lvlText w:val="%4.%5.%6"/>
      <w:lvlJc w:val="left"/>
      <w:pPr>
        <w:ind w:left="0" w:firstLine="567"/>
      </w:pPr>
      <w:rPr>
        <w:rFonts w:hint="eastAsia"/>
      </w:rPr>
    </w:lvl>
    <w:lvl w:ilvl="6" w:tentative="0">
      <w:start w:val="1"/>
      <w:numFmt w:val="lowerLetter"/>
      <w:suff w:val="space"/>
      <w:lvlText w:val="%7."/>
      <w:lvlJc w:val="left"/>
      <w:pPr>
        <w:ind w:left="0" w:firstLine="567"/>
      </w:pPr>
      <w:rPr>
        <w:rFonts w:hint="eastAsia"/>
      </w:rPr>
    </w:lvl>
    <w:lvl w:ilvl="7" w:tentative="0">
      <w:start w:val="1"/>
      <w:numFmt w:val="decimal"/>
      <w:suff w:val="space"/>
      <w:lvlText w:val="%7.%8"/>
      <w:lvlJc w:val="left"/>
      <w:pPr>
        <w:ind w:left="0" w:firstLine="567"/>
      </w:pPr>
      <w:rPr>
        <w:rFonts w:hint="eastAsia"/>
      </w:rPr>
    </w:lvl>
    <w:lvl w:ilvl="8" w:tentative="0">
      <w:start w:val="1"/>
      <w:numFmt w:val="decimal"/>
      <w:suff w:val="space"/>
      <w:lvlText w:val="%7.%8.%9"/>
      <w:lvlJc w:val="left"/>
      <w:pPr>
        <w:ind w:left="0" w:firstLine="567"/>
      </w:pPr>
      <w:rPr>
        <w:rFonts w:hint="eastAsia"/>
      </w:rPr>
    </w:lvl>
  </w:abstractNum>
  <w:abstractNum w:abstractNumId="2">
    <w:nsid w:val="5DA3B062"/>
    <w:multiLevelType w:val="multilevel"/>
    <w:tmpl w:val="5DA3B062"/>
    <w:lvl w:ilvl="0" w:tentative="0">
      <w:start w:val="1"/>
      <w:numFmt w:val="chineseCountingThousand"/>
      <w:suff w:val="nothing"/>
      <w:lvlText w:val="%1、"/>
      <w:lvlJc w:val="left"/>
      <w:pPr>
        <w:ind w:left="0" w:firstLine="567"/>
      </w:pPr>
      <w:rPr>
        <w:rFonts w:hint="eastAsia"/>
      </w:rPr>
    </w:lvl>
    <w:lvl w:ilvl="1" w:tentative="0">
      <w:start w:val="1"/>
      <w:numFmt w:val="chineseCountingThousand"/>
      <w:suff w:val="nothing"/>
      <w:lvlText w:val="（%2）"/>
      <w:lvlJc w:val="left"/>
      <w:pPr>
        <w:ind w:left="0" w:firstLine="567"/>
      </w:pPr>
      <w:rPr>
        <w:rFonts w:hint="eastAsia"/>
      </w:rPr>
    </w:lvl>
    <w:lvl w:ilvl="2" w:tentative="0">
      <w:start w:val="1"/>
      <w:numFmt w:val="decimal"/>
      <w:suff w:val="nothing"/>
      <w:lvlText w:val="（%2.%3）"/>
      <w:lvlJc w:val="left"/>
      <w:pPr>
        <w:ind w:left="0" w:firstLine="567"/>
      </w:pPr>
      <w:rPr>
        <w:rFonts w:hint="eastAsia"/>
      </w:rPr>
    </w:lvl>
    <w:lvl w:ilvl="3" w:tentative="0">
      <w:start w:val="1"/>
      <w:numFmt w:val="decimal"/>
      <w:suff w:val="space"/>
      <w:lvlText w:val="%4."/>
      <w:lvlJc w:val="left"/>
      <w:pPr>
        <w:ind w:left="0" w:firstLine="567"/>
      </w:pPr>
      <w:rPr>
        <w:rFonts w:hint="eastAsia"/>
      </w:rPr>
    </w:lvl>
    <w:lvl w:ilvl="4" w:tentative="0">
      <w:start w:val="1"/>
      <w:numFmt w:val="decimal"/>
      <w:suff w:val="space"/>
      <w:lvlText w:val="%4.%5"/>
      <w:lvlJc w:val="left"/>
      <w:pPr>
        <w:ind w:left="0" w:firstLine="567"/>
      </w:pPr>
      <w:rPr>
        <w:rFonts w:hint="eastAsia"/>
      </w:rPr>
    </w:lvl>
    <w:lvl w:ilvl="5" w:tentative="0">
      <w:start w:val="1"/>
      <w:numFmt w:val="decimal"/>
      <w:suff w:val="space"/>
      <w:lvlText w:val="%4.%5.%6"/>
      <w:lvlJc w:val="left"/>
      <w:pPr>
        <w:ind w:left="0" w:firstLine="567"/>
      </w:pPr>
      <w:rPr>
        <w:rFonts w:hint="eastAsia"/>
      </w:rPr>
    </w:lvl>
    <w:lvl w:ilvl="6" w:tentative="0">
      <w:start w:val="1"/>
      <w:numFmt w:val="lowerLetter"/>
      <w:suff w:val="space"/>
      <w:lvlText w:val="%7."/>
      <w:lvlJc w:val="left"/>
      <w:pPr>
        <w:ind w:left="0" w:firstLine="567"/>
      </w:pPr>
      <w:rPr>
        <w:rFonts w:hint="eastAsia"/>
      </w:rPr>
    </w:lvl>
    <w:lvl w:ilvl="7" w:tentative="0">
      <w:start w:val="1"/>
      <w:numFmt w:val="decimal"/>
      <w:suff w:val="space"/>
      <w:lvlText w:val="%7.%8"/>
      <w:lvlJc w:val="left"/>
      <w:pPr>
        <w:ind w:left="0" w:firstLine="567"/>
      </w:pPr>
      <w:rPr>
        <w:rFonts w:hint="eastAsia"/>
      </w:rPr>
    </w:lvl>
    <w:lvl w:ilvl="8" w:tentative="0">
      <w:start w:val="1"/>
      <w:numFmt w:val="decimal"/>
      <w:suff w:val="space"/>
      <w:lvlText w:val="%7.%8.%9"/>
      <w:lvlJc w:val="left"/>
      <w:pPr>
        <w:ind w:left="0" w:firstLine="567"/>
      </w:pPr>
      <w:rPr>
        <w:rFonts w:hint="eastAsia"/>
      </w:rPr>
    </w:lvl>
  </w:abstractNum>
  <w:abstractNum w:abstractNumId="3">
    <w:nsid w:val="736B2482"/>
    <w:multiLevelType w:val="multilevel"/>
    <w:tmpl w:val="736B2482"/>
    <w:lvl w:ilvl="0" w:tentative="0">
      <w:start w:val="1"/>
      <w:numFmt w:val="chineseCountingThousand"/>
      <w:suff w:val="nothing"/>
      <w:lvlText w:val="%1、"/>
      <w:lvlJc w:val="left"/>
      <w:pPr>
        <w:ind w:left="0" w:firstLine="567"/>
      </w:pPr>
      <w:rPr>
        <w:rFonts w:hint="eastAsia"/>
      </w:rPr>
    </w:lvl>
    <w:lvl w:ilvl="1" w:tentative="0">
      <w:start w:val="1"/>
      <w:numFmt w:val="chineseCountingThousand"/>
      <w:suff w:val="nothing"/>
      <w:lvlText w:val="（%2）"/>
      <w:lvlJc w:val="left"/>
      <w:pPr>
        <w:ind w:left="0" w:firstLine="567"/>
      </w:pPr>
      <w:rPr>
        <w:rFonts w:hint="eastAsia"/>
      </w:rPr>
    </w:lvl>
    <w:lvl w:ilvl="2" w:tentative="0">
      <w:start w:val="1"/>
      <w:numFmt w:val="decimal"/>
      <w:suff w:val="nothing"/>
      <w:lvlText w:val="（%2.%3）"/>
      <w:lvlJc w:val="left"/>
      <w:pPr>
        <w:ind w:left="0" w:firstLine="567"/>
      </w:pPr>
      <w:rPr>
        <w:rFonts w:hint="eastAsia"/>
      </w:rPr>
    </w:lvl>
    <w:lvl w:ilvl="3" w:tentative="0">
      <w:start w:val="1"/>
      <w:numFmt w:val="decimal"/>
      <w:suff w:val="space"/>
      <w:lvlText w:val="%4."/>
      <w:lvlJc w:val="left"/>
      <w:pPr>
        <w:ind w:left="0" w:firstLine="567"/>
      </w:pPr>
      <w:rPr>
        <w:rFonts w:hint="eastAsia"/>
      </w:rPr>
    </w:lvl>
    <w:lvl w:ilvl="4" w:tentative="0">
      <w:start w:val="1"/>
      <w:numFmt w:val="decimal"/>
      <w:suff w:val="space"/>
      <w:lvlText w:val="%4.%5"/>
      <w:lvlJc w:val="left"/>
      <w:pPr>
        <w:ind w:left="0" w:firstLine="567"/>
      </w:pPr>
      <w:rPr>
        <w:rFonts w:hint="eastAsia"/>
      </w:rPr>
    </w:lvl>
    <w:lvl w:ilvl="5" w:tentative="0">
      <w:start w:val="1"/>
      <w:numFmt w:val="decimal"/>
      <w:suff w:val="space"/>
      <w:lvlText w:val="%4.%5.%6"/>
      <w:lvlJc w:val="left"/>
      <w:pPr>
        <w:ind w:left="0" w:firstLine="567"/>
      </w:pPr>
      <w:rPr>
        <w:rFonts w:hint="eastAsia"/>
      </w:rPr>
    </w:lvl>
    <w:lvl w:ilvl="6" w:tentative="0">
      <w:start w:val="1"/>
      <w:numFmt w:val="lowerLetter"/>
      <w:suff w:val="space"/>
      <w:lvlText w:val="%7."/>
      <w:lvlJc w:val="left"/>
      <w:pPr>
        <w:ind w:left="0" w:firstLine="567"/>
      </w:pPr>
      <w:rPr>
        <w:rFonts w:hint="eastAsia"/>
      </w:rPr>
    </w:lvl>
    <w:lvl w:ilvl="7" w:tentative="0">
      <w:start w:val="1"/>
      <w:numFmt w:val="decimal"/>
      <w:suff w:val="space"/>
      <w:lvlText w:val="%7.%8"/>
      <w:lvlJc w:val="left"/>
      <w:pPr>
        <w:ind w:left="0" w:firstLine="567"/>
      </w:pPr>
      <w:rPr>
        <w:rFonts w:hint="eastAsia"/>
      </w:rPr>
    </w:lvl>
    <w:lvl w:ilvl="8" w:tentative="0">
      <w:start w:val="1"/>
      <w:numFmt w:val="decimal"/>
      <w:suff w:val="space"/>
      <w:lvlText w:val="%7.%8.%9"/>
      <w:lvlJc w:val="left"/>
      <w:pPr>
        <w:ind w:left="0" w:firstLine="567"/>
      </w:pPr>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21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C42"/>
    <w:rsid w:val="00057D59"/>
    <w:rsid w:val="00066E3B"/>
    <w:rsid w:val="0007661E"/>
    <w:rsid w:val="000B051F"/>
    <w:rsid w:val="000B5744"/>
    <w:rsid w:val="000C33B9"/>
    <w:rsid w:val="000D18B1"/>
    <w:rsid w:val="000D2701"/>
    <w:rsid w:val="000D63FA"/>
    <w:rsid w:val="00111BB6"/>
    <w:rsid w:val="00114C9B"/>
    <w:rsid w:val="00116F9E"/>
    <w:rsid w:val="00122DB9"/>
    <w:rsid w:val="0012336B"/>
    <w:rsid w:val="00123800"/>
    <w:rsid w:val="00133FC7"/>
    <w:rsid w:val="0013623D"/>
    <w:rsid w:val="0016132C"/>
    <w:rsid w:val="00185C74"/>
    <w:rsid w:val="001970A6"/>
    <w:rsid w:val="001C5B4B"/>
    <w:rsid w:val="0024373A"/>
    <w:rsid w:val="002452BB"/>
    <w:rsid w:val="002574D5"/>
    <w:rsid w:val="00272D1C"/>
    <w:rsid w:val="002859BA"/>
    <w:rsid w:val="002A54CB"/>
    <w:rsid w:val="002C73CA"/>
    <w:rsid w:val="002E3E8E"/>
    <w:rsid w:val="0030435C"/>
    <w:rsid w:val="0031522A"/>
    <w:rsid w:val="003223A7"/>
    <w:rsid w:val="0033628F"/>
    <w:rsid w:val="003373D9"/>
    <w:rsid w:val="00337FA4"/>
    <w:rsid w:val="00346A92"/>
    <w:rsid w:val="0035102B"/>
    <w:rsid w:val="0037134C"/>
    <w:rsid w:val="00381E2C"/>
    <w:rsid w:val="0038456C"/>
    <w:rsid w:val="003A41A6"/>
    <w:rsid w:val="003B53F7"/>
    <w:rsid w:val="003C26F4"/>
    <w:rsid w:val="003D21C4"/>
    <w:rsid w:val="003D6E5F"/>
    <w:rsid w:val="003F104C"/>
    <w:rsid w:val="003F1138"/>
    <w:rsid w:val="003F5234"/>
    <w:rsid w:val="00405A24"/>
    <w:rsid w:val="004110A4"/>
    <w:rsid w:val="0043732F"/>
    <w:rsid w:val="00443857"/>
    <w:rsid w:val="0044669D"/>
    <w:rsid w:val="00451798"/>
    <w:rsid w:val="00455041"/>
    <w:rsid w:val="004A2D3B"/>
    <w:rsid w:val="004B23FC"/>
    <w:rsid w:val="004C537A"/>
    <w:rsid w:val="004F6542"/>
    <w:rsid w:val="00535B99"/>
    <w:rsid w:val="005406CC"/>
    <w:rsid w:val="005477B2"/>
    <w:rsid w:val="005618DB"/>
    <w:rsid w:val="005765D8"/>
    <w:rsid w:val="00595DE0"/>
    <w:rsid w:val="005B60E5"/>
    <w:rsid w:val="005C5D85"/>
    <w:rsid w:val="005D0D60"/>
    <w:rsid w:val="005D1EE2"/>
    <w:rsid w:val="005E0414"/>
    <w:rsid w:val="005E18AD"/>
    <w:rsid w:val="005E18E5"/>
    <w:rsid w:val="006258F2"/>
    <w:rsid w:val="00637C06"/>
    <w:rsid w:val="0065375A"/>
    <w:rsid w:val="00682889"/>
    <w:rsid w:val="00690A36"/>
    <w:rsid w:val="006969D4"/>
    <w:rsid w:val="006A164E"/>
    <w:rsid w:val="006A4CC8"/>
    <w:rsid w:val="006B4D10"/>
    <w:rsid w:val="006E085A"/>
    <w:rsid w:val="00700E24"/>
    <w:rsid w:val="00707A81"/>
    <w:rsid w:val="00744729"/>
    <w:rsid w:val="00754D86"/>
    <w:rsid w:val="007568A6"/>
    <w:rsid w:val="007600C0"/>
    <w:rsid w:val="00775E20"/>
    <w:rsid w:val="007C3332"/>
    <w:rsid w:val="007C7186"/>
    <w:rsid w:val="007D3EC3"/>
    <w:rsid w:val="00800D6C"/>
    <w:rsid w:val="00813E84"/>
    <w:rsid w:val="0081529F"/>
    <w:rsid w:val="00866496"/>
    <w:rsid w:val="00884063"/>
    <w:rsid w:val="00884E4B"/>
    <w:rsid w:val="00894C1A"/>
    <w:rsid w:val="008B1325"/>
    <w:rsid w:val="008B3CC1"/>
    <w:rsid w:val="008C5F5A"/>
    <w:rsid w:val="008E1821"/>
    <w:rsid w:val="008E1D74"/>
    <w:rsid w:val="009204B7"/>
    <w:rsid w:val="00936CB7"/>
    <w:rsid w:val="009536AA"/>
    <w:rsid w:val="00977F27"/>
    <w:rsid w:val="0098045E"/>
    <w:rsid w:val="009918FB"/>
    <w:rsid w:val="0099440A"/>
    <w:rsid w:val="009B1F4C"/>
    <w:rsid w:val="00A147DD"/>
    <w:rsid w:val="00A17454"/>
    <w:rsid w:val="00A26782"/>
    <w:rsid w:val="00A31FE8"/>
    <w:rsid w:val="00A32859"/>
    <w:rsid w:val="00A819B4"/>
    <w:rsid w:val="00AA6219"/>
    <w:rsid w:val="00AB49AF"/>
    <w:rsid w:val="00AB4AE5"/>
    <w:rsid w:val="00AB6985"/>
    <w:rsid w:val="00AC709F"/>
    <w:rsid w:val="00AE265C"/>
    <w:rsid w:val="00B24CB4"/>
    <w:rsid w:val="00B323E3"/>
    <w:rsid w:val="00B33CBB"/>
    <w:rsid w:val="00B35C36"/>
    <w:rsid w:val="00B46BB9"/>
    <w:rsid w:val="00B50466"/>
    <w:rsid w:val="00B874FD"/>
    <w:rsid w:val="00B9294A"/>
    <w:rsid w:val="00BC29FA"/>
    <w:rsid w:val="00BC3947"/>
    <w:rsid w:val="00BC79C9"/>
    <w:rsid w:val="00C03DB8"/>
    <w:rsid w:val="00C24DF1"/>
    <w:rsid w:val="00C73225"/>
    <w:rsid w:val="00C746F7"/>
    <w:rsid w:val="00C76A4E"/>
    <w:rsid w:val="00C802BB"/>
    <w:rsid w:val="00C860A2"/>
    <w:rsid w:val="00C9764A"/>
    <w:rsid w:val="00CA537C"/>
    <w:rsid w:val="00CB75B2"/>
    <w:rsid w:val="00CD0E82"/>
    <w:rsid w:val="00CD32BE"/>
    <w:rsid w:val="00CD6C8B"/>
    <w:rsid w:val="00D31520"/>
    <w:rsid w:val="00D40C4A"/>
    <w:rsid w:val="00D44929"/>
    <w:rsid w:val="00D46D91"/>
    <w:rsid w:val="00D62E10"/>
    <w:rsid w:val="00D9696F"/>
    <w:rsid w:val="00DA39DD"/>
    <w:rsid w:val="00DB38FF"/>
    <w:rsid w:val="00DB72A5"/>
    <w:rsid w:val="00DC2795"/>
    <w:rsid w:val="00DC5186"/>
    <w:rsid w:val="00DD1220"/>
    <w:rsid w:val="00DE5AAC"/>
    <w:rsid w:val="00E15DBB"/>
    <w:rsid w:val="00E212D5"/>
    <w:rsid w:val="00E25B57"/>
    <w:rsid w:val="00E34D5A"/>
    <w:rsid w:val="00E64AE6"/>
    <w:rsid w:val="00E76BD2"/>
    <w:rsid w:val="00EA43B3"/>
    <w:rsid w:val="00EC5C42"/>
    <w:rsid w:val="00ED4F92"/>
    <w:rsid w:val="00EF3FAC"/>
    <w:rsid w:val="00F01C2C"/>
    <w:rsid w:val="00F04672"/>
    <w:rsid w:val="00F065EC"/>
    <w:rsid w:val="00F2259F"/>
    <w:rsid w:val="00F4257E"/>
    <w:rsid w:val="00F739BC"/>
    <w:rsid w:val="00F92281"/>
    <w:rsid w:val="00F94869"/>
    <w:rsid w:val="00F969E4"/>
    <w:rsid w:val="00FB13BE"/>
    <w:rsid w:val="00FC082B"/>
    <w:rsid w:val="00FD37B8"/>
    <w:rsid w:val="00FD7535"/>
    <w:rsid w:val="0990427D"/>
    <w:rsid w:val="0AFD0EBC"/>
    <w:rsid w:val="0DCE6B40"/>
    <w:rsid w:val="117A1EF6"/>
    <w:rsid w:val="127263BE"/>
    <w:rsid w:val="13313DF9"/>
    <w:rsid w:val="153A76DA"/>
    <w:rsid w:val="153F7D79"/>
    <w:rsid w:val="17514043"/>
    <w:rsid w:val="181635BD"/>
    <w:rsid w:val="19BD3D72"/>
    <w:rsid w:val="19F202D2"/>
    <w:rsid w:val="1A8D6556"/>
    <w:rsid w:val="1C5E7B4D"/>
    <w:rsid w:val="220D03C4"/>
    <w:rsid w:val="22123047"/>
    <w:rsid w:val="22BB027F"/>
    <w:rsid w:val="23FA39C3"/>
    <w:rsid w:val="24B653CE"/>
    <w:rsid w:val="27572629"/>
    <w:rsid w:val="28526829"/>
    <w:rsid w:val="2CB33BE8"/>
    <w:rsid w:val="2D7C1CBC"/>
    <w:rsid w:val="2E0D133C"/>
    <w:rsid w:val="2FB4573E"/>
    <w:rsid w:val="2FDC6A42"/>
    <w:rsid w:val="3A9640E6"/>
    <w:rsid w:val="43E3619A"/>
    <w:rsid w:val="4C9C4894"/>
    <w:rsid w:val="4E8B10A5"/>
    <w:rsid w:val="526D41EE"/>
    <w:rsid w:val="549D0BDA"/>
    <w:rsid w:val="5DC80482"/>
    <w:rsid w:val="5F640FD1"/>
    <w:rsid w:val="63332E47"/>
    <w:rsid w:val="6F6B5F9B"/>
    <w:rsid w:val="7933675D"/>
    <w:rsid w:val="79F63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Plain Text"/>
    <w:basedOn w:val="1"/>
    <w:link w:val="15"/>
    <w:qFormat/>
    <w:uiPriority w:val="0"/>
    <w:rPr>
      <w:rFonts w:ascii="宋体" w:hAnsi="Courier New" w:eastAsia="宋体" w:cs="Times New Roman"/>
      <w:szCs w:val="21"/>
      <w:lang w:val="zh-CN"/>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4"/>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批注文字 字符"/>
    <w:basedOn w:val="9"/>
    <w:link w:val="2"/>
    <w:semiHidden/>
    <w:qFormat/>
    <w:uiPriority w:val="99"/>
  </w:style>
  <w:style w:type="character" w:customStyle="1" w:styleId="14">
    <w:name w:val="批注主题 字符"/>
    <w:basedOn w:val="13"/>
    <w:link w:val="7"/>
    <w:semiHidden/>
    <w:qFormat/>
    <w:uiPriority w:val="99"/>
    <w:rPr>
      <w:b/>
      <w:bCs/>
    </w:rPr>
  </w:style>
  <w:style w:type="character" w:customStyle="1" w:styleId="15">
    <w:name w:val="纯文本 字符"/>
    <w:basedOn w:val="9"/>
    <w:link w:val="3"/>
    <w:qFormat/>
    <w:uiPriority w:val="0"/>
    <w:rPr>
      <w:rFonts w:ascii="宋体" w:hAnsi="Courier New" w:eastAsia="宋体" w:cs="Times New Roman"/>
      <w:szCs w:val="21"/>
      <w:lang w:val="zh-CN"/>
    </w:rPr>
  </w:style>
  <w:style w:type="paragraph" w:styleId="16">
    <w:name w:val="List Paragraph"/>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2605</Words>
  <Characters>2694</Characters>
  <Lines>15</Lines>
  <Paragraphs>4</Paragraphs>
  <TotalTime>7</TotalTime>
  <ScaleCrop>false</ScaleCrop>
  <LinksUpToDate>false</LinksUpToDate>
  <CharactersWithSpaces>2697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2022-06-09T06:16:00Z</dcterms:created>
  <dc:creator>zzc</dc:creator>
  <cp:lastModifiedBy>花道</cp:lastModifiedBy>
  <cp:lastPrinted>2025-06-23T08:35:00Z</cp:lastPrinted>
  <dcterms:modified xsi:type="dcterms:W3CDTF">2026-07-01T06:33:37Z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6C576D2B3F954641B71E4D865053AD79_12</vt:lpwstr>
  </property>
  <property fmtid="{D5CDD505-2E9C-101B-9397-08002B2CF9AE}" pid="4" name="KSOTemplateDocerSaveRecord">
    <vt:lpwstr>eyJoZGlkIjoiNWY3ZjUyODYyNDJkMWFlZjQ5ZGU2ZWVlMDY4ZDg4NWYiLCJ1c2VySWQiOiIxMDIxODY2OTg4In0=</vt:lpwstr>
  </property>
</Properties>
</file>