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24DCE">
      <w:pPr>
        <w:pStyle w:val="11"/>
        <w:numPr>
          <w:ilvl w:val="0"/>
          <w:numId w:val="1"/>
        </w:numPr>
        <w:spacing w:line="460" w:lineRule="exact"/>
        <w:ind w:firstLineChars="0"/>
        <w:jc w:val="left"/>
        <w:rPr>
          <w:rFonts w:hint="eastAsia" w:ascii="宋体" w:hAnsi="宋体"/>
          <w:b/>
          <w:sz w:val="24"/>
          <w:szCs w:val="24"/>
        </w:rPr>
      </w:pPr>
      <w:r>
        <w:rPr>
          <w:rFonts w:hint="eastAsia" w:ascii="宋体" w:hAnsi="宋体"/>
          <w:b/>
          <w:sz w:val="24"/>
          <w:szCs w:val="24"/>
        </w:rPr>
        <w:t>工程概况</w:t>
      </w:r>
    </w:p>
    <w:p w14:paraId="2A381C9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项目名称：</w:t>
      </w:r>
      <w:r>
        <w:rPr>
          <w:rFonts w:hint="eastAsia" w:ascii="宋体" w:hAnsi="宋体"/>
          <w:bCs/>
          <w:sz w:val="24"/>
          <w:szCs w:val="24"/>
          <w:lang w:eastAsia="zh-CN"/>
        </w:rPr>
        <w:t>杨庙小学改造（杨庙片区布局优化）工程</w:t>
      </w:r>
      <w:r>
        <w:rPr>
          <w:rFonts w:hint="eastAsia" w:ascii="宋体" w:hAnsi="宋体"/>
          <w:bCs/>
          <w:sz w:val="24"/>
          <w:szCs w:val="24"/>
        </w:rPr>
        <w:t>。</w:t>
      </w:r>
    </w:p>
    <w:p w14:paraId="4726A7DF">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工程特征：本工程为</w:t>
      </w:r>
      <w:r>
        <w:rPr>
          <w:rFonts w:hint="eastAsia" w:ascii="宋体" w:hAnsi="宋体"/>
          <w:bCs/>
          <w:sz w:val="24"/>
          <w:szCs w:val="24"/>
          <w:lang w:eastAsia="zh-CN"/>
        </w:rPr>
        <w:t>杨庙小学改造（杨庙片区布局优化）工程</w:t>
      </w:r>
      <w:r>
        <w:rPr>
          <w:rFonts w:hint="eastAsia" w:ascii="宋体" w:hAnsi="宋体"/>
          <w:bCs/>
          <w:sz w:val="24"/>
          <w:szCs w:val="24"/>
        </w:rPr>
        <w:t>，建设单位为扬州锦汇置业投资有限公司，建设地点为邗江区杨庙小学。本次招标范围为杨庙小学装饰改造、智能化改造、操场改造、拆除及新建围墙。</w:t>
      </w:r>
    </w:p>
    <w:p w14:paraId="570C5433">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计划工期：详见招标文件。</w:t>
      </w:r>
    </w:p>
    <w:p w14:paraId="4066703E">
      <w:pPr>
        <w:pStyle w:val="11"/>
        <w:numPr>
          <w:ilvl w:val="0"/>
          <w:numId w:val="1"/>
        </w:numPr>
        <w:spacing w:line="460" w:lineRule="exact"/>
        <w:ind w:firstLineChars="0"/>
        <w:jc w:val="left"/>
        <w:rPr>
          <w:rFonts w:hint="eastAsia" w:ascii="宋体" w:hAnsi="宋体"/>
          <w:b/>
          <w:sz w:val="24"/>
          <w:szCs w:val="24"/>
        </w:rPr>
      </w:pPr>
      <w:bookmarkStart w:id="0" w:name="_Hlk104041832"/>
      <w:r>
        <w:rPr>
          <w:rFonts w:hint="eastAsia" w:ascii="宋体" w:hAnsi="宋体"/>
          <w:b/>
          <w:sz w:val="24"/>
          <w:szCs w:val="24"/>
        </w:rPr>
        <w:t>清单编制依据</w:t>
      </w:r>
    </w:p>
    <w:bookmarkEnd w:id="0"/>
    <w:p w14:paraId="5AD61A4F">
      <w:pPr>
        <w:pStyle w:val="11"/>
        <w:numPr>
          <w:ilvl w:val="3"/>
          <w:numId w:val="1"/>
        </w:numPr>
        <w:spacing w:line="460" w:lineRule="exact"/>
        <w:ind w:firstLineChars="0"/>
        <w:jc w:val="left"/>
        <w:rPr>
          <w:rFonts w:hint="eastAsia" w:ascii="宋体" w:hAnsi="宋体"/>
          <w:bCs/>
          <w:sz w:val="24"/>
          <w:szCs w:val="24"/>
        </w:rPr>
      </w:pPr>
      <w:bookmarkStart w:id="1" w:name="_Hlk104039528"/>
      <w:r>
        <w:rPr>
          <w:rFonts w:hint="eastAsia" w:ascii="宋体" w:hAnsi="宋体"/>
          <w:bCs/>
          <w:sz w:val="24"/>
          <w:szCs w:val="24"/>
        </w:rPr>
        <w:t>建设单位提供的设计图纸及有关编制要求。</w:t>
      </w:r>
      <w:r>
        <w:rPr>
          <w:rFonts w:ascii="宋体" w:hAnsi="宋体"/>
          <w:bCs/>
          <w:sz w:val="24"/>
          <w:szCs w:val="24"/>
        </w:rPr>
        <w:t xml:space="preserve"> </w:t>
      </w:r>
    </w:p>
    <w:p w14:paraId="59008F9D">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根据建设单位要求，本项目使用《建设工程工程量清单计价规范》(GB50500-2013)及其9本工程量计算规范。</w:t>
      </w:r>
    </w:p>
    <w:p w14:paraId="7888BBF8">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扬州市现行的不可竞争费用内容及标准。</w:t>
      </w:r>
    </w:p>
    <w:p w14:paraId="1FC82DE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扬州市安全生产、文明施工的相关规定。</w:t>
      </w:r>
    </w:p>
    <w:p w14:paraId="4B8582A2">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与本工程相关的现行设计、施工规范和标准图集、造价文件等。</w:t>
      </w:r>
    </w:p>
    <w:p w14:paraId="5C084802">
      <w:pPr>
        <w:pStyle w:val="11"/>
        <w:numPr>
          <w:ilvl w:val="0"/>
          <w:numId w:val="1"/>
        </w:numPr>
        <w:spacing w:line="460" w:lineRule="exact"/>
        <w:ind w:firstLineChars="0"/>
        <w:jc w:val="left"/>
        <w:rPr>
          <w:rFonts w:hint="eastAsia" w:ascii="宋体" w:hAnsi="宋体"/>
          <w:b/>
          <w:sz w:val="24"/>
          <w:szCs w:val="24"/>
        </w:rPr>
      </w:pPr>
      <w:r>
        <w:rPr>
          <w:rFonts w:hint="eastAsia" w:ascii="宋体" w:hAnsi="宋体"/>
          <w:b/>
          <w:sz w:val="24"/>
          <w:szCs w:val="24"/>
        </w:rPr>
        <w:t>编制说明</w:t>
      </w:r>
    </w:p>
    <w:p w14:paraId="1C3910FD">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一般说明</w:t>
      </w:r>
    </w:p>
    <w:p w14:paraId="76D0A17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施工现场情况：以现场踏勘情况为准。</w:t>
      </w:r>
    </w:p>
    <w:p w14:paraId="5414A55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交通运输情况：以现场踏勘情况为准。</w:t>
      </w:r>
    </w:p>
    <w:p w14:paraId="65D9D05F">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环境保护要求：满足省、市及当地政府对环境保护的相关要求和规定。</w:t>
      </w:r>
    </w:p>
    <w:p w14:paraId="1C662AFD">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本工程投标报价按《建设工程工程量清单计价规范》和相应计算规范的规定及要求，使用表格及格式按《建设工程工程量清单计价规范》要求执行。</w:t>
      </w:r>
    </w:p>
    <w:p w14:paraId="554CB871">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工程量清单中的每一个项目，都需填入综合单价及合价。</w:t>
      </w:r>
    </w:p>
    <w:p w14:paraId="0C9FC05B">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本工程量清单中的分部分项工程量及措施项目工程量均是根据本工程施工图、按照“工程量计算规范”或本项目清单总说明中的规定进行计算的，仅作为施工企业投标报价的共同基础，不能作为最终结算与支付价款的依据。</w:t>
      </w:r>
    </w:p>
    <w:p w14:paraId="0691F41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工程量清单及其计价格式中的任何内容不得随意删除或涂改，若有错误，在招标答疑时及时提出，以“补遗”资料为准。</w:t>
      </w:r>
    </w:p>
    <w:p w14:paraId="21113D6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分部分项工程量清单中对工程项目的项目特征及具体做法制作重点描述，详细情况见施工图设计、技术说明及相关标准图集。组价时应结合投标人现场勘查情况包括完成所有工序工作内容的全部费用。</w:t>
      </w:r>
    </w:p>
    <w:p w14:paraId="0F7E797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清单项目特征中备注“清单量同定额量”的，是指清单工程量按《江苏省建筑与装饰工程计价定额》（2014年）中相应计算规则计算。</w:t>
      </w:r>
    </w:p>
    <w:p w14:paraId="51058819">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投标人可根据工程实际与施工组织设计进行增补措施项目，但不得更改本清单中已列措施项目。结算时，除工程变更引起施工方案改变外，承包人不得以招标工程措施项目清单缺项为由要求新增措施项目。</w:t>
      </w:r>
    </w:p>
    <w:p w14:paraId="73E43D52">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本说明中对设计内容进行的调整、补充和暂考虑的做法等仅为工程量清单和最高投标报价编制时暂定的内容，不构成设计变更。</w:t>
      </w:r>
    </w:p>
    <w:p w14:paraId="23BD7E49">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分部分项说明</w:t>
      </w:r>
    </w:p>
    <w:p w14:paraId="78A3374F">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钢结构雨棚拆除路面按照20cm厚考虑。</w:t>
      </w:r>
    </w:p>
    <w:p w14:paraId="58D339BC">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窗帘按照单层布艺窗帘考虑，按照覆盖面积计算，含窗帘轨道，褶皱系数综合考虑在投标报价内。</w:t>
      </w:r>
    </w:p>
    <w:p w14:paraId="47E9BF5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室内油漆的桌椅移位及复位，墙面装饰的拆除与复位，防护等费用投标人综合考虑，结算不做调整。</w:t>
      </w:r>
    </w:p>
    <w:p w14:paraId="72F96503">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停车棚地面拆除按照15cm垫层+5cm面包砖考虑，停车棚占地内的绿化迁移按实结算。</w:t>
      </w:r>
    </w:p>
    <w:p w14:paraId="507AD0E1">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钢结构雨棚的路面恢复按照20cmC30混凝土路面+5cm细沥青</w:t>
      </w:r>
      <w:r>
        <w:rPr>
          <w:rFonts w:hint="eastAsia" w:ascii="宋体" w:hAnsi="宋体"/>
          <w:bCs/>
          <w:sz w:val="24"/>
          <w:szCs w:val="24"/>
          <w:lang w:val="en-US" w:eastAsia="zh-CN"/>
        </w:rPr>
        <w:t>恢复</w:t>
      </w:r>
      <w:bookmarkStart w:id="2" w:name="_GoBack"/>
      <w:bookmarkEnd w:id="2"/>
      <w:r>
        <w:rPr>
          <w:rFonts w:hint="eastAsia" w:ascii="宋体" w:hAnsi="宋体"/>
          <w:bCs/>
          <w:sz w:val="24"/>
          <w:szCs w:val="24"/>
        </w:rPr>
        <w:t>原样考虑。</w:t>
      </w:r>
    </w:p>
    <w:p w14:paraId="464B435E">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钢结构雨篷涂料做法参考停车棚涂料做法。</w:t>
      </w:r>
    </w:p>
    <w:p w14:paraId="5A57B7BB">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钢结构雨棚屋面做法按照50mm夹心彩钢板考虑。</w:t>
      </w:r>
    </w:p>
    <w:p w14:paraId="4951D786">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悬浮地板按照1.3cm厚考虑，地面处理费用投标报价综合考虑。</w:t>
      </w:r>
    </w:p>
    <w:p w14:paraId="1771C4D2">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停车棚地面恢复按照15cmC30混凝土垫层+5cm面包砖考虑。</w:t>
      </w:r>
    </w:p>
    <w:p w14:paraId="79534E0E">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拆除围墙按照长度计算，砖柱、围墙基础、铁艺栏杆等拆除综合考虑在报价中，拆除残值投标人综合考虑在报价中。</w:t>
      </w:r>
    </w:p>
    <w:p w14:paraId="2B155C3A">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智能化清单按照设计提供的智能化清单编制。</w:t>
      </w:r>
    </w:p>
    <w:p w14:paraId="206C58B7">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措施项目说明</w:t>
      </w:r>
    </w:p>
    <w:p w14:paraId="00D7765C">
      <w:pPr>
        <w:pStyle w:val="11"/>
        <w:numPr>
          <w:ilvl w:val="2"/>
          <w:numId w:val="1"/>
        </w:numPr>
        <w:spacing w:line="460" w:lineRule="exact"/>
        <w:ind w:firstLineChars="0"/>
        <w:jc w:val="left"/>
        <w:rPr>
          <w:rFonts w:hint="eastAsia" w:ascii="宋体" w:hAnsi="宋体"/>
          <w:bCs/>
          <w:sz w:val="24"/>
          <w:szCs w:val="24"/>
        </w:rPr>
      </w:pPr>
      <w:r>
        <w:rPr>
          <w:rFonts w:hint="eastAsia" w:ascii="宋体" w:hAnsi="宋体"/>
          <w:bCs/>
          <w:sz w:val="24"/>
          <w:szCs w:val="24"/>
        </w:rPr>
        <w:t>总价措施费</w:t>
      </w:r>
    </w:p>
    <w:p w14:paraId="015D698E">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总价措施费中的安全文明施工费和工程按质论价费为不可竞争费，必须按招标清单中列明的费率进行报价；其他总价措施费由投标人自行考虑，以费率报价。</w:t>
      </w:r>
    </w:p>
    <w:p w14:paraId="32FDC414">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安全文明施工费：按《江苏省建设工程费用定额》（</w:t>
      </w:r>
      <w:r>
        <w:rPr>
          <w:rFonts w:ascii="宋体" w:hAnsi="宋体"/>
          <w:bCs/>
          <w:sz w:val="24"/>
          <w:szCs w:val="24"/>
        </w:rPr>
        <w:t>2014年）营改增后调整内容中规定的相应费率计算，其中增加费</w:t>
      </w:r>
      <w:r>
        <w:rPr>
          <w:rFonts w:hint="eastAsia" w:ascii="宋体" w:hAnsi="宋体"/>
          <w:bCs/>
          <w:sz w:val="24"/>
          <w:szCs w:val="24"/>
        </w:rPr>
        <w:t>不计算。</w:t>
      </w:r>
      <w:r>
        <w:rPr>
          <w:rFonts w:ascii="宋体" w:hAnsi="宋体"/>
          <w:bCs/>
          <w:sz w:val="24"/>
          <w:szCs w:val="24"/>
        </w:rPr>
        <w:t>安全文明施工费结算时按造价管理部门核定的费率调整，未经核定，不得计算。</w:t>
      </w:r>
    </w:p>
    <w:p w14:paraId="352B6D17">
      <w:pPr>
        <w:pStyle w:val="11"/>
        <w:numPr>
          <w:ilvl w:val="2"/>
          <w:numId w:val="1"/>
        </w:numPr>
        <w:spacing w:line="460" w:lineRule="exact"/>
        <w:ind w:firstLineChars="0"/>
        <w:jc w:val="left"/>
        <w:rPr>
          <w:rFonts w:hint="eastAsia" w:ascii="宋体" w:hAnsi="宋体"/>
          <w:bCs/>
          <w:sz w:val="24"/>
          <w:szCs w:val="24"/>
        </w:rPr>
      </w:pPr>
      <w:r>
        <w:rPr>
          <w:rFonts w:hint="eastAsia" w:ascii="宋体" w:hAnsi="宋体"/>
          <w:bCs/>
          <w:sz w:val="24"/>
          <w:szCs w:val="24"/>
        </w:rPr>
        <w:t xml:space="preserve">单价措施费 </w:t>
      </w:r>
    </w:p>
    <w:p w14:paraId="44AA1AE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脚手架。按常规施工组织方案设置工程量清单并计价。</w:t>
      </w:r>
    </w:p>
    <w:p w14:paraId="28C172B1">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模板工程。按常规施工组织方案设置工程量清单并计价。</w:t>
      </w:r>
    </w:p>
    <w:p w14:paraId="61A0691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大型机械进退场费用投标人综合考虑，结算时不做调整。</w:t>
      </w:r>
    </w:p>
    <w:p w14:paraId="6B49790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垂直运输费用投标人综合考虑，结算时不做调整。</w:t>
      </w:r>
    </w:p>
    <w:p w14:paraId="78AD9AB7">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其他项目</w:t>
      </w:r>
    </w:p>
    <w:p w14:paraId="7CF0C605">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暂列金额：根据建设单位意见按分部分项的10%作为暂列金。</w:t>
      </w:r>
    </w:p>
    <w:p w14:paraId="0D535137">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计日工：无。</w:t>
      </w:r>
    </w:p>
    <w:p w14:paraId="7E2E35F3">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总承包服务费：无。</w:t>
      </w:r>
    </w:p>
    <w:p w14:paraId="2C1BC467">
      <w:pPr>
        <w:pStyle w:val="11"/>
        <w:numPr>
          <w:ilvl w:val="1"/>
          <w:numId w:val="1"/>
        </w:numPr>
        <w:spacing w:line="460" w:lineRule="exact"/>
        <w:ind w:firstLineChars="0"/>
        <w:jc w:val="left"/>
        <w:rPr>
          <w:rFonts w:hint="eastAsia" w:ascii="宋体" w:hAnsi="宋体"/>
          <w:bCs/>
          <w:sz w:val="24"/>
          <w:szCs w:val="24"/>
        </w:rPr>
      </w:pPr>
      <w:r>
        <w:rPr>
          <w:rFonts w:hint="eastAsia" w:ascii="宋体" w:hAnsi="宋体"/>
          <w:bCs/>
          <w:sz w:val="24"/>
          <w:szCs w:val="24"/>
        </w:rPr>
        <w:t>规费和税金</w:t>
      </w:r>
    </w:p>
    <w:p w14:paraId="3F5B1F48">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规费：为不可竞争费，必须按招标清单中列明的费率进行报价。</w:t>
      </w:r>
    </w:p>
    <w:p w14:paraId="36152643">
      <w:pPr>
        <w:pStyle w:val="11"/>
        <w:numPr>
          <w:ilvl w:val="4"/>
          <w:numId w:val="1"/>
        </w:numPr>
        <w:spacing w:line="460" w:lineRule="exact"/>
        <w:ind w:firstLineChars="0"/>
        <w:jc w:val="left"/>
        <w:rPr>
          <w:rFonts w:hint="eastAsia" w:ascii="宋体" w:hAnsi="宋体"/>
          <w:bCs/>
          <w:sz w:val="24"/>
          <w:szCs w:val="24"/>
        </w:rPr>
      </w:pPr>
      <w:r>
        <w:rPr>
          <w:rFonts w:hint="eastAsia" w:ascii="宋体" w:hAnsi="宋体"/>
          <w:bCs/>
          <w:sz w:val="24"/>
          <w:szCs w:val="24"/>
        </w:rPr>
        <w:t>环境保护税：不计取，由甲方自行缴纳。</w:t>
      </w:r>
    </w:p>
    <w:p w14:paraId="5EE0A944">
      <w:pPr>
        <w:pStyle w:val="11"/>
        <w:numPr>
          <w:ilvl w:val="4"/>
          <w:numId w:val="1"/>
        </w:numPr>
        <w:spacing w:line="460" w:lineRule="exact"/>
        <w:ind w:firstLineChars="0"/>
        <w:jc w:val="left"/>
        <w:rPr>
          <w:rFonts w:hint="eastAsia" w:ascii="宋体" w:hAnsi="宋体"/>
          <w:bCs/>
          <w:sz w:val="24"/>
          <w:szCs w:val="24"/>
        </w:rPr>
      </w:pPr>
      <w:r>
        <w:rPr>
          <w:rFonts w:hint="eastAsia" w:ascii="宋体" w:hAnsi="宋体"/>
          <w:bCs/>
          <w:sz w:val="24"/>
          <w:szCs w:val="24"/>
        </w:rPr>
        <w:t>社会保险费：按规定费率计取。</w:t>
      </w:r>
    </w:p>
    <w:p w14:paraId="4B15D52E">
      <w:pPr>
        <w:pStyle w:val="11"/>
        <w:numPr>
          <w:ilvl w:val="4"/>
          <w:numId w:val="1"/>
        </w:numPr>
        <w:spacing w:line="460" w:lineRule="exact"/>
        <w:ind w:firstLineChars="0"/>
        <w:jc w:val="left"/>
        <w:rPr>
          <w:rFonts w:hint="eastAsia" w:ascii="宋体" w:hAnsi="宋体"/>
          <w:bCs/>
          <w:sz w:val="24"/>
          <w:szCs w:val="24"/>
        </w:rPr>
      </w:pPr>
      <w:r>
        <w:rPr>
          <w:rFonts w:hint="eastAsia" w:ascii="宋体" w:hAnsi="宋体"/>
          <w:bCs/>
          <w:sz w:val="24"/>
          <w:szCs w:val="24"/>
        </w:rPr>
        <w:t>住房公积金：按规定费率计取。</w:t>
      </w:r>
    </w:p>
    <w:p w14:paraId="0329B830">
      <w:pPr>
        <w:pStyle w:val="11"/>
        <w:numPr>
          <w:ilvl w:val="3"/>
          <w:numId w:val="1"/>
        </w:numPr>
        <w:spacing w:line="460" w:lineRule="exact"/>
        <w:ind w:firstLineChars="0"/>
        <w:jc w:val="left"/>
        <w:rPr>
          <w:rFonts w:hint="eastAsia" w:ascii="宋体" w:hAnsi="宋体"/>
          <w:bCs/>
          <w:sz w:val="24"/>
          <w:szCs w:val="24"/>
        </w:rPr>
      </w:pPr>
      <w:r>
        <w:rPr>
          <w:rFonts w:hint="eastAsia" w:ascii="宋体" w:hAnsi="宋体"/>
          <w:bCs/>
          <w:sz w:val="24"/>
          <w:szCs w:val="24"/>
        </w:rPr>
        <w:t xml:space="preserve"> 税金：按一般计税法（税率</w:t>
      </w:r>
      <w:r>
        <w:rPr>
          <w:rFonts w:ascii="宋体" w:hAnsi="宋体"/>
          <w:bCs/>
          <w:sz w:val="24"/>
          <w:szCs w:val="24"/>
        </w:rPr>
        <w:t>9%），为不可竞争费，必须按招标清单中列明的费率进行报价。</w:t>
      </w:r>
    </w:p>
    <w:bookmarkEnd w:id="1"/>
    <w:p w14:paraId="6E1BF9A1">
      <w:pPr>
        <w:pStyle w:val="11"/>
        <w:numPr>
          <w:ilvl w:val="1"/>
          <w:numId w:val="1"/>
        </w:numPr>
        <w:spacing w:line="460" w:lineRule="exact"/>
        <w:ind w:firstLineChars="0"/>
        <w:jc w:val="left"/>
        <w:rPr>
          <w:rFonts w:ascii="宋体" w:hAnsi="宋体"/>
          <w:bCs/>
          <w:sz w:val="24"/>
          <w:szCs w:val="24"/>
        </w:rPr>
      </w:pPr>
      <w:r>
        <w:rPr>
          <w:rFonts w:hint="eastAsia" w:ascii="宋体" w:hAnsi="宋体"/>
          <w:bCs/>
          <w:sz w:val="24"/>
          <w:szCs w:val="24"/>
        </w:rPr>
        <w:t>主要材料推荐品牌及规格：详见招标文件。</w:t>
      </w:r>
    </w:p>
    <w:p w14:paraId="7F3028BB">
      <w:pPr>
        <w:pStyle w:val="11"/>
        <w:numPr>
          <w:ilvl w:val="0"/>
          <w:numId w:val="0"/>
        </w:numPr>
        <w:spacing w:line="460" w:lineRule="exact"/>
        <w:ind w:left="567" w:leftChars="0"/>
        <w:jc w:val="left"/>
        <w:rPr>
          <w:rFonts w:hint="eastAsia" w:ascii="宋体" w:hAnsi="宋体"/>
          <w:bCs/>
          <w:sz w:val="24"/>
          <w:szCs w:val="24"/>
        </w:rPr>
      </w:pPr>
    </w:p>
    <w:sectPr>
      <w:headerReference r:id="rId3" w:type="default"/>
      <w:type w:val="continuous"/>
      <w:pgSz w:w="11906" w:h="16838"/>
      <w:pgMar w:top="1440" w:right="1797" w:bottom="1440" w:left="1797" w:header="851" w:footer="624" w:gutter="0"/>
      <w:paperSrc w:first="1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07719">
    <w:pPr>
      <w:pStyle w:val="4"/>
      <w:tabs>
        <w:tab w:val="right" w:pos="8312"/>
        <w:tab w:val="clear" w:pos="8306"/>
      </w:tabs>
      <w:rPr>
        <w:rFonts w:hint="eastAsia" w:ascii="宋体" w:hAnsi="宋体" w:eastAsia="宋体"/>
        <w:b/>
        <w:bCs/>
        <w:sz w:val="36"/>
        <w:szCs w:val="36"/>
      </w:rPr>
    </w:pPr>
    <w:r>
      <w:rPr>
        <w:rFonts w:hint="eastAsia" w:ascii="宋体" w:hAnsi="宋体" w:eastAsia="宋体"/>
        <w:b/>
        <w:bCs/>
        <w:sz w:val="36"/>
        <w:szCs w:val="36"/>
      </w:rPr>
      <w:t>工程量清单总说明</w:t>
    </w:r>
  </w:p>
  <w:p w14:paraId="022B376E">
    <w:pPr>
      <w:pStyle w:val="4"/>
      <w:tabs>
        <w:tab w:val="right" w:pos="8312"/>
        <w:tab w:val="clear" w:pos="8306"/>
      </w:tabs>
      <w:jc w:val="left"/>
      <w:rPr>
        <w:rFonts w:hint="eastAsia" w:ascii="宋体" w:hAnsi="宋体" w:eastAsia="宋体"/>
        <w:b/>
        <w:bCs/>
        <w:sz w:val="21"/>
        <w:szCs w:val="21"/>
      </w:rPr>
    </w:pPr>
    <w:r>
      <mc:AlternateContent>
        <mc:Choice Requires="wps">
          <w:drawing>
            <wp:anchor distT="0" distB="0" distL="114300" distR="114300" simplePos="0" relativeHeight="251659264" behindDoc="1" locked="0" layoutInCell="1" allowOverlap="1">
              <wp:simplePos x="0" y="0"/>
              <wp:positionH relativeFrom="column">
                <wp:posOffset>4283710</wp:posOffset>
              </wp:positionH>
              <wp:positionV relativeFrom="paragraph">
                <wp:posOffset>130810</wp:posOffset>
              </wp:positionV>
              <wp:extent cx="1120140" cy="266700"/>
              <wp:effectExtent l="0" t="0" r="3810" b="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20442" cy="266700"/>
                      </a:xfrm>
                      <a:prstGeom prst="rect">
                        <a:avLst/>
                      </a:prstGeom>
                      <a:solidFill>
                        <a:srgbClr val="FFFFFF"/>
                      </a:solidFill>
                      <a:ln w="9525">
                        <a:noFill/>
                        <a:miter lim="800000"/>
                      </a:ln>
                    </wps:spPr>
                    <wps:txbx>
                      <w:txbxContent>
                        <w:p w14:paraId="7DAF5FA4">
                          <w:pPr>
                            <w:jc w:val="right"/>
                            <w:rPr>
                              <w:rFonts w:hint="eastAsia"/>
                            </w:rPr>
                          </w:pPr>
                          <w:sdt>
                            <w:sdtPr>
                              <w:id w:val="-1474055308"/>
                            </w:sdtPr>
                            <w:sdtEndPr>
                              <w:rPr>
                                <w:rFonts w:ascii="宋体" w:hAnsi="宋体" w:eastAsia="宋体"/>
                                <w:b/>
                                <w:bCs/>
                                <w:szCs w:val="21"/>
                              </w:rPr>
                            </w:sdtEndPr>
                            <w:sdtContent>
                              <w:r>
                                <w:rPr>
                                  <w:rFonts w:hint="eastAsia" w:ascii="宋体" w:hAnsi="宋体" w:eastAsia="宋体"/>
                                  <w:b/>
                                  <w:bCs/>
                                  <w:szCs w:val="21"/>
                                </w:rPr>
                                <w:t>第</w:t>
                              </w:r>
                              <w:r>
                                <w:rPr>
                                  <w:rFonts w:ascii="宋体" w:hAnsi="宋体" w:eastAsia="宋体"/>
                                  <w:b/>
                                  <w:bCs/>
                                  <w:szCs w:val="21"/>
                                </w:rPr>
                                <w:fldChar w:fldCharType="begin"/>
                              </w:r>
                              <w:r>
                                <w:rPr>
                                  <w:rFonts w:ascii="宋体" w:hAnsi="宋体" w:eastAsia="宋体"/>
                                  <w:b/>
                                  <w:bCs/>
                                  <w:szCs w:val="21"/>
                                </w:rPr>
                                <w:instrText xml:space="preserve">PAGE</w:instrText>
                              </w:r>
                              <w:r>
                                <w:rPr>
                                  <w:rFonts w:ascii="宋体" w:hAnsi="宋体" w:eastAsia="宋体"/>
                                  <w:b/>
                                  <w:bCs/>
                                  <w:szCs w:val="21"/>
                                </w:rPr>
                                <w:fldChar w:fldCharType="separate"/>
                              </w:r>
                              <w:r>
                                <w:rPr>
                                  <w:rFonts w:ascii="宋体" w:hAnsi="宋体"/>
                                  <w:b/>
                                  <w:bCs/>
                                  <w:szCs w:val="21"/>
                                </w:rPr>
                                <w:t>1</w:t>
                              </w:r>
                              <w:r>
                                <w:rPr>
                                  <w:rFonts w:ascii="宋体" w:hAnsi="宋体" w:eastAsia="宋体"/>
                                  <w:b/>
                                  <w:bCs/>
                                  <w:szCs w:val="21"/>
                                </w:rPr>
                                <w:fldChar w:fldCharType="end"/>
                              </w:r>
                              <w:r>
                                <w:rPr>
                                  <w:rFonts w:hint="eastAsia" w:ascii="宋体" w:hAnsi="宋体" w:eastAsia="宋体"/>
                                  <w:b/>
                                  <w:bCs/>
                                  <w:szCs w:val="21"/>
                                </w:rPr>
                                <w:t>页</w:t>
                              </w:r>
                              <w:r>
                                <w:rPr>
                                  <w:rFonts w:hint="eastAsia" w:ascii="宋体" w:hAnsi="宋体" w:eastAsia="宋体"/>
                                  <w:b/>
                                  <w:bCs/>
                                  <w:szCs w:val="21"/>
                                  <w:lang w:val="zh-CN"/>
                                </w:rPr>
                                <w:t>共</w:t>
                              </w:r>
                              <w:r>
                                <w:rPr>
                                  <w:rFonts w:ascii="宋体" w:hAnsi="宋体" w:eastAsia="宋体"/>
                                  <w:b/>
                                  <w:bCs/>
                                  <w:szCs w:val="21"/>
                                </w:rPr>
                                <w:fldChar w:fldCharType="begin"/>
                              </w:r>
                              <w:r>
                                <w:rPr>
                                  <w:rFonts w:ascii="宋体" w:hAnsi="宋体" w:eastAsia="宋体"/>
                                  <w:b/>
                                  <w:bCs/>
                                  <w:szCs w:val="21"/>
                                </w:rPr>
                                <w:instrText xml:space="preserve">NUMPAGES</w:instrText>
                              </w:r>
                              <w:r>
                                <w:rPr>
                                  <w:rFonts w:ascii="宋体" w:hAnsi="宋体" w:eastAsia="宋体"/>
                                  <w:b/>
                                  <w:bCs/>
                                  <w:szCs w:val="21"/>
                                </w:rPr>
                                <w:fldChar w:fldCharType="separate"/>
                              </w:r>
                              <w:r>
                                <w:rPr>
                                  <w:rFonts w:ascii="宋体" w:hAnsi="宋体"/>
                                  <w:b/>
                                  <w:bCs/>
                                  <w:szCs w:val="21"/>
                                </w:rPr>
                                <w:t>9</w:t>
                              </w:r>
                              <w:r>
                                <w:rPr>
                                  <w:rFonts w:ascii="宋体" w:hAnsi="宋体" w:eastAsia="宋体"/>
                                  <w:b/>
                                  <w:bCs/>
                                  <w:szCs w:val="21"/>
                                </w:rPr>
                                <w:fldChar w:fldCharType="end"/>
                              </w:r>
                              <w:r>
                                <w:rPr>
                                  <w:rFonts w:hint="eastAsia" w:ascii="宋体" w:hAnsi="宋体" w:eastAsia="宋体"/>
                                  <w:b/>
                                  <w:bCs/>
                                  <w:szCs w:val="21"/>
                                </w:rPr>
                                <w:t>页</w:t>
                              </w:r>
                            </w:sdtContent>
                          </w:sdt>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337.3pt;margin-top:10.3pt;height:21pt;width:88.2pt;z-index:-251657216;mso-width-relative:page;mso-height-relative:page;" fillcolor="#FFFFFF" filled="t" stroked="f" coordsize="21600,21600" o:gfxdata="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iesoD1wAAAAkBAAAPAAAAAAAAAAEAIAAAACIAAABkcnMvZG93&#10;bnJldi54bWxQSwECFAAUAAAACACHTuJA64s27zoCAABUBAAADgAAAAAAAAABACAAAAAmAQAAZHJz&#10;L2Uyb0RvYy54bWxQSwUGAAAAAAYABgBZAQAA0gUAAAAA&#10;">
              <v:fill on="t" focussize="0,0"/>
              <v:stroke on="f" miterlimit="8" joinstyle="miter"/>
              <v:imagedata o:title=""/>
              <o:lock v:ext="edit" aspectratio="f"/>
              <v:textbox>
                <w:txbxContent>
                  <w:p w14:paraId="7DAF5FA4">
                    <w:pPr>
                      <w:jc w:val="right"/>
                      <w:rPr>
                        <w:rFonts w:hint="eastAsia"/>
                      </w:rPr>
                    </w:pPr>
                    <w:sdt>
                      <w:sdtPr>
                        <w:id w:val="-1474055308"/>
                      </w:sdtPr>
                      <w:sdtEndPr>
                        <w:rPr>
                          <w:rFonts w:ascii="宋体" w:hAnsi="宋体" w:eastAsia="宋体"/>
                          <w:b/>
                          <w:bCs/>
                          <w:szCs w:val="21"/>
                        </w:rPr>
                      </w:sdtEndPr>
                      <w:sdtContent>
                        <w:r>
                          <w:rPr>
                            <w:rFonts w:hint="eastAsia" w:ascii="宋体" w:hAnsi="宋体" w:eastAsia="宋体"/>
                            <w:b/>
                            <w:bCs/>
                            <w:szCs w:val="21"/>
                          </w:rPr>
                          <w:t>第</w:t>
                        </w:r>
                        <w:r>
                          <w:rPr>
                            <w:rFonts w:ascii="宋体" w:hAnsi="宋体" w:eastAsia="宋体"/>
                            <w:b/>
                            <w:bCs/>
                            <w:szCs w:val="21"/>
                          </w:rPr>
                          <w:fldChar w:fldCharType="begin"/>
                        </w:r>
                        <w:r>
                          <w:rPr>
                            <w:rFonts w:ascii="宋体" w:hAnsi="宋体" w:eastAsia="宋体"/>
                            <w:b/>
                            <w:bCs/>
                            <w:szCs w:val="21"/>
                          </w:rPr>
                          <w:instrText xml:space="preserve">PAGE</w:instrText>
                        </w:r>
                        <w:r>
                          <w:rPr>
                            <w:rFonts w:ascii="宋体" w:hAnsi="宋体" w:eastAsia="宋体"/>
                            <w:b/>
                            <w:bCs/>
                            <w:szCs w:val="21"/>
                          </w:rPr>
                          <w:fldChar w:fldCharType="separate"/>
                        </w:r>
                        <w:r>
                          <w:rPr>
                            <w:rFonts w:ascii="宋体" w:hAnsi="宋体"/>
                            <w:b/>
                            <w:bCs/>
                            <w:szCs w:val="21"/>
                          </w:rPr>
                          <w:t>1</w:t>
                        </w:r>
                        <w:r>
                          <w:rPr>
                            <w:rFonts w:ascii="宋体" w:hAnsi="宋体" w:eastAsia="宋体"/>
                            <w:b/>
                            <w:bCs/>
                            <w:szCs w:val="21"/>
                          </w:rPr>
                          <w:fldChar w:fldCharType="end"/>
                        </w:r>
                        <w:r>
                          <w:rPr>
                            <w:rFonts w:hint="eastAsia" w:ascii="宋体" w:hAnsi="宋体" w:eastAsia="宋体"/>
                            <w:b/>
                            <w:bCs/>
                            <w:szCs w:val="21"/>
                          </w:rPr>
                          <w:t>页</w:t>
                        </w:r>
                        <w:r>
                          <w:rPr>
                            <w:rFonts w:hint="eastAsia" w:ascii="宋体" w:hAnsi="宋体" w:eastAsia="宋体"/>
                            <w:b/>
                            <w:bCs/>
                            <w:szCs w:val="21"/>
                            <w:lang w:val="zh-CN"/>
                          </w:rPr>
                          <w:t>共</w:t>
                        </w:r>
                        <w:r>
                          <w:rPr>
                            <w:rFonts w:ascii="宋体" w:hAnsi="宋体" w:eastAsia="宋体"/>
                            <w:b/>
                            <w:bCs/>
                            <w:szCs w:val="21"/>
                          </w:rPr>
                          <w:fldChar w:fldCharType="begin"/>
                        </w:r>
                        <w:r>
                          <w:rPr>
                            <w:rFonts w:ascii="宋体" w:hAnsi="宋体" w:eastAsia="宋体"/>
                            <w:b/>
                            <w:bCs/>
                            <w:szCs w:val="21"/>
                          </w:rPr>
                          <w:instrText xml:space="preserve">NUMPAGES</w:instrText>
                        </w:r>
                        <w:r>
                          <w:rPr>
                            <w:rFonts w:ascii="宋体" w:hAnsi="宋体" w:eastAsia="宋体"/>
                            <w:b/>
                            <w:bCs/>
                            <w:szCs w:val="21"/>
                          </w:rPr>
                          <w:fldChar w:fldCharType="separate"/>
                        </w:r>
                        <w:r>
                          <w:rPr>
                            <w:rFonts w:ascii="宋体" w:hAnsi="宋体"/>
                            <w:b/>
                            <w:bCs/>
                            <w:szCs w:val="21"/>
                          </w:rPr>
                          <w:t>9</w:t>
                        </w:r>
                        <w:r>
                          <w:rPr>
                            <w:rFonts w:ascii="宋体" w:hAnsi="宋体" w:eastAsia="宋体"/>
                            <w:b/>
                            <w:bCs/>
                            <w:szCs w:val="21"/>
                          </w:rPr>
                          <w:fldChar w:fldCharType="end"/>
                        </w:r>
                        <w:r>
                          <w:rPr>
                            <w:rFonts w:hint="eastAsia" w:ascii="宋体" w:hAnsi="宋体" w:eastAsia="宋体"/>
                            <w:b/>
                            <w:bCs/>
                            <w:szCs w:val="21"/>
                          </w:rPr>
                          <w:t>页</w:t>
                        </w:r>
                      </w:sdtContent>
                    </w:sdt>
                  </w:p>
                </w:txbxContent>
              </v:textbox>
            </v:shape>
          </w:pict>
        </mc:Fallback>
      </mc:AlternateContent>
    </w:r>
  </w:p>
  <w:p w14:paraId="7C4F7089">
    <w:pPr>
      <w:pStyle w:val="4"/>
      <w:tabs>
        <w:tab w:val="left" w:pos="7050"/>
        <w:tab w:val="right" w:pos="8312"/>
        <w:tab w:val="clear" w:pos="8306"/>
      </w:tabs>
      <w:jc w:val="left"/>
      <w:rPr>
        <w:rFonts w:hint="eastAsia" w:ascii="宋体" w:hAnsi="宋体" w:eastAsia="宋体"/>
        <w:b/>
        <w:bCs/>
        <w:sz w:val="21"/>
        <w:szCs w:val="21"/>
      </w:rPr>
    </w:pPr>
    <w:r>
      <w:rPr>
        <w:rFonts w:hint="eastAsia" w:ascii="宋体" w:hAnsi="宋体" w:eastAsia="宋体"/>
        <w:b/>
        <w:bCs/>
        <w:sz w:val="21"/>
        <w:szCs w:val="21"/>
      </w:rPr>
      <w:t>项目名称：</w:t>
    </w:r>
    <w:r>
      <w:rPr>
        <w:rFonts w:hint="eastAsia" w:ascii="宋体" w:hAnsi="宋体" w:eastAsia="宋体"/>
        <w:b/>
        <w:bCs/>
        <w:sz w:val="21"/>
        <w:szCs w:val="21"/>
        <w:lang w:eastAsia="zh-CN"/>
      </w:rPr>
      <w:t>杨庙小学改造（杨庙片区布局优化）工程</w:t>
    </w:r>
    <w:r>
      <w:rPr>
        <w:rFonts w:ascii="宋体" w:hAnsi="宋体" w:eastAsia="宋体"/>
        <w:b/>
        <w:bCs/>
        <w:sz w:val="21"/>
        <w:szCs w:val="21"/>
      </w:rPr>
      <w:tab/>
    </w:r>
    <w:r>
      <w:rPr>
        <w:rFonts w:ascii="宋体" w:hAnsi="宋体" w:eastAsia="宋体"/>
        <w:b/>
        <w:bCs/>
        <w:sz w:val="21"/>
        <w:szCs w:val="21"/>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42AE8"/>
    <w:multiLevelType w:val="multilevel"/>
    <w:tmpl w:val="22042AE8"/>
    <w:lvl w:ilvl="0" w:tentative="0">
      <w:start w:val="1"/>
      <w:numFmt w:val="chineseCountingThousand"/>
      <w:suff w:val="nothing"/>
      <w:lvlText w:val="%1、"/>
      <w:lvlJc w:val="left"/>
      <w:pPr>
        <w:ind w:left="0" w:firstLine="567"/>
      </w:pPr>
      <w:rPr>
        <w:rFonts w:hint="eastAsia"/>
        <w:sz w:val="24"/>
        <w:szCs w:val="24"/>
      </w:rPr>
    </w:lvl>
    <w:lvl w:ilvl="1" w:tentative="0">
      <w:start w:val="1"/>
      <w:numFmt w:val="chineseCountingThousand"/>
      <w:suff w:val="nothing"/>
      <w:lvlText w:val="（%2）"/>
      <w:lvlJc w:val="left"/>
      <w:pPr>
        <w:ind w:left="0" w:firstLine="567"/>
      </w:pPr>
      <w:rPr>
        <w:rFonts w:hint="eastAsia"/>
        <w:sz w:val="24"/>
        <w:szCs w:val="24"/>
      </w:rPr>
    </w:lvl>
    <w:lvl w:ilvl="2" w:tentative="0">
      <w:start w:val="1"/>
      <w:numFmt w:val="decimal"/>
      <w:suff w:val="nothing"/>
      <w:lvlText w:val="（%2 .%3）"/>
      <w:lvlJc w:val="left"/>
      <w:pPr>
        <w:ind w:left="0" w:firstLine="567"/>
      </w:pPr>
      <w:rPr>
        <w:rFonts w:hint="eastAsia"/>
        <w:b w:val="0"/>
        <w:i w:val="0"/>
        <w:sz w:val="24"/>
        <w:szCs w:val="24"/>
      </w:rPr>
    </w:lvl>
    <w:lvl w:ilvl="3" w:tentative="0">
      <w:start w:val="1"/>
      <w:numFmt w:val="decimal"/>
      <w:suff w:val="space"/>
      <w:lvlText w:val="%4."/>
      <w:lvlJc w:val="left"/>
      <w:pPr>
        <w:ind w:left="0" w:firstLine="567"/>
      </w:pPr>
      <w:rPr>
        <w:rFonts w:hint="eastAsia"/>
      </w:rPr>
    </w:lvl>
    <w:lvl w:ilvl="4" w:tentative="0">
      <w:start w:val="1"/>
      <w:numFmt w:val="decimal"/>
      <w:suff w:val="space"/>
      <w:lvlText w:val="%4.%5."/>
      <w:lvlJc w:val="left"/>
      <w:pPr>
        <w:ind w:left="0" w:firstLine="567"/>
      </w:pPr>
      <w:rPr>
        <w:rFonts w:hint="eastAsia"/>
      </w:rPr>
    </w:lvl>
    <w:lvl w:ilvl="5" w:tentative="0">
      <w:start w:val="1"/>
      <w:numFmt w:val="decimal"/>
      <w:suff w:val="space"/>
      <w:lvlText w:val="%4.%6.%5."/>
      <w:lvlJc w:val="left"/>
      <w:pPr>
        <w:ind w:left="0" w:firstLine="567"/>
      </w:pPr>
      <w:rPr>
        <w:rFonts w:hint="eastAsia"/>
      </w:rPr>
    </w:lvl>
    <w:lvl w:ilvl="6" w:tentative="0">
      <w:start w:val="1"/>
      <w:numFmt w:val="lowerLetter"/>
      <w:suff w:val="space"/>
      <w:lvlText w:val="%7."/>
      <w:lvlJc w:val="left"/>
      <w:pPr>
        <w:ind w:left="0" w:firstLine="567"/>
      </w:pPr>
      <w:rPr>
        <w:rFonts w:hint="eastAsia"/>
      </w:rPr>
    </w:lvl>
    <w:lvl w:ilvl="7" w:tentative="0">
      <w:start w:val="1"/>
      <w:numFmt w:val="decimal"/>
      <w:suff w:val="space"/>
      <w:lvlText w:val="%7.%8."/>
      <w:lvlJc w:val="left"/>
      <w:pPr>
        <w:ind w:left="0" w:firstLine="567"/>
      </w:pPr>
      <w:rPr>
        <w:rFonts w:hint="eastAsia"/>
      </w:rPr>
    </w:lvl>
    <w:lvl w:ilvl="8" w:tentative="0">
      <w:start w:val="1"/>
      <w:numFmt w:val="decimal"/>
      <w:suff w:val="space"/>
      <w:lvlText w:val="%7.%8.%9."/>
      <w:lvlJc w:val="left"/>
      <w:pPr>
        <w:ind w:left="0" w:firstLine="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EyNTVkNGQwMzdlYmJkYWM5NTc0NGM1NDYxNWY2MmUifQ=="/>
  </w:docVars>
  <w:rsids>
    <w:rsidRoot w:val="00E0225C"/>
    <w:rsid w:val="000148CD"/>
    <w:rsid w:val="00066E3B"/>
    <w:rsid w:val="0007631F"/>
    <w:rsid w:val="000C7455"/>
    <w:rsid w:val="000F4D0F"/>
    <w:rsid w:val="00105552"/>
    <w:rsid w:val="0012351D"/>
    <w:rsid w:val="0015514F"/>
    <w:rsid w:val="00176739"/>
    <w:rsid w:val="001C2C79"/>
    <w:rsid w:val="00286722"/>
    <w:rsid w:val="002C6138"/>
    <w:rsid w:val="002F75F0"/>
    <w:rsid w:val="00315D93"/>
    <w:rsid w:val="003C26F4"/>
    <w:rsid w:val="003F1259"/>
    <w:rsid w:val="00400ADB"/>
    <w:rsid w:val="00407C08"/>
    <w:rsid w:val="00421557"/>
    <w:rsid w:val="00453008"/>
    <w:rsid w:val="004F34ED"/>
    <w:rsid w:val="005171DD"/>
    <w:rsid w:val="00574276"/>
    <w:rsid w:val="00596C49"/>
    <w:rsid w:val="00605BE9"/>
    <w:rsid w:val="00611A26"/>
    <w:rsid w:val="0068550E"/>
    <w:rsid w:val="006B7FDA"/>
    <w:rsid w:val="007C5D8C"/>
    <w:rsid w:val="007D05A4"/>
    <w:rsid w:val="00816773"/>
    <w:rsid w:val="00894C1A"/>
    <w:rsid w:val="00A13C1F"/>
    <w:rsid w:val="00A21ABC"/>
    <w:rsid w:val="00A90705"/>
    <w:rsid w:val="00B22B4B"/>
    <w:rsid w:val="00BD459B"/>
    <w:rsid w:val="00BD5FAD"/>
    <w:rsid w:val="00C12C45"/>
    <w:rsid w:val="00C746F7"/>
    <w:rsid w:val="00C84972"/>
    <w:rsid w:val="00CA6C27"/>
    <w:rsid w:val="00CE1367"/>
    <w:rsid w:val="00CE59A3"/>
    <w:rsid w:val="00D130F1"/>
    <w:rsid w:val="00D22048"/>
    <w:rsid w:val="00D35E97"/>
    <w:rsid w:val="00DD143E"/>
    <w:rsid w:val="00E0225C"/>
    <w:rsid w:val="00E07142"/>
    <w:rsid w:val="00E2290A"/>
    <w:rsid w:val="00E8463C"/>
    <w:rsid w:val="00EF5487"/>
    <w:rsid w:val="00FA715F"/>
    <w:rsid w:val="05946565"/>
    <w:rsid w:val="091E6588"/>
    <w:rsid w:val="102F1C36"/>
    <w:rsid w:val="10F9113E"/>
    <w:rsid w:val="14E56BF6"/>
    <w:rsid w:val="176828C8"/>
    <w:rsid w:val="18A74039"/>
    <w:rsid w:val="273C08DA"/>
    <w:rsid w:val="28ED7104"/>
    <w:rsid w:val="2C5B34A6"/>
    <w:rsid w:val="31D902C4"/>
    <w:rsid w:val="350658FD"/>
    <w:rsid w:val="39C94AA6"/>
    <w:rsid w:val="3FE44B77"/>
    <w:rsid w:val="42BB0147"/>
    <w:rsid w:val="44B80BDE"/>
    <w:rsid w:val="4987494F"/>
    <w:rsid w:val="51105432"/>
    <w:rsid w:val="5E0946C5"/>
    <w:rsid w:val="60370444"/>
    <w:rsid w:val="69463D45"/>
    <w:rsid w:val="6EF93414"/>
    <w:rsid w:val="6FCC275D"/>
    <w:rsid w:val="76FE0619"/>
    <w:rsid w:val="77E23C09"/>
    <w:rsid w:val="7BE01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3"/>
    <w:semiHidden/>
    <w:unhideWhenUsed/>
    <w:qFormat/>
    <w:uiPriority w:val="99"/>
    <w:rPr>
      <w:b/>
      <w:bCs/>
    </w:rPr>
  </w:style>
  <w:style w:type="character" w:styleId="8">
    <w:name w:val="annotation reference"/>
    <w:basedOn w:val="7"/>
    <w:semiHidden/>
    <w:unhideWhenUsed/>
    <w:qFormat/>
    <w:uiPriority w:val="99"/>
    <w:rPr>
      <w:sz w:val="21"/>
      <w:szCs w:val="21"/>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34"/>
    <w:pPr>
      <w:ind w:firstLine="420" w:firstLineChars="200"/>
    </w:pPr>
    <w:rPr>
      <w:rFonts w:ascii="Calibri" w:hAnsi="Calibri" w:eastAsia="宋体" w:cs="Times New Roman"/>
    </w:rPr>
  </w:style>
  <w:style w:type="character" w:customStyle="1" w:styleId="12">
    <w:name w:val="批注文字 字符"/>
    <w:basedOn w:val="7"/>
    <w:link w:val="2"/>
    <w:semiHidden/>
    <w:qFormat/>
    <w:uiPriority w:val="99"/>
  </w:style>
  <w:style w:type="character" w:customStyle="1" w:styleId="13">
    <w:name w:val="批注主题 字符"/>
    <w:basedOn w:val="12"/>
    <w:link w:val="5"/>
    <w:semiHidden/>
    <w:qFormat/>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59A142-AAC1-4136-9159-56634C5321A2}">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1655</Words>
  <Characters>1711</Characters>
  <Lines>13</Lines>
  <Paragraphs>3</Paragraphs>
  <TotalTime>2</TotalTime>
  <ScaleCrop>false</ScaleCrop>
  <LinksUpToDate>false</LinksUpToDate>
  <CharactersWithSpaces>1714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2022-06-09T05:55:00Z</dcterms:created>
  <dc:creator>zzc</dc:creator>
  <cp:lastModifiedBy>焦伯明</cp:lastModifiedBy>
  <dcterms:modified xsi:type="dcterms:W3CDTF">2026-07-01T06:20:01Z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2769BA5F3C16449DBB46028D02544B62_12</vt:lpwstr>
  </property>
  <property fmtid="{D5CDD505-2E9C-101B-9397-08002B2CF9AE}" pid="4" name="KSOTemplateDocerSaveRecord">
    <vt:lpwstr>eyJoZGlkIjoiY2Q4MjdiNzgyZTE4ZjVjOThkMDkwZTVmNTQ5YTRmMzIiLCJ1c2VySWQiOiI0NDI2MTc1NzMifQ==</vt:lpwstr>
  </property>
</Properties>
</file>